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4922C6">
      <w:pPr>
        <w:spacing w:after="0" w:line="560" w:lineRule="exact"/>
        <w:jc w:val="center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</w:p>
    <w:p w14:paraId="5898A995">
      <w:pPr>
        <w:spacing w:after="0" w:line="560" w:lineRule="exact"/>
        <w:jc w:val="center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</w:p>
    <w:p w14:paraId="2666BA2B">
      <w:pPr>
        <w:spacing w:after="0" w:line="560" w:lineRule="exact"/>
        <w:jc w:val="center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</w:p>
    <w:p w14:paraId="2D10CED8">
      <w:pPr>
        <w:spacing w:after="0" w:line="560" w:lineRule="exact"/>
        <w:jc w:val="center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</w:p>
    <w:p w14:paraId="300B17D3">
      <w:pPr>
        <w:keepNext w:val="0"/>
        <w:keepLines w:val="0"/>
        <w:pageBreakBefore w:val="0"/>
        <w:wordWrap/>
        <w:topLinePunct w:val="0"/>
        <w:bidi w:val="0"/>
        <w:adjustRightInd w:val="0"/>
        <w:spacing w:after="361" w:afterLines="100" w:line="560" w:lineRule="exact"/>
        <w:ind w:left="1767" w:hanging="1767" w:hangingChars="400"/>
        <w:jc w:val="both"/>
        <w:textAlignment w:val="auto"/>
        <w:outlineLvl w:val="0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石家庄市中心城区鹿泉片区07单元02街区会馆路北侧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地块详细规划</w:t>
      </w:r>
    </w:p>
    <w:p w14:paraId="0B388CFC">
      <w:pPr>
        <w:pStyle w:val="6"/>
        <w:keepNext w:val="0"/>
        <w:keepLines w:val="0"/>
        <w:pageBreakBefore w:val="0"/>
        <w:kinsoku w:val="0"/>
        <w:wordWrap/>
        <w:overflowPunct w:val="0"/>
        <w:topLinePunct w:val="0"/>
        <w:bidi w:val="0"/>
        <w:adjustRightInd w:val="0"/>
        <w:spacing w:after="361" w:afterLines="100" w:line="360" w:lineRule="auto"/>
        <w:jc w:val="center"/>
        <w:textAlignment w:val="auto"/>
        <w:rPr>
          <w:rFonts w:ascii="仿宋" w:hAnsi="仿宋" w:eastAsia="仿宋" w:cs="仿宋"/>
          <w:i w:val="0"/>
          <w:iCs w:val="0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Ansi="宋体"/>
          <w:b/>
          <w:bCs/>
          <w:i w:val="0"/>
          <w:iCs w:val="0"/>
          <w:sz w:val="40"/>
          <w:szCs w:val="40"/>
        </w:rPr>
        <w:t>（</w:t>
      </w:r>
      <w:r>
        <w:rPr>
          <w:rFonts w:hint="eastAsia" w:hAnsi="宋体"/>
          <w:b/>
          <w:bCs/>
          <w:i w:val="0"/>
          <w:iCs w:val="0"/>
          <w:sz w:val="40"/>
          <w:szCs w:val="40"/>
          <w:lang w:val="en-US" w:eastAsia="zh-CN"/>
        </w:rPr>
        <w:t>公示稿</w:t>
      </w:r>
      <w:r>
        <w:rPr>
          <w:rFonts w:hAnsi="宋体"/>
          <w:b/>
          <w:bCs/>
          <w:i w:val="0"/>
          <w:iCs w:val="0"/>
          <w:sz w:val="40"/>
          <w:szCs w:val="40"/>
        </w:rPr>
        <w:t>）</w:t>
      </w:r>
    </w:p>
    <w:p w14:paraId="548C1149">
      <w:pPr>
        <w:pStyle w:val="6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41600BD7">
      <w:pPr>
        <w:pStyle w:val="6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37067C47">
      <w:pPr>
        <w:pStyle w:val="6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16126E99">
      <w:pPr>
        <w:pStyle w:val="6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1A7D4414">
      <w:pPr>
        <w:pStyle w:val="6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0C319208">
      <w:pPr>
        <w:pStyle w:val="6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741F5F3C">
      <w:pPr>
        <w:pStyle w:val="6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7104998D">
      <w:pPr>
        <w:pStyle w:val="6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05CD04B4">
      <w:pPr>
        <w:pStyle w:val="6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7CAAC49E">
      <w:pPr>
        <w:pStyle w:val="6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0FAA5176">
      <w:pPr>
        <w:pStyle w:val="6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6800B9DF">
      <w:pPr>
        <w:pStyle w:val="6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0ED892A8">
      <w:pPr>
        <w:pStyle w:val="6"/>
        <w:kinsoku w:val="0"/>
        <w:overflowPunct w:val="0"/>
        <w:spacing w:line="560" w:lineRule="exact"/>
        <w:ind w:right="84" w:firstLine="640" w:firstLineChars="200"/>
        <w:jc w:val="center"/>
        <w:rPr>
          <w:rFonts w:hint="eastAsia" w:ascii="仿宋" w:hAnsi="仿宋" w:eastAsia="仿宋" w:cs="仿宋"/>
          <w:i w:val="0"/>
          <w:i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sectPr>
          <w:pgSz w:w="11906" w:h="16838"/>
          <w:pgMar w:top="1440" w:right="1800" w:bottom="1440" w:left="1800" w:header="708" w:footer="708" w:gutter="0"/>
          <w:cols w:space="708" w:num="1"/>
          <w:docGrid w:linePitch="360" w:charSpace="0"/>
        </w:sectPr>
      </w:pPr>
      <w:r>
        <w:rPr>
          <w:rFonts w:hint="eastAsia"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</w:t>
      </w:r>
      <w:r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02</w:t>
      </w:r>
      <w:r>
        <w:rPr>
          <w:rFonts w:hint="eastAsia" w:ascii="仿宋" w:hAnsi="仿宋" w:eastAsia="仿宋" w:cs="仿宋"/>
          <w:i w:val="0"/>
          <w:i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 w:cs="仿宋"/>
          <w:i w:val="0"/>
          <w:i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05</w:t>
      </w:r>
    </w:p>
    <w:p w14:paraId="2FBA3D5F">
      <w:pPr>
        <w:pStyle w:val="7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before="0" w:after="0" w:line="360" w:lineRule="auto"/>
        <w:ind w:left="0" w:leftChars="0" w:firstLine="420" w:firstLineChars="0"/>
        <w:textAlignment w:val="auto"/>
        <w:rPr>
          <w:rFonts w:hint="eastAsia" w:ascii="仿宋" w:hAnsi="仿宋" w:eastAsia="仿宋"/>
          <w:sz w:val="32"/>
          <w:szCs w:val="32"/>
        </w:rPr>
      </w:pPr>
      <w:bookmarkStart w:id="0" w:name="_Toc125805564"/>
      <w:r>
        <w:rPr>
          <w:rFonts w:hint="eastAsia" w:ascii="仿宋" w:hAnsi="仿宋" w:eastAsia="仿宋"/>
          <w:sz w:val="32"/>
          <w:szCs w:val="32"/>
        </w:rPr>
        <w:t>规划范围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规模</w:t>
      </w:r>
      <w:bookmarkEnd w:id="0"/>
    </w:p>
    <w:p w14:paraId="58B65C46">
      <w:pPr>
        <w:pageBreakBefore w:val="0"/>
        <w:widowControl/>
        <w:kinsoku/>
        <w:wordWrap/>
        <w:overflowPunct/>
        <w:topLinePunct w:val="0"/>
        <w:autoSpaceDE/>
        <w:autoSpaceDN/>
        <w:bidi w:val="0"/>
        <w:spacing w:after="0" w:line="360" w:lineRule="auto"/>
        <w:ind w:firstLine="640" w:firstLineChars="200"/>
        <w:jc w:val="both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规划地块位于鹿泉城区中部，石柏南大街以西，会馆路以北，英才街以东，获海路以南，总用地面积3.14公顷。</w:t>
      </w:r>
    </w:p>
    <w:p w14:paraId="48996F50">
      <w:pPr>
        <w:pStyle w:val="7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before="0" w:after="0" w:line="360" w:lineRule="auto"/>
        <w:ind w:left="0" w:leftChars="0" w:firstLine="420" w:firstLineChars="0"/>
        <w:textAlignment w:val="auto"/>
        <w:rPr>
          <w:rFonts w:hint="eastAsia" w:ascii="仿宋" w:hAnsi="仿宋" w:eastAsia="仿宋"/>
          <w:sz w:val="32"/>
          <w:szCs w:val="32"/>
        </w:rPr>
      </w:pPr>
      <w:bookmarkStart w:id="1" w:name="_Toc125805566"/>
      <w:r>
        <w:rPr>
          <w:rFonts w:hint="eastAsia" w:ascii="仿宋" w:hAnsi="仿宋" w:eastAsia="仿宋"/>
          <w:sz w:val="32"/>
          <w:szCs w:val="32"/>
        </w:rPr>
        <w:t>规划布局</w:t>
      </w:r>
      <w:bookmarkEnd w:id="1"/>
    </w:p>
    <w:p w14:paraId="5C30652E">
      <w:pPr>
        <w:tabs>
          <w:tab w:val="left" w:pos="0"/>
        </w:tabs>
        <w:spacing w:line="560" w:lineRule="exact"/>
        <w:ind w:firstLine="643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" w:hAnsi="仿宋" w:eastAsia="仿宋"/>
          <w:b/>
          <w:sz w:val="32"/>
          <w:szCs w:val="32"/>
        </w:rPr>
        <w:t>1、</w:t>
      </w:r>
      <w:r>
        <w:rPr>
          <w:rFonts w:ascii="仿宋" w:hAnsi="仿宋" w:eastAsia="仿宋"/>
          <w:b/>
          <w:sz w:val="32"/>
          <w:szCs w:val="32"/>
        </w:rPr>
        <w:t>用地</w:t>
      </w:r>
      <w:r>
        <w:rPr>
          <w:rFonts w:hint="eastAsia" w:ascii="仿宋" w:hAnsi="仿宋" w:eastAsia="仿宋"/>
          <w:b/>
          <w:sz w:val="32"/>
          <w:szCs w:val="32"/>
        </w:rPr>
        <w:t>：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落实上位规划要求，规划总用地面积3.14公顷，其中，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商业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用地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1.74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公顷，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公园绿地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0.35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公顷，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城镇村道路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用地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1.05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公顷。</w:t>
      </w:r>
    </w:p>
    <w:p w14:paraId="69ADCE07">
      <w:pPr>
        <w:spacing w:after="0" w:line="360" w:lineRule="auto"/>
        <w:ind w:firstLine="643" w:firstLineChars="200"/>
        <w:jc w:val="both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sz w:val="32"/>
          <w:szCs w:val="32"/>
        </w:rPr>
        <w:t>2、</w:t>
      </w:r>
      <w:r>
        <w:rPr>
          <w:rFonts w:ascii="仿宋" w:hAnsi="仿宋" w:eastAsia="仿宋"/>
          <w:b/>
          <w:sz w:val="32"/>
          <w:szCs w:val="32"/>
        </w:rPr>
        <w:t>交通</w:t>
      </w:r>
      <w:r>
        <w:rPr>
          <w:rFonts w:hint="eastAsia" w:ascii="仿宋" w:hAnsi="仿宋" w:eastAsia="仿宋"/>
          <w:b/>
          <w:sz w:val="32"/>
          <w:szCs w:val="32"/>
        </w:rPr>
        <w:t>：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规划地块主要通过周边的石柏南大街、会馆路、英才街、获海路四条道路实现与外部的交通联系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。</w:t>
      </w:r>
    </w:p>
    <w:p w14:paraId="1886D2F3">
      <w:pPr>
        <w:spacing w:after="0" w:line="360" w:lineRule="auto"/>
        <w:ind w:firstLine="643" w:firstLineChars="200"/>
        <w:jc w:val="both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3、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公用</w:t>
      </w:r>
      <w:r>
        <w:rPr>
          <w:rFonts w:hint="eastAsia" w:ascii="仿宋" w:hAnsi="仿宋" w:eastAsia="仿宋"/>
          <w:b/>
          <w:sz w:val="32"/>
          <w:szCs w:val="32"/>
        </w:rPr>
        <w:t>设施</w:t>
      </w:r>
      <w:r>
        <w:rPr>
          <w:rFonts w:ascii="仿宋" w:hAnsi="仿宋" w:eastAsia="仿宋"/>
          <w:b/>
          <w:sz w:val="32"/>
          <w:szCs w:val="32"/>
        </w:rPr>
        <w:t>：</w:t>
      </w:r>
      <w:r>
        <w:rPr>
          <w:rFonts w:hint="eastAsia" w:ascii="仿宋" w:hAnsi="仿宋" w:eastAsia="仿宋"/>
          <w:sz w:val="32"/>
          <w:szCs w:val="32"/>
        </w:rPr>
        <w:t>衔接国土空间规划，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依托</w:t>
      </w:r>
      <w:r>
        <w:rPr>
          <w:rFonts w:hint="eastAsia" w:ascii="仿宋" w:hAnsi="仿宋" w:eastAsia="仿宋"/>
          <w:sz w:val="32"/>
          <w:szCs w:val="32"/>
        </w:rPr>
        <w:t>现状基础，规划地块市政管线接入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石柏南大街和会馆路的</w:t>
      </w:r>
      <w:r>
        <w:rPr>
          <w:rFonts w:hint="eastAsia" w:ascii="仿宋" w:hAnsi="仿宋" w:eastAsia="仿宋"/>
          <w:sz w:val="32"/>
          <w:szCs w:val="32"/>
        </w:rPr>
        <w:t>市政管线。</w:t>
      </w:r>
    </w:p>
    <w:p w14:paraId="479E81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hint="eastAsia" w:ascii="Times New Roman" w:hAnsi="Times New Roman" w:eastAsia="仿宋_GB2312" w:cs="Times New Roman"/>
          <w:b w:val="0"/>
          <w:bCs w:val="0"/>
          <w:sz w:val="32"/>
          <w:lang w:val="en-US" w:eastAsia="zh-CN"/>
        </w:rPr>
      </w:pP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4、控制要求：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lang w:val="en-US" w:eastAsia="zh-CN"/>
        </w:rPr>
        <w:t>商业用地容积率上限为3.0，建筑密度不大于45%，绿地率不低于20%，建筑高度不超过80米；公园绿地绿地率不低于65%。</w:t>
      </w:r>
    </w:p>
    <w:p w14:paraId="7037EF57">
      <w:pPr>
        <w:spacing w:after="0" w:line="300" w:lineRule="auto"/>
        <w:jc w:val="center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规划用地</w:t>
      </w:r>
      <w:r>
        <w:rPr>
          <w:rFonts w:ascii="仿宋" w:hAnsi="仿宋" w:eastAsia="仿宋"/>
          <w:b/>
          <w:sz w:val="32"/>
          <w:szCs w:val="32"/>
        </w:rPr>
        <w:t>统计表</w:t>
      </w:r>
    </w:p>
    <w:tbl>
      <w:tblPr>
        <w:tblStyle w:val="1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44"/>
        <w:gridCol w:w="2038"/>
        <w:gridCol w:w="1192"/>
        <w:gridCol w:w="1193"/>
        <w:gridCol w:w="1155"/>
      </w:tblGrid>
      <w:tr w14:paraId="4D035B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  <w:tblHeader/>
        </w:trPr>
        <w:tc>
          <w:tcPr>
            <w:tcW w:w="4982" w:type="dxa"/>
            <w:gridSpan w:val="2"/>
            <w:noWrap w:val="0"/>
            <w:vAlign w:val="center"/>
          </w:tcPr>
          <w:p w14:paraId="2D1E01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名称</w:t>
            </w:r>
          </w:p>
        </w:tc>
        <w:tc>
          <w:tcPr>
            <w:tcW w:w="1192" w:type="dxa"/>
            <w:noWrap w:val="0"/>
            <w:vAlign w:val="center"/>
          </w:tcPr>
          <w:p w14:paraId="1B80C2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用地代码</w:t>
            </w:r>
          </w:p>
        </w:tc>
        <w:tc>
          <w:tcPr>
            <w:tcW w:w="1193" w:type="dxa"/>
            <w:noWrap w:val="0"/>
            <w:vAlign w:val="center"/>
          </w:tcPr>
          <w:p w14:paraId="7812DD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用地面积（ha）</w:t>
            </w:r>
          </w:p>
        </w:tc>
        <w:tc>
          <w:tcPr>
            <w:tcW w:w="1155" w:type="dxa"/>
            <w:noWrap w:val="0"/>
            <w:vAlign w:val="center"/>
          </w:tcPr>
          <w:p w14:paraId="1F764E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占例（%）</w:t>
            </w:r>
          </w:p>
        </w:tc>
      </w:tr>
      <w:tr w14:paraId="50AEDD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" w:hRule="atLeast"/>
        </w:trPr>
        <w:tc>
          <w:tcPr>
            <w:tcW w:w="2944" w:type="dxa"/>
            <w:shd w:val="clear" w:color="auto" w:fill="auto"/>
            <w:noWrap w:val="0"/>
            <w:vAlign w:val="center"/>
          </w:tcPr>
          <w:p w14:paraId="7985AD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商业服务业用地（09）</w:t>
            </w:r>
          </w:p>
        </w:tc>
        <w:tc>
          <w:tcPr>
            <w:tcW w:w="2038" w:type="dxa"/>
            <w:shd w:val="clear" w:color="auto" w:fill="auto"/>
            <w:noWrap w:val="0"/>
            <w:vAlign w:val="center"/>
          </w:tcPr>
          <w:p w14:paraId="6AC9AA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商业用地</w:t>
            </w:r>
          </w:p>
        </w:tc>
        <w:tc>
          <w:tcPr>
            <w:tcW w:w="1192" w:type="dxa"/>
            <w:shd w:val="clear" w:color="auto" w:fill="auto"/>
            <w:noWrap w:val="0"/>
            <w:vAlign w:val="center"/>
          </w:tcPr>
          <w:p w14:paraId="49D522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0901</w:t>
            </w:r>
          </w:p>
        </w:tc>
        <w:tc>
          <w:tcPr>
            <w:tcW w:w="1193" w:type="dxa"/>
            <w:shd w:val="clear" w:color="auto" w:fill="auto"/>
            <w:noWrap w:val="0"/>
            <w:vAlign w:val="center"/>
          </w:tcPr>
          <w:p w14:paraId="001EC7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1.74</w:t>
            </w:r>
          </w:p>
        </w:tc>
        <w:tc>
          <w:tcPr>
            <w:tcW w:w="1155" w:type="dxa"/>
            <w:shd w:val="clear" w:color="auto" w:fill="auto"/>
            <w:noWrap w:val="0"/>
            <w:vAlign w:val="center"/>
          </w:tcPr>
          <w:p w14:paraId="49D9A5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 xml:space="preserve">55.41 </w:t>
            </w:r>
          </w:p>
        </w:tc>
      </w:tr>
      <w:tr w14:paraId="1B3D4B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" w:hRule="atLeast"/>
        </w:trPr>
        <w:tc>
          <w:tcPr>
            <w:tcW w:w="2944" w:type="dxa"/>
            <w:shd w:val="clear" w:color="auto" w:fill="auto"/>
            <w:noWrap w:val="0"/>
            <w:vAlign w:val="center"/>
          </w:tcPr>
          <w:p w14:paraId="54D599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交通运输用地（12） </w:t>
            </w:r>
          </w:p>
        </w:tc>
        <w:tc>
          <w:tcPr>
            <w:tcW w:w="2038" w:type="dxa"/>
            <w:shd w:val="clear" w:color="auto" w:fill="auto"/>
            <w:noWrap w:val="0"/>
            <w:vAlign w:val="center"/>
          </w:tcPr>
          <w:p w14:paraId="171DBB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城镇村道路用地 </w:t>
            </w:r>
          </w:p>
        </w:tc>
        <w:tc>
          <w:tcPr>
            <w:tcW w:w="1192" w:type="dxa"/>
            <w:shd w:val="clear" w:color="auto" w:fill="auto"/>
            <w:noWrap w:val="0"/>
            <w:vAlign w:val="center"/>
          </w:tcPr>
          <w:p w14:paraId="38EC87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1207</w:t>
            </w:r>
          </w:p>
        </w:tc>
        <w:tc>
          <w:tcPr>
            <w:tcW w:w="1193" w:type="dxa"/>
            <w:shd w:val="clear" w:color="auto" w:fill="auto"/>
            <w:noWrap w:val="0"/>
            <w:vAlign w:val="center"/>
          </w:tcPr>
          <w:p w14:paraId="05D21E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1.05</w:t>
            </w:r>
          </w:p>
        </w:tc>
        <w:tc>
          <w:tcPr>
            <w:tcW w:w="1155" w:type="dxa"/>
            <w:shd w:val="clear" w:color="auto" w:fill="auto"/>
            <w:noWrap w:val="0"/>
            <w:vAlign w:val="center"/>
          </w:tcPr>
          <w:p w14:paraId="58F6AB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 xml:space="preserve">33.44 </w:t>
            </w:r>
          </w:p>
        </w:tc>
      </w:tr>
      <w:tr w14:paraId="6E3C32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" w:hRule="atLeast"/>
        </w:trPr>
        <w:tc>
          <w:tcPr>
            <w:tcW w:w="2944" w:type="dxa"/>
            <w:shd w:val="clear" w:color="auto" w:fill="auto"/>
            <w:noWrap w:val="0"/>
            <w:vAlign w:val="center"/>
          </w:tcPr>
          <w:p w14:paraId="1D0D72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 绿地与开场空间用（14）</w:t>
            </w:r>
          </w:p>
        </w:tc>
        <w:tc>
          <w:tcPr>
            <w:tcW w:w="2038" w:type="dxa"/>
            <w:shd w:val="clear" w:color="auto" w:fill="auto"/>
            <w:noWrap w:val="0"/>
            <w:vAlign w:val="center"/>
          </w:tcPr>
          <w:p w14:paraId="24B73A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 公园绿地</w:t>
            </w:r>
          </w:p>
        </w:tc>
        <w:tc>
          <w:tcPr>
            <w:tcW w:w="1192" w:type="dxa"/>
            <w:shd w:val="clear" w:color="auto" w:fill="auto"/>
            <w:noWrap w:val="0"/>
            <w:vAlign w:val="center"/>
          </w:tcPr>
          <w:p w14:paraId="76C3BF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1401</w:t>
            </w:r>
          </w:p>
        </w:tc>
        <w:tc>
          <w:tcPr>
            <w:tcW w:w="1193" w:type="dxa"/>
            <w:shd w:val="clear" w:color="auto" w:fill="auto"/>
            <w:noWrap w:val="0"/>
            <w:vAlign w:val="center"/>
          </w:tcPr>
          <w:p w14:paraId="6BA84F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0.35</w:t>
            </w:r>
          </w:p>
        </w:tc>
        <w:tc>
          <w:tcPr>
            <w:tcW w:w="1155" w:type="dxa"/>
            <w:shd w:val="clear" w:color="auto" w:fill="auto"/>
            <w:noWrap w:val="0"/>
            <w:vAlign w:val="center"/>
          </w:tcPr>
          <w:p w14:paraId="1BEF2D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 xml:space="preserve">11.15 </w:t>
            </w:r>
          </w:p>
        </w:tc>
      </w:tr>
      <w:tr w14:paraId="665599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4982" w:type="dxa"/>
            <w:gridSpan w:val="2"/>
            <w:noWrap w:val="0"/>
            <w:vAlign w:val="center"/>
          </w:tcPr>
          <w:p w14:paraId="08ED40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合计</w:t>
            </w:r>
          </w:p>
        </w:tc>
        <w:tc>
          <w:tcPr>
            <w:tcW w:w="1192" w:type="dxa"/>
            <w:noWrap w:val="0"/>
            <w:vAlign w:val="center"/>
          </w:tcPr>
          <w:p w14:paraId="0672B8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——</w:t>
            </w:r>
          </w:p>
        </w:tc>
        <w:tc>
          <w:tcPr>
            <w:tcW w:w="1193" w:type="dxa"/>
            <w:noWrap w:val="0"/>
            <w:vAlign w:val="center"/>
          </w:tcPr>
          <w:p w14:paraId="0001B6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3.14</w:t>
            </w:r>
          </w:p>
        </w:tc>
        <w:tc>
          <w:tcPr>
            <w:tcW w:w="1155" w:type="dxa"/>
            <w:noWrap w:val="0"/>
            <w:vAlign w:val="center"/>
          </w:tcPr>
          <w:p w14:paraId="6CDE52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 xml:space="preserve">100.00 </w:t>
            </w:r>
          </w:p>
        </w:tc>
      </w:tr>
    </w:tbl>
    <w:p w14:paraId="33DE5EC0">
      <w:pPr>
        <w:pStyle w:val="7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before="0" w:after="0" w:line="360" w:lineRule="auto"/>
        <w:ind w:left="0" w:leftChars="0" w:firstLine="420" w:firstLineChars="0"/>
        <w:textAlignment w:val="auto"/>
        <w:rPr>
          <w:rFonts w:hint="eastAsia" w:ascii="仿宋" w:hAnsi="仿宋" w:eastAsia="仿宋"/>
          <w:sz w:val="32"/>
          <w:szCs w:val="32"/>
        </w:rPr>
      </w:pPr>
      <w:bookmarkStart w:id="3" w:name="_GoBack"/>
      <w:bookmarkEnd w:id="3"/>
      <w:bookmarkStart w:id="2" w:name="_Toc125805567"/>
      <w:r>
        <w:rPr>
          <w:rFonts w:hint="eastAsia" w:ascii="仿宋" w:hAnsi="仿宋" w:eastAsia="仿宋"/>
          <w:sz w:val="32"/>
          <w:szCs w:val="32"/>
          <w:lang w:val="en-US" w:eastAsia="zh-CN"/>
        </w:rPr>
        <w:t>相关</w:t>
      </w:r>
      <w:r>
        <w:rPr>
          <w:rFonts w:hint="eastAsia" w:ascii="仿宋" w:hAnsi="仿宋" w:eastAsia="仿宋"/>
          <w:sz w:val="32"/>
          <w:szCs w:val="32"/>
        </w:rPr>
        <w:t>图纸</w:t>
      </w:r>
      <w:bookmarkEnd w:id="2"/>
    </w:p>
    <w:p w14:paraId="5F5D236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/>
        <w:jc w:val="center"/>
        <w:textAlignment w:val="auto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8595" cy="3860800"/>
            <wp:effectExtent l="9525" t="9525" r="17780" b="15875"/>
            <wp:docPr id="3" name="图片 3" descr="135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3535"/>
                    <pic:cNvPicPr>
                      <a:picLocks noChangeAspect="1"/>
                    </pic:cNvPicPr>
                  </pic:nvPicPr>
                  <pic:blipFill>
                    <a:blip r:embed="rId5"/>
                    <a:srcRect t="1282" b="131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86080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830E97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00" w:lineRule="auto"/>
        <w:jc w:val="center"/>
        <w:textAlignment w:val="auto"/>
        <w:rPr>
          <w:rFonts w:hint="eastAsia" w:ascii="仿宋" w:hAnsi="仿宋" w:eastAsia="仿宋" w:cstheme="majorBidi"/>
          <w:b/>
          <w:bCs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theme="majorBidi"/>
          <w:b/>
          <w:bCs/>
          <w:sz w:val="32"/>
          <w:szCs w:val="32"/>
          <w:lang w:val="en-US" w:eastAsia="zh-CN" w:bidi="ar-SA"/>
        </w:rPr>
        <w:t>规划地块区位图</w:t>
      </w:r>
    </w:p>
    <w:p w14:paraId="2A00ABB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00" w:lineRule="auto"/>
        <w:jc w:val="center"/>
        <w:textAlignment w:val="auto"/>
        <w:rPr>
          <w:rFonts w:hint="eastAsia" w:ascii="仿宋" w:hAnsi="仿宋" w:eastAsia="仿宋"/>
          <w:b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sz w:val="32"/>
          <w:szCs w:val="32"/>
          <w:lang w:eastAsia="zh-CN"/>
        </w:rPr>
        <w:drawing>
          <wp:inline distT="0" distB="0" distL="114300" distR="114300">
            <wp:extent cx="5263515" cy="3721735"/>
            <wp:effectExtent l="0" t="0" r="6985" b="12065"/>
            <wp:docPr id="2" name="图片 2" descr="C:/Users/think/Desktop/会馆路北侧地块-专家会打印2222 43.jpg会馆路北侧地块-专家会打印2222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:/Users/think/Desktop/会馆路北侧地块-专家会打印2222 43.jpg会馆路北侧地块-专家会打印2222 43"/>
                    <pic:cNvPicPr>
                      <a:picLocks noChangeAspect="1"/>
                    </pic:cNvPicPr>
                  </pic:nvPicPr>
                  <pic:blipFill>
                    <a:blip r:embed="rId6"/>
                    <a:srcRect l="26" r="26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3721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E8F3E7">
      <w:pPr>
        <w:spacing w:after="0" w:line="300" w:lineRule="auto"/>
        <w:jc w:val="center"/>
        <w:rPr>
          <w:rFonts w:hint="eastAsia" w:ascii="仿宋" w:hAnsi="仿宋" w:eastAsia="仿宋" w:cstheme="majorBidi"/>
          <w:b/>
          <w:bCs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theme="majorBidi"/>
          <w:b/>
          <w:bCs/>
          <w:sz w:val="32"/>
          <w:szCs w:val="32"/>
          <w:lang w:val="en-US" w:eastAsia="zh-CN" w:bidi="ar-SA"/>
        </w:rPr>
        <w:t>土地使用规划图</w:t>
      </w: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  <w:embedRegular r:id="rId1" w:fontKey="{3857BB80-46CB-4039-95C6-EEBB992D4B1E}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9D893ED3-3DB5-412E-B6B4-D5513223E8AF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BA2AA19A-D773-469E-8AA7-CD088840246F}"/>
  </w:font>
  <w:font w:name="方正小标宋_GBK">
    <w:panose1 w:val="02000000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790D18AD-6352-4ACF-9C4C-E87D4A976F1E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4F72F34"/>
    <w:multiLevelType w:val="singleLevel"/>
    <w:tmpl w:val="84F72F34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TrueTypeFonts/>
  <w:saveSubsetFonts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QwNTIxNjJlZDVlZjIwM2Y3MTNmMTZhOGU1OWYyMzIifQ=="/>
  </w:docVars>
  <w:rsids>
    <w:rsidRoot w:val="00D31D50"/>
    <w:rsid w:val="00007A5B"/>
    <w:rsid w:val="000128F2"/>
    <w:rsid w:val="0002174B"/>
    <w:rsid w:val="000244D3"/>
    <w:rsid w:val="00032995"/>
    <w:rsid w:val="00043B51"/>
    <w:rsid w:val="00053BB4"/>
    <w:rsid w:val="000629CF"/>
    <w:rsid w:val="00063B82"/>
    <w:rsid w:val="00076783"/>
    <w:rsid w:val="000773A1"/>
    <w:rsid w:val="00077EF1"/>
    <w:rsid w:val="000806E7"/>
    <w:rsid w:val="0009669A"/>
    <w:rsid w:val="00097E0F"/>
    <w:rsid w:val="000A0223"/>
    <w:rsid w:val="000A4034"/>
    <w:rsid w:val="000C097C"/>
    <w:rsid w:val="000C0DC2"/>
    <w:rsid w:val="000C1BFB"/>
    <w:rsid w:val="000C4083"/>
    <w:rsid w:val="000D2512"/>
    <w:rsid w:val="000D275A"/>
    <w:rsid w:val="000D7B9C"/>
    <w:rsid w:val="000E6FC1"/>
    <w:rsid w:val="000F155C"/>
    <w:rsid w:val="000F2EF0"/>
    <w:rsid w:val="000F560E"/>
    <w:rsid w:val="00105EC6"/>
    <w:rsid w:val="00106B44"/>
    <w:rsid w:val="00107844"/>
    <w:rsid w:val="0011352F"/>
    <w:rsid w:val="001206C3"/>
    <w:rsid w:val="00120CF3"/>
    <w:rsid w:val="0013220A"/>
    <w:rsid w:val="0013385A"/>
    <w:rsid w:val="00134956"/>
    <w:rsid w:val="00135217"/>
    <w:rsid w:val="00140766"/>
    <w:rsid w:val="00143660"/>
    <w:rsid w:val="001450B6"/>
    <w:rsid w:val="00146207"/>
    <w:rsid w:val="00146CAF"/>
    <w:rsid w:val="00154251"/>
    <w:rsid w:val="0015620A"/>
    <w:rsid w:val="00156EAC"/>
    <w:rsid w:val="001634D5"/>
    <w:rsid w:val="001637AA"/>
    <w:rsid w:val="0016566D"/>
    <w:rsid w:val="00183D3A"/>
    <w:rsid w:val="00191CDB"/>
    <w:rsid w:val="0019669F"/>
    <w:rsid w:val="001B02CB"/>
    <w:rsid w:val="001B1697"/>
    <w:rsid w:val="001C1866"/>
    <w:rsid w:val="001C6061"/>
    <w:rsid w:val="001D1EE4"/>
    <w:rsid w:val="001D26AA"/>
    <w:rsid w:val="001D7FC4"/>
    <w:rsid w:val="001E33A8"/>
    <w:rsid w:val="001E3FD2"/>
    <w:rsid w:val="001E64C3"/>
    <w:rsid w:val="001F480E"/>
    <w:rsid w:val="001F7F16"/>
    <w:rsid w:val="00205360"/>
    <w:rsid w:val="00223A36"/>
    <w:rsid w:val="00223F20"/>
    <w:rsid w:val="00224EC9"/>
    <w:rsid w:val="00225B95"/>
    <w:rsid w:val="00226239"/>
    <w:rsid w:val="0022720E"/>
    <w:rsid w:val="00234FCE"/>
    <w:rsid w:val="002357CA"/>
    <w:rsid w:val="002371D6"/>
    <w:rsid w:val="00240694"/>
    <w:rsid w:val="00241573"/>
    <w:rsid w:val="0024542B"/>
    <w:rsid w:val="00245E17"/>
    <w:rsid w:val="0024602C"/>
    <w:rsid w:val="00252A75"/>
    <w:rsid w:val="002554E6"/>
    <w:rsid w:val="00266F06"/>
    <w:rsid w:val="002749C3"/>
    <w:rsid w:val="002756CD"/>
    <w:rsid w:val="00280CA9"/>
    <w:rsid w:val="00281F23"/>
    <w:rsid w:val="00282635"/>
    <w:rsid w:val="00284452"/>
    <w:rsid w:val="0029069A"/>
    <w:rsid w:val="0029082A"/>
    <w:rsid w:val="0029701D"/>
    <w:rsid w:val="002A24A4"/>
    <w:rsid w:val="002B1997"/>
    <w:rsid w:val="002B4035"/>
    <w:rsid w:val="002B5020"/>
    <w:rsid w:val="002B579D"/>
    <w:rsid w:val="002C7A2A"/>
    <w:rsid w:val="002D05F6"/>
    <w:rsid w:val="002D199D"/>
    <w:rsid w:val="002F2800"/>
    <w:rsid w:val="002F5C6F"/>
    <w:rsid w:val="002F6E6E"/>
    <w:rsid w:val="00303AA5"/>
    <w:rsid w:val="003042BE"/>
    <w:rsid w:val="00306BF9"/>
    <w:rsid w:val="003214BB"/>
    <w:rsid w:val="003223CD"/>
    <w:rsid w:val="00323B43"/>
    <w:rsid w:val="003271D8"/>
    <w:rsid w:val="00332C68"/>
    <w:rsid w:val="00334562"/>
    <w:rsid w:val="003371DC"/>
    <w:rsid w:val="00342BE4"/>
    <w:rsid w:val="00350198"/>
    <w:rsid w:val="00363499"/>
    <w:rsid w:val="00364225"/>
    <w:rsid w:val="00364F5C"/>
    <w:rsid w:val="00365969"/>
    <w:rsid w:val="00367C38"/>
    <w:rsid w:val="00370431"/>
    <w:rsid w:val="003710FC"/>
    <w:rsid w:val="00373C8D"/>
    <w:rsid w:val="00380246"/>
    <w:rsid w:val="0038371A"/>
    <w:rsid w:val="00383835"/>
    <w:rsid w:val="00385942"/>
    <w:rsid w:val="00387AC9"/>
    <w:rsid w:val="00393E39"/>
    <w:rsid w:val="003A2CC5"/>
    <w:rsid w:val="003A71F3"/>
    <w:rsid w:val="003B0168"/>
    <w:rsid w:val="003B2AA7"/>
    <w:rsid w:val="003B35B5"/>
    <w:rsid w:val="003B55C4"/>
    <w:rsid w:val="003B77D9"/>
    <w:rsid w:val="003C48B6"/>
    <w:rsid w:val="003D0A49"/>
    <w:rsid w:val="003D2988"/>
    <w:rsid w:val="003D37D8"/>
    <w:rsid w:val="003D6ED7"/>
    <w:rsid w:val="003E3960"/>
    <w:rsid w:val="003F68C0"/>
    <w:rsid w:val="0040120B"/>
    <w:rsid w:val="00413072"/>
    <w:rsid w:val="00414B47"/>
    <w:rsid w:val="00423B0B"/>
    <w:rsid w:val="00426133"/>
    <w:rsid w:val="004358AB"/>
    <w:rsid w:val="0043644B"/>
    <w:rsid w:val="00444F1D"/>
    <w:rsid w:val="00445A48"/>
    <w:rsid w:val="00450556"/>
    <w:rsid w:val="00453AF9"/>
    <w:rsid w:val="004617C6"/>
    <w:rsid w:val="00463156"/>
    <w:rsid w:val="0046343C"/>
    <w:rsid w:val="004705A4"/>
    <w:rsid w:val="00473E34"/>
    <w:rsid w:val="00477597"/>
    <w:rsid w:val="004831CD"/>
    <w:rsid w:val="00484B0F"/>
    <w:rsid w:val="00492B68"/>
    <w:rsid w:val="00494F7D"/>
    <w:rsid w:val="0049516D"/>
    <w:rsid w:val="004964E0"/>
    <w:rsid w:val="004A156C"/>
    <w:rsid w:val="004A294B"/>
    <w:rsid w:val="004A32BA"/>
    <w:rsid w:val="004B6782"/>
    <w:rsid w:val="004B6DF9"/>
    <w:rsid w:val="004C0AA9"/>
    <w:rsid w:val="004C2756"/>
    <w:rsid w:val="004C6758"/>
    <w:rsid w:val="004D3738"/>
    <w:rsid w:val="004D3DBC"/>
    <w:rsid w:val="004E1434"/>
    <w:rsid w:val="004E40CD"/>
    <w:rsid w:val="004F21CB"/>
    <w:rsid w:val="004F330F"/>
    <w:rsid w:val="004F63A6"/>
    <w:rsid w:val="004F6D67"/>
    <w:rsid w:val="00506CFA"/>
    <w:rsid w:val="00510D79"/>
    <w:rsid w:val="005207ED"/>
    <w:rsid w:val="0052145D"/>
    <w:rsid w:val="005243AF"/>
    <w:rsid w:val="005327C0"/>
    <w:rsid w:val="005337BF"/>
    <w:rsid w:val="005440A0"/>
    <w:rsid w:val="00552208"/>
    <w:rsid w:val="0055311A"/>
    <w:rsid w:val="00553D40"/>
    <w:rsid w:val="0055737D"/>
    <w:rsid w:val="0056454D"/>
    <w:rsid w:val="00564924"/>
    <w:rsid w:val="005669BE"/>
    <w:rsid w:val="005676AE"/>
    <w:rsid w:val="00573734"/>
    <w:rsid w:val="00575225"/>
    <w:rsid w:val="00581F56"/>
    <w:rsid w:val="00584682"/>
    <w:rsid w:val="00585CA9"/>
    <w:rsid w:val="00590361"/>
    <w:rsid w:val="00593DF9"/>
    <w:rsid w:val="005A3360"/>
    <w:rsid w:val="005B2933"/>
    <w:rsid w:val="005C0043"/>
    <w:rsid w:val="005C40CB"/>
    <w:rsid w:val="005C7416"/>
    <w:rsid w:val="005D3877"/>
    <w:rsid w:val="005E0C4E"/>
    <w:rsid w:val="005E4AB8"/>
    <w:rsid w:val="005F12FC"/>
    <w:rsid w:val="005F49CD"/>
    <w:rsid w:val="00610BF0"/>
    <w:rsid w:val="00621748"/>
    <w:rsid w:val="00623D19"/>
    <w:rsid w:val="00632DAB"/>
    <w:rsid w:val="00634FD9"/>
    <w:rsid w:val="00635FBF"/>
    <w:rsid w:val="00637D9C"/>
    <w:rsid w:val="006465A6"/>
    <w:rsid w:val="0065031B"/>
    <w:rsid w:val="0065221B"/>
    <w:rsid w:val="00653F58"/>
    <w:rsid w:val="00661CAE"/>
    <w:rsid w:val="006631D6"/>
    <w:rsid w:val="00665B07"/>
    <w:rsid w:val="006804A2"/>
    <w:rsid w:val="00695083"/>
    <w:rsid w:val="006A095E"/>
    <w:rsid w:val="006A59FE"/>
    <w:rsid w:val="006B668F"/>
    <w:rsid w:val="006C13D7"/>
    <w:rsid w:val="006C7F87"/>
    <w:rsid w:val="006D27EC"/>
    <w:rsid w:val="006D5631"/>
    <w:rsid w:val="006D5FE5"/>
    <w:rsid w:val="006D78D9"/>
    <w:rsid w:val="006E46F7"/>
    <w:rsid w:val="006F0F09"/>
    <w:rsid w:val="006F702F"/>
    <w:rsid w:val="00701EDB"/>
    <w:rsid w:val="0070667F"/>
    <w:rsid w:val="0070741F"/>
    <w:rsid w:val="00714254"/>
    <w:rsid w:val="00716ED7"/>
    <w:rsid w:val="00720F57"/>
    <w:rsid w:val="00721C66"/>
    <w:rsid w:val="00727B36"/>
    <w:rsid w:val="007370F5"/>
    <w:rsid w:val="00747545"/>
    <w:rsid w:val="007504AB"/>
    <w:rsid w:val="00752EAD"/>
    <w:rsid w:val="00756E52"/>
    <w:rsid w:val="00766579"/>
    <w:rsid w:val="00766C92"/>
    <w:rsid w:val="0077157E"/>
    <w:rsid w:val="00772F4A"/>
    <w:rsid w:val="0079378E"/>
    <w:rsid w:val="00793C36"/>
    <w:rsid w:val="00795F18"/>
    <w:rsid w:val="007970FA"/>
    <w:rsid w:val="007A1F21"/>
    <w:rsid w:val="007A6B9F"/>
    <w:rsid w:val="007A7164"/>
    <w:rsid w:val="007B6D70"/>
    <w:rsid w:val="007C1265"/>
    <w:rsid w:val="007C7088"/>
    <w:rsid w:val="007D2AF6"/>
    <w:rsid w:val="007D3382"/>
    <w:rsid w:val="007E10BA"/>
    <w:rsid w:val="007E18B9"/>
    <w:rsid w:val="007E3D8F"/>
    <w:rsid w:val="007F0BE7"/>
    <w:rsid w:val="007F2B10"/>
    <w:rsid w:val="007F341A"/>
    <w:rsid w:val="008004C1"/>
    <w:rsid w:val="008016B7"/>
    <w:rsid w:val="00801EEE"/>
    <w:rsid w:val="008113BB"/>
    <w:rsid w:val="00822651"/>
    <w:rsid w:val="008230C6"/>
    <w:rsid w:val="0082401C"/>
    <w:rsid w:val="0083175B"/>
    <w:rsid w:val="008321CD"/>
    <w:rsid w:val="00833717"/>
    <w:rsid w:val="00833F34"/>
    <w:rsid w:val="008409B9"/>
    <w:rsid w:val="00845D33"/>
    <w:rsid w:val="00845FF9"/>
    <w:rsid w:val="0084692B"/>
    <w:rsid w:val="00853433"/>
    <w:rsid w:val="00864128"/>
    <w:rsid w:val="008742B4"/>
    <w:rsid w:val="00890B80"/>
    <w:rsid w:val="00891FA5"/>
    <w:rsid w:val="00893D41"/>
    <w:rsid w:val="008A1896"/>
    <w:rsid w:val="008A3D68"/>
    <w:rsid w:val="008B5FBA"/>
    <w:rsid w:val="008B6A18"/>
    <w:rsid w:val="008B7726"/>
    <w:rsid w:val="008C017C"/>
    <w:rsid w:val="008D0A25"/>
    <w:rsid w:val="008D1E4A"/>
    <w:rsid w:val="008D48F3"/>
    <w:rsid w:val="008E1252"/>
    <w:rsid w:val="008E41D8"/>
    <w:rsid w:val="008E529C"/>
    <w:rsid w:val="00901ACA"/>
    <w:rsid w:val="00904AE4"/>
    <w:rsid w:val="009118FE"/>
    <w:rsid w:val="00913833"/>
    <w:rsid w:val="00913867"/>
    <w:rsid w:val="0091568B"/>
    <w:rsid w:val="00915C93"/>
    <w:rsid w:val="00922AE7"/>
    <w:rsid w:val="00932C66"/>
    <w:rsid w:val="009335F8"/>
    <w:rsid w:val="00934E36"/>
    <w:rsid w:val="009364DE"/>
    <w:rsid w:val="00952F10"/>
    <w:rsid w:val="00961AD9"/>
    <w:rsid w:val="00970787"/>
    <w:rsid w:val="00971136"/>
    <w:rsid w:val="0097605A"/>
    <w:rsid w:val="009778BF"/>
    <w:rsid w:val="00980A8F"/>
    <w:rsid w:val="00983E3C"/>
    <w:rsid w:val="009855B8"/>
    <w:rsid w:val="00990F67"/>
    <w:rsid w:val="00991C0B"/>
    <w:rsid w:val="009A7659"/>
    <w:rsid w:val="009A7950"/>
    <w:rsid w:val="009B0FB9"/>
    <w:rsid w:val="009B341D"/>
    <w:rsid w:val="009B568E"/>
    <w:rsid w:val="009B74DC"/>
    <w:rsid w:val="009C0624"/>
    <w:rsid w:val="009C2D1D"/>
    <w:rsid w:val="009C3BB6"/>
    <w:rsid w:val="009C4EFB"/>
    <w:rsid w:val="009C598D"/>
    <w:rsid w:val="009C69C8"/>
    <w:rsid w:val="009C6E7E"/>
    <w:rsid w:val="009C706D"/>
    <w:rsid w:val="009D2ABF"/>
    <w:rsid w:val="009E1612"/>
    <w:rsid w:val="009E6487"/>
    <w:rsid w:val="009E7B24"/>
    <w:rsid w:val="009F0811"/>
    <w:rsid w:val="00A004C9"/>
    <w:rsid w:val="00A02A12"/>
    <w:rsid w:val="00A07479"/>
    <w:rsid w:val="00A2123E"/>
    <w:rsid w:val="00A21FD0"/>
    <w:rsid w:val="00A24CF5"/>
    <w:rsid w:val="00A42890"/>
    <w:rsid w:val="00A43390"/>
    <w:rsid w:val="00A4382A"/>
    <w:rsid w:val="00A504AA"/>
    <w:rsid w:val="00A54E6E"/>
    <w:rsid w:val="00A55F3C"/>
    <w:rsid w:val="00A60D97"/>
    <w:rsid w:val="00A61004"/>
    <w:rsid w:val="00A64F44"/>
    <w:rsid w:val="00A7058A"/>
    <w:rsid w:val="00A71B6D"/>
    <w:rsid w:val="00A80835"/>
    <w:rsid w:val="00A841A7"/>
    <w:rsid w:val="00A8794E"/>
    <w:rsid w:val="00A90FA4"/>
    <w:rsid w:val="00A91BCC"/>
    <w:rsid w:val="00A93C35"/>
    <w:rsid w:val="00A93EF0"/>
    <w:rsid w:val="00A9696B"/>
    <w:rsid w:val="00AA2CF7"/>
    <w:rsid w:val="00AB552B"/>
    <w:rsid w:val="00AC3493"/>
    <w:rsid w:val="00AD084F"/>
    <w:rsid w:val="00AD0CC2"/>
    <w:rsid w:val="00AD0EDF"/>
    <w:rsid w:val="00AD6BD3"/>
    <w:rsid w:val="00AE2937"/>
    <w:rsid w:val="00AE370C"/>
    <w:rsid w:val="00AE50F0"/>
    <w:rsid w:val="00AF3A3C"/>
    <w:rsid w:val="00B014B6"/>
    <w:rsid w:val="00B0765D"/>
    <w:rsid w:val="00B16B7F"/>
    <w:rsid w:val="00B1704E"/>
    <w:rsid w:val="00B231EF"/>
    <w:rsid w:val="00B252A5"/>
    <w:rsid w:val="00B35FD7"/>
    <w:rsid w:val="00B41EF2"/>
    <w:rsid w:val="00B41F2B"/>
    <w:rsid w:val="00B42DDC"/>
    <w:rsid w:val="00B50EFC"/>
    <w:rsid w:val="00B542C3"/>
    <w:rsid w:val="00B60F00"/>
    <w:rsid w:val="00B6570D"/>
    <w:rsid w:val="00B65B3A"/>
    <w:rsid w:val="00B66714"/>
    <w:rsid w:val="00B721D7"/>
    <w:rsid w:val="00B75F93"/>
    <w:rsid w:val="00B879E2"/>
    <w:rsid w:val="00B908D1"/>
    <w:rsid w:val="00B94E23"/>
    <w:rsid w:val="00BA26C4"/>
    <w:rsid w:val="00BA3CC9"/>
    <w:rsid w:val="00BB15D0"/>
    <w:rsid w:val="00BB186E"/>
    <w:rsid w:val="00BB3DE5"/>
    <w:rsid w:val="00BC5E6C"/>
    <w:rsid w:val="00BD2F2D"/>
    <w:rsid w:val="00BD3882"/>
    <w:rsid w:val="00BE3D98"/>
    <w:rsid w:val="00BE73DC"/>
    <w:rsid w:val="00C055A0"/>
    <w:rsid w:val="00C070E9"/>
    <w:rsid w:val="00C102AB"/>
    <w:rsid w:val="00C2082E"/>
    <w:rsid w:val="00C40BF5"/>
    <w:rsid w:val="00C42BC4"/>
    <w:rsid w:val="00C51742"/>
    <w:rsid w:val="00C5246C"/>
    <w:rsid w:val="00C578C3"/>
    <w:rsid w:val="00C70A0F"/>
    <w:rsid w:val="00C7109B"/>
    <w:rsid w:val="00C7440B"/>
    <w:rsid w:val="00C7456D"/>
    <w:rsid w:val="00C74C59"/>
    <w:rsid w:val="00C842DC"/>
    <w:rsid w:val="00C90527"/>
    <w:rsid w:val="00C92218"/>
    <w:rsid w:val="00C95085"/>
    <w:rsid w:val="00C96E83"/>
    <w:rsid w:val="00CA0CB0"/>
    <w:rsid w:val="00CA1095"/>
    <w:rsid w:val="00CB154E"/>
    <w:rsid w:val="00CC00C7"/>
    <w:rsid w:val="00CD3B24"/>
    <w:rsid w:val="00CD6699"/>
    <w:rsid w:val="00CD6F33"/>
    <w:rsid w:val="00CE09F5"/>
    <w:rsid w:val="00CE34C1"/>
    <w:rsid w:val="00CF2DA6"/>
    <w:rsid w:val="00D043F7"/>
    <w:rsid w:val="00D07E90"/>
    <w:rsid w:val="00D12FD0"/>
    <w:rsid w:val="00D15911"/>
    <w:rsid w:val="00D211C2"/>
    <w:rsid w:val="00D22779"/>
    <w:rsid w:val="00D24A21"/>
    <w:rsid w:val="00D25344"/>
    <w:rsid w:val="00D272F1"/>
    <w:rsid w:val="00D31D50"/>
    <w:rsid w:val="00D35D68"/>
    <w:rsid w:val="00D37D24"/>
    <w:rsid w:val="00D412DE"/>
    <w:rsid w:val="00D4382B"/>
    <w:rsid w:val="00D451F5"/>
    <w:rsid w:val="00D531A8"/>
    <w:rsid w:val="00D54A32"/>
    <w:rsid w:val="00D63B0F"/>
    <w:rsid w:val="00D63FE2"/>
    <w:rsid w:val="00D65AB9"/>
    <w:rsid w:val="00D73A1F"/>
    <w:rsid w:val="00D84B38"/>
    <w:rsid w:val="00D85437"/>
    <w:rsid w:val="00D9192D"/>
    <w:rsid w:val="00D92F91"/>
    <w:rsid w:val="00D970A1"/>
    <w:rsid w:val="00DA5CC2"/>
    <w:rsid w:val="00DB0892"/>
    <w:rsid w:val="00DB08C0"/>
    <w:rsid w:val="00DB125B"/>
    <w:rsid w:val="00DB3923"/>
    <w:rsid w:val="00DB5879"/>
    <w:rsid w:val="00DB69FD"/>
    <w:rsid w:val="00DD1943"/>
    <w:rsid w:val="00DD4B2B"/>
    <w:rsid w:val="00DD5BA0"/>
    <w:rsid w:val="00DD63BA"/>
    <w:rsid w:val="00DE06B6"/>
    <w:rsid w:val="00DE159F"/>
    <w:rsid w:val="00DE3CBA"/>
    <w:rsid w:val="00DE3EB0"/>
    <w:rsid w:val="00DF0F0A"/>
    <w:rsid w:val="00DF5B95"/>
    <w:rsid w:val="00DF7211"/>
    <w:rsid w:val="00E00C4D"/>
    <w:rsid w:val="00E01C08"/>
    <w:rsid w:val="00E04AA2"/>
    <w:rsid w:val="00E05CD9"/>
    <w:rsid w:val="00E11D56"/>
    <w:rsid w:val="00E15310"/>
    <w:rsid w:val="00E30F61"/>
    <w:rsid w:val="00E31832"/>
    <w:rsid w:val="00E34414"/>
    <w:rsid w:val="00E35C8E"/>
    <w:rsid w:val="00E37104"/>
    <w:rsid w:val="00E42497"/>
    <w:rsid w:val="00E44581"/>
    <w:rsid w:val="00E44E57"/>
    <w:rsid w:val="00E52499"/>
    <w:rsid w:val="00E5489A"/>
    <w:rsid w:val="00E604DE"/>
    <w:rsid w:val="00E75D30"/>
    <w:rsid w:val="00E764C1"/>
    <w:rsid w:val="00E803D8"/>
    <w:rsid w:val="00E8303A"/>
    <w:rsid w:val="00E85ADF"/>
    <w:rsid w:val="00E86CFF"/>
    <w:rsid w:val="00E86EA3"/>
    <w:rsid w:val="00EA3229"/>
    <w:rsid w:val="00EA4259"/>
    <w:rsid w:val="00EA66CB"/>
    <w:rsid w:val="00EA7046"/>
    <w:rsid w:val="00EB3CD2"/>
    <w:rsid w:val="00EB5DB1"/>
    <w:rsid w:val="00EB6D1B"/>
    <w:rsid w:val="00EC21CF"/>
    <w:rsid w:val="00ED0342"/>
    <w:rsid w:val="00EE5A82"/>
    <w:rsid w:val="00EF4288"/>
    <w:rsid w:val="00EF5DBC"/>
    <w:rsid w:val="00EF64AA"/>
    <w:rsid w:val="00F012A9"/>
    <w:rsid w:val="00F118EF"/>
    <w:rsid w:val="00F23C3F"/>
    <w:rsid w:val="00F23CFC"/>
    <w:rsid w:val="00F2431E"/>
    <w:rsid w:val="00F30DE6"/>
    <w:rsid w:val="00F32339"/>
    <w:rsid w:val="00F34DF8"/>
    <w:rsid w:val="00F42963"/>
    <w:rsid w:val="00F4605C"/>
    <w:rsid w:val="00F54CCD"/>
    <w:rsid w:val="00F67915"/>
    <w:rsid w:val="00F72746"/>
    <w:rsid w:val="00F814DE"/>
    <w:rsid w:val="00F818DD"/>
    <w:rsid w:val="00F82628"/>
    <w:rsid w:val="00F86AC8"/>
    <w:rsid w:val="00F87707"/>
    <w:rsid w:val="00FA0AB3"/>
    <w:rsid w:val="00FB1691"/>
    <w:rsid w:val="00FB32FC"/>
    <w:rsid w:val="00FB7A11"/>
    <w:rsid w:val="00FC0D43"/>
    <w:rsid w:val="00FC1ACB"/>
    <w:rsid w:val="00FC34CF"/>
    <w:rsid w:val="00FC410A"/>
    <w:rsid w:val="00FC7E01"/>
    <w:rsid w:val="00FD4DD1"/>
    <w:rsid w:val="00FD5CB2"/>
    <w:rsid w:val="00FD689D"/>
    <w:rsid w:val="00FE4778"/>
    <w:rsid w:val="00FF7D7A"/>
    <w:rsid w:val="01104B67"/>
    <w:rsid w:val="01881A7C"/>
    <w:rsid w:val="022078A1"/>
    <w:rsid w:val="026A61BF"/>
    <w:rsid w:val="027B5144"/>
    <w:rsid w:val="02FD37CC"/>
    <w:rsid w:val="031A5063"/>
    <w:rsid w:val="032B5AE3"/>
    <w:rsid w:val="035510A8"/>
    <w:rsid w:val="03964B6C"/>
    <w:rsid w:val="0455766E"/>
    <w:rsid w:val="04F675A5"/>
    <w:rsid w:val="053D71B1"/>
    <w:rsid w:val="05987221"/>
    <w:rsid w:val="062444A9"/>
    <w:rsid w:val="063772B6"/>
    <w:rsid w:val="072265CA"/>
    <w:rsid w:val="074734A0"/>
    <w:rsid w:val="077A3361"/>
    <w:rsid w:val="07D66D61"/>
    <w:rsid w:val="083E3004"/>
    <w:rsid w:val="08C81D11"/>
    <w:rsid w:val="08FD3E17"/>
    <w:rsid w:val="09170932"/>
    <w:rsid w:val="091C5CC3"/>
    <w:rsid w:val="0A494EDE"/>
    <w:rsid w:val="0A926CBB"/>
    <w:rsid w:val="0BA8707A"/>
    <w:rsid w:val="0CAB40C8"/>
    <w:rsid w:val="0CAD223B"/>
    <w:rsid w:val="0E146C67"/>
    <w:rsid w:val="0F2C56A7"/>
    <w:rsid w:val="0FCF2F40"/>
    <w:rsid w:val="10E70783"/>
    <w:rsid w:val="12942E59"/>
    <w:rsid w:val="12B25D57"/>
    <w:rsid w:val="12B3588D"/>
    <w:rsid w:val="130E21C8"/>
    <w:rsid w:val="13A16BB0"/>
    <w:rsid w:val="13A35A49"/>
    <w:rsid w:val="143F151B"/>
    <w:rsid w:val="148C6E6B"/>
    <w:rsid w:val="15CE22E6"/>
    <w:rsid w:val="160F090D"/>
    <w:rsid w:val="16203533"/>
    <w:rsid w:val="163E37D3"/>
    <w:rsid w:val="172B2BEB"/>
    <w:rsid w:val="17B00756"/>
    <w:rsid w:val="17FF6550"/>
    <w:rsid w:val="18A32FA4"/>
    <w:rsid w:val="18C37E0B"/>
    <w:rsid w:val="194E3CFE"/>
    <w:rsid w:val="19EC4669"/>
    <w:rsid w:val="1A1B3FBA"/>
    <w:rsid w:val="1A762003"/>
    <w:rsid w:val="1A944F8C"/>
    <w:rsid w:val="1D3E4DA9"/>
    <w:rsid w:val="1D474C9B"/>
    <w:rsid w:val="1DE209C1"/>
    <w:rsid w:val="1E646541"/>
    <w:rsid w:val="1E9F72E2"/>
    <w:rsid w:val="1ECF0013"/>
    <w:rsid w:val="1F22557F"/>
    <w:rsid w:val="1F393742"/>
    <w:rsid w:val="1F7A0708"/>
    <w:rsid w:val="204D1B46"/>
    <w:rsid w:val="2096112E"/>
    <w:rsid w:val="20DD158D"/>
    <w:rsid w:val="20E96B28"/>
    <w:rsid w:val="2184689F"/>
    <w:rsid w:val="21C46299"/>
    <w:rsid w:val="22FC20F8"/>
    <w:rsid w:val="234C09DE"/>
    <w:rsid w:val="2363144D"/>
    <w:rsid w:val="23FB0BD3"/>
    <w:rsid w:val="24A52BC5"/>
    <w:rsid w:val="24E81482"/>
    <w:rsid w:val="252B0F09"/>
    <w:rsid w:val="25A240C5"/>
    <w:rsid w:val="261676D0"/>
    <w:rsid w:val="270743DF"/>
    <w:rsid w:val="271C4C89"/>
    <w:rsid w:val="277662D4"/>
    <w:rsid w:val="27951159"/>
    <w:rsid w:val="279D055F"/>
    <w:rsid w:val="27BD4C19"/>
    <w:rsid w:val="27F622B4"/>
    <w:rsid w:val="28040585"/>
    <w:rsid w:val="281047DB"/>
    <w:rsid w:val="29246E78"/>
    <w:rsid w:val="2950149C"/>
    <w:rsid w:val="295429B7"/>
    <w:rsid w:val="29AD3C81"/>
    <w:rsid w:val="29B854F7"/>
    <w:rsid w:val="29D17512"/>
    <w:rsid w:val="2A9470E8"/>
    <w:rsid w:val="2ADF586D"/>
    <w:rsid w:val="2B54315A"/>
    <w:rsid w:val="2B745F5F"/>
    <w:rsid w:val="2B7D76D0"/>
    <w:rsid w:val="2C71161C"/>
    <w:rsid w:val="2CAD29C1"/>
    <w:rsid w:val="2D8E1D94"/>
    <w:rsid w:val="2D9D3D70"/>
    <w:rsid w:val="2E965E5F"/>
    <w:rsid w:val="2F170963"/>
    <w:rsid w:val="2F6B4B89"/>
    <w:rsid w:val="2FA62C86"/>
    <w:rsid w:val="2FCB66E2"/>
    <w:rsid w:val="300C2B8E"/>
    <w:rsid w:val="306375D2"/>
    <w:rsid w:val="309466C0"/>
    <w:rsid w:val="30C30A3B"/>
    <w:rsid w:val="30C513B3"/>
    <w:rsid w:val="30F91F1D"/>
    <w:rsid w:val="313B419B"/>
    <w:rsid w:val="313F0B3C"/>
    <w:rsid w:val="31F20BB3"/>
    <w:rsid w:val="33051B59"/>
    <w:rsid w:val="33472CAA"/>
    <w:rsid w:val="33951BC7"/>
    <w:rsid w:val="342F2254"/>
    <w:rsid w:val="34507C4B"/>
    <w:rsid w:val="34CB53BF"/>
    <w:rsid w:val="34D5735F"/>
    <w:rsid w:val="34EA7FA9"/>
    <w:rsid w:val="35685E66"/>
    <w:rsid w:val="35E83B86"/>
    <w:rsid w:val="35F77AFA"/>
    <w:rsid w:val="35FD5E1C"/>
    <w:rsid w:val="36070455"/>
    <w:rsid w:val="366105D1"/>
    <w:rsid w:val="36674838"/>
    <w:rsid w:val="36B26CA2"/>
    <w:rsid w:val="36E27366"/>
    <w:rsid w:val="370E7F2D"/>
    <w:rsid w:val="37927A8D"/>
    <w:rsid w:val="37BF2A0B"/>
    <w:rsid w:val="37C44FD1"/>
    <w:rsid w:val="38151078"/>
    <w:rsid w:val="389C2ADB"/>
    <w:rsid w:val="38EA6603"/>
    <w:rsid w:val="391E57D7"/>
    <w:rsid w:val="394F7E6D"/>
    <w:rsid w:val="39841B02"/>
    <w:rsid w:val="39852495"/>
    <w:rsid w:val="39965D05"/>
    <w:rsid w:val="3A9437A3"/>
    <w:rsid w:val="3AA3762F"/>
    <w:rsid w:val="3B6B6416"/>
    <w:rsid w:val="3BB42339"/>
    <w:rsid w:val="3BD63381"/>
    <w:rsid w:val="3BF96267"/>
    <w:rsid w:val="3BFA7096"/>
    <w:rsid w:val="3C172E6A"/>
    <w:rsid w:val="3C3B53FE"/>
    <w:rsid w:val="3C6F3D76"/>
    <w:rsid w:val="3D6A1FCB"/>
    <w:rsid w:val="3D7A103B"/>
    <w:rsid w:val="3DB33A98"/>
    <w:rsid w:val="3DC379F3"/>
    <w:rsid w:val="3F050016"/>
    <w:rsid w:val="3F484841"/>
    <w:rsid w:val="3FC62710"/>
    <w:rsid w:val="40617AE8"/>
    <w:rsid w:val="408A5DD8"/>
    <w:rsid w:val="422D15DE"/>
    <w:rsid w:val="427A0444"/>
    <w:rsid w:val="427C309C"/>
    <w:rsid w:val="429306E8"/>
    <w:rsid w:val="42C165DC"/>
    <w:rsid w:val="431C5816"/>
    <w:rsid w:val="431D7E98"/>
    <w:rsid w:val="43280A20"/>
    <w:rsid w:val="43FB634B"/>
    <w:rsid w:val="44950494"/>
    <w:rsid w:val="45107BE1"/>
    <w:rsid w:val="455F4CCF"/>
    <w:rsid w:val="45946E3A"/>
    <w:rsid w:val="460D0F18"/>
    <w:rsid w:val="463D6F2E"/>
    <w:rsid w:val="465468A7"/>
    <w:rsid w:val="46CF1F09"/>
    <w:rsid w:val="47210048"/>
    <w:rsid w:val="472D349E"/>
    <w:rsid w:val="472E17C9"/>
    <w:rsid w:val="476B2BED"/>
    <w:rsid w:val="477D5CA6"/>
    <w:rsid w:val="47DC3A02"/>
    <w:rsid w:val="48796CD2"/>
    <w:rsid w:val="48A54FAE"/>
    <w:rsid w:val="48B767F2"/>
    <w:rsid w:val="496D3BE4"/>
    <w:rsid w:val="49840B87"/>
    <w:rsid w:val="4B5B558F"/>
    <w:rsid w:val="4B9B2115"/>
    <w:rsid w:val="4CC114FE"/>
    <w:rsid w:val="4CC11E9C"/>
    <w:rsid w:val="4CDA1964"/>
    <w:rsid w:val="4D0B5DAD"/>
    <w:rsid w:val="4D4B5DF8"/>
    <w:rsid w:val="4E024682"/>
    <w:rsid w:val="4E2636FB"/>
    <w:rsid w:val="4E52273F"/>
    <w:rsid w:val="4E9A491A"/>
    <w:rsid w:val="4EB75CB5"/>
    <w:rsid w:val="4F13036C"/>
    <w:rsid w:val="4FCB1E52"/>
    <w:rsid w:val="501E2DC3"/>
    <w:rsid w:val="5024613D"/>
    <w:rsid w:val="503B35AE"/>
    <w:rsid w:val="50FD6152"/>
    <w:rsid w:val="51636829"/>
    <w:rsid w:val="519054C3"/>
    <w:rsid w:val="51941AC3"/>
    <w:rsid w:val="52580AF7"/>
    <w:rsid w:val="52A42C59"/>
    <w:rsid w:val="52A92013"/>
    <w:rsid w:val="53C974DA"/>
    <w:rsid w:val="53CA6A0A"/>
    <w:rsid w:val="53D230DC"/>
    <w:rsid w:val="549C348F"/>
    <w:rsid w:val="54CC15BC"/>
    <w:rsid w:val="55507732"/>
    <w:rsid w:val="568B11E6"/>
    <w:rsid w:val="56B214B8"/>
    <w:rsid w:val="56FA6D82"/>
    <w:rsid w:val="57087AD1"/>
    <w:rsid w:val="57817F8D"/>
    <w:rsid w:val="57B36FBA"/>
    <w:rsid w:val="57E407C1"/>
    <w:rsid w:val="57F11A6D"/>
    <w:rsid w:val="58A43527"/>
    <w:rsid w:val="58BA3B2B"/>
    <w:rsid w:val="5A3A78B3"/>
    <w:rsid w:val="5A552EB3"/>
    <w:rsid w:val="5B5C0D31"/>
    <w:rsid w:val="5BA670B8"/>
    <w:rsid w:val="5BBB1DA0"/>
    <w:rsid w:val="5CA6258E"/>
    <w:rsid w:val="5CF45007"/>
    <w:rsid w:val="5D4600AA"/>
    <w:rsid w:val="5DC52120"/>
    <w:rsid w:val="5DC85779"/>
    <w:rsid w:val="5EAA2D78"/>
    <w:rsid w:val="5EC305BF"/>
    <w:rsid w:val="5F853408"/>
    <w:rsid w:val="5FA7146F"/>
    <w:rsid w:val="601054E4"/>
    <w:rsid w:val="602C7F4F"/>
    <w:rsid w:val="60807ECC"/>
    <w:rsid w:val="613B4E94"/>
    <w:rsid w:val="618924E6"/>
    <w:rsid w:val="61C34DDF"/>
    <w:rsid w:val="61D90912"/>
    <w:rsid w:val="62072854"/>
    <w:rsid w:val="624B6EB4"/>
    <w:rsid w:val="62AA3895"/>
    <w:rsid w:val="63104FF3"/>
    <w:rsid w:val="637D1622"/>
    <w:rsid w:val="63C56CA0"/>
    <w:rsid w:val="63E03E77"/>
    <w:rsid w:val="642D111F"/>
    <w:rsid w:val="64BD4EBC"/>
    <w:rsid w:val="64BE08CD"/>
    <w:rsid w:val="65730601"/>
    <w:rsid w:val="65B57F35"/>
    <w:rsid w:val="65F65CB9"/>
    <w:rsid w:val="66341D0E"/>
    <w:rsid w:val="66677132"/>
    <w:rsid w:val="67076836"/>
    <w:rsid w:val="683523B0"/>
    <w:rsid w:val="68841E3B"/>
    <w:rsid w:val="68D27B0C"/>
    <w:rsid w:val="68F43871"/>
    <w:rsid w:val="69035911"/>
    <w:rsid w:val="694B1896"/>
    <w:rsid w:val="69923E0F"/>
    <w:rsid w:val="6A5E47EA"/>
    <w:rsid w:val="6A7F384C"/>
    <w:rsid w:val="6B56018E"/>
    <w:rsid w:val="6C645283"/>
    <w:rsid w:val="6CDE5B5C"/>
    <w:rsid w:val="6D513CDE"/>
    <w:rsid w:val="6D946BAF"/>
    <w:rsid w:val="6DAE59A9"/>
    <w:rsid w:val="6E0605DA"/>
    <w:rsid w:val="6E362130"/>
    <w:rsid w:val="6E525B84"/>
    <w:rsid w:val="6E6B106D"/>
    <w:rsid w:val="6ED664F8"/>
    <w:rsid w:val="6F323A30"/>
    <w:rsid w:val="6F4E259E"/>
    <w:rsid w:val="6FE2069C"/>
    <w:rsid w:val="70481F1A"/>
    <w:rsid w:val="713161B8"/>
    <w:rsid w:val="726E1A0A"/>
    <w:rsid w:val="72CA3E48"/>
    <w:rsid w:val="72D021F6"/>
    <w:rsid w:val="72E24236"/>
    <w:rsid w:val="72EE1409"/>
    <w:rsid w:val="72F257AE"/>
    <w:rsid w:val="731C6D11"/>
    <w:rsid w:val="734F7953"/>
    <w:rsid w:val="73793F14"/>
    <w:rsid w:val="737A12DC"/>
    <w:rsid w:val="73AF65F4"/>
    <w:rsid w:val="73B7438D"/>
    <w:rsid w:val="74585A6D"/>
    <w:rsid w:val="74A6758B"/>
    <w:rsid w:val="74BA405C"/>
    <w:rsid w:val="758B77BE"/>
    <w:rsid w:val="76074AB3"/>
    <w:rsid w:val="768E63B5"/>
    <w:rsid w:val="76C02E22"/>
    <w:rsid w:val="76D1257F"/>
    <w:rsid w:val="770634D5"/>
    <w:rsid w:val="77945AF8"/>
    <w:rsid w:val="77DB083F"/>
    <w:rsid w:val="78017541"/>
    <w:rsid w:val="781F0AB4"/>
    <w:rsid w:val="78546E2D"/>
    <w:rsid w:val="786C5CC2"/>
    <w:rsid w:val="791D57E3"/>
    <w:rsid w:val="79502489"/>
    <w:rsid w:val="796A58BC"/>
    <w:rsid w:val="7B886E47"/>
    <w:rsid w:val="7C21068F"/>
    <w:rsid w:val="7CC36CC1"/>
    <w:rsid w:val="7E7640D7"/>
    <w:rsid w:val="7F636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qFormat="1" w:uiPriority="99" w:semiHidden="0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1" w:semiHidden="0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iPriority="99" w:semiHidden="0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paragraph" w:styleId="7">
    <w:name w:val="heading 1"/>
    <w:basedOn w:val="1"/>
    <w:next w:val="1"/>
    <w:link w:val="19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8">
    <w:name w:val="heading 4"/>
    <w:basedOn w:val="1"/>
    <w:next w:val="1"/>
    <w:link w:val="20"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14">
    <w:name w:val="Default Paragraph Font"/>
    <w:unhideWhenUsed/>
    <w:qFormat/>
    <w:uiPriority w:val="1"/>
  </w:style>
  <w:style w:type="table" w:default="1" w:styleId="13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5"/>
    <w:unhideWhenUsed/>
    <w:qFormat/>
    <w:uiPriority w:val="99"/>
    <w:pPr>
      <w:spacing w:after="0" w:line="360" w:lineRule="auto"/>
      <w:ind w:left="0" w:leftChars="0" w:firstLine="420" w:firstLineChars="200"/>
      <w:textAlignment w:val="baseline"/>
    </w:pPr>
    <w:rPr>
      <w:rFonts w:hint="eastAsia" w:ascii="Calibri" w:hAnsi="Calibri" w:eastAsia="宋体" w:cs="Times New Roman"/>
      <w:sz w:val="24"/>
      <w:szCs w:val="24"/>
    </w:rPr>
  </w:style>
  <w:style w:type="paragraph" w:styleId="3">
    <w:name w:val="Body Text Indent"/>
    <w:basedOn w:val="1"/>
    <w:next w:val="4"/>
    <w:unhideWhenUsed/>
    <w:qFormat/>
    <w:uiPriority w:val="99"/>
    <w:pPr>
      <w:spacing w:after="120"/>
      <w:ind w:left="420" w:leftChars="200"/>
    </w:pPr>
  </w:style>
  <w:style w:type="paragraph" w:styleId="4">
    <w:name w:val="envelope return"/>
    <w:basedOn w:val="1"/>
    <w:unhideWhenUsed/>
    <w:qFormat/>
    <w:uiPriority w:val="99"/>
    <w:rPr>
      <w:rFonts w:ascii="Arial" w:hAnsi="Arial"/>
    </w:rPr>
  </w:style>
  <w:style w:type="paragraph" w:styleId="5">
    <w:name w:val="Body Text First Indent"/>
    <w:basedOn w:val="6"/>
    <w:next w:val="2"/>
    <w:link w:val="21"/>
    <w:unhideWhenUsed/>
    <w:qFormat/>
    <w:uiPriority w:val="99"/>
    <w:pPr>
      <w:autoSpaceDE/>
      <w:autoSpaceDN/>
      <w:adjustRightInd/>
      <w:spacing w:after="120"/>
      <w:ind w:firstLine="420" w:firstLineChars="100"/>
      <w:jc w:val="both"/>
    </w:pPr>
    <w:rPr>
      <w:rFonts w:ascii="Times New Roman" w:cs="Times New Roman"/>
      <w:i w:val="0"/>
      <w:iCs w:val="0"/>
      <w:kern w:val="2"/>
      <w:sz w:val="21"/>
      <w:szCs w:val="24"/>
    </w:rPr>
  </w:style>
  <w:style w:type="paragraph" w:styleId="6">
    <w:name w:val="Body Text"/>
    <w:basedOn w:val="1"/>
    <w:next w:val="5"/>
    <w:link w:val="17"/>
    <w:qFormat/>
    <w:uiPriority w:val="1"/>
    <w:pPr>
      <w:widowControl w:val="0"/>
      <w:autoSpaceDE w:val="0"/>
      <w:autoSpaceDN w:val="0"/>
      <w:snapToGrid/>
      <w:spacing w:after="0"/>
    </w:pPr>
    <w:rPr>
      <w:rFonts w:ascii="宋体" w:hAnsi="Times New Roman" w:eastAsia="宋体" w:cs="宋体"/>
      <w:i/>
      <w:iCs/>
      <w:sz w:val="28"/>
      <w:szCs w:val="28"/>
    </w:rPr>
  </w:style>
  <w:style w:type="paragraph" w:styleId="9">
    <w:name w:val="Balloon Text"/>
    <w:basedOn w:val="1"/>
    <w:link w:val="18"/>
    <w:unhideWhenUsed/>
    <w:qFormat/>
    <w:uiPriority w:val="99"/>
    <w:pPr>
      <w:spacing w:after="0"/>
    </w:pPr>
    <w:rPr>
      <w:sz w:val="18"/>
      <w:szCs w:val="18"/>
    </w:rPr>
  </w:style>
  <w:style w:type="paragraph" w:styleId="10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11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12">
    <w:name w:val="Normal (Web)"/>
    <w:basedOn w:val="1"/>
    <w:unhideWhenUsed/>
    <w:qFormat/>
    <w:uiPriority w:val="99"/>
    <w:pPr>
      <w:adjustRightInd/>
      <w:snapToGrid/>
      <w:spacing w:before="100" w:beforeAutospacing="1" w:after="100" w:afterAutospacing="1"/>
    </w:pPr>
    <w:rPr>
      <w:rFonts w:ascii="宋体" w:hAnsi="宋体" w:eastAsia="宋体" w:cs="宋体"/>
      <w:sz w:val="24"/>
      <w:szCs w:val="24"/>
    </w:rPr>
  </w:style>
  <w:style w:type="character" w:customStyle="1" w:styleId="15">
    <w:name w:val="页眉 字符"/>
    <w:basedOn w:val="14"/>
    <w:link w:val="11"/>
    <w:semiHidden/>
    <w:qFormat/>
    <w:uiPriority w:val="99"/>
    <w:rPr>
      <w:rFonts w:ascii="Tahoma" w:hAnsi="Tahoma"/>
      <w:sz w:val="18"/>
      <w:szCs w:val="18"/>
    </w:rPr>
  </w:style>
  <w:style w:type="character" w:customStyle="1" w:styleId="16">
    <w:name w:val="页脚 字符"/>
    <w:basedOn w:val="14"/>
    <w:link w:val="10"/>
    <w:semiHidden/>
    <w:qFormat/>
    <w:uiPriority w:val="99"/>
    <w:rPr>
      <w:rFonts w:ascii="Tahoma" w:hAnsi="Tahoma"/>
      <w:sz w:val="18"/>
      <w:szCs w:val="18"/>
    </w:rPr>
  </w:style>
  <w:style w:type="character" w:customStyle="1" w:styleId="17">
    <w:name w:val="正文文本 字符"/>
    <w:basedOn w:val="14"/>
    <w:link w:val="6"/>
    <w:qFormat/>
    <w:uiPriority w:val="1"/>
    <w:rPr>
      <w:rFonts w:ascii="宋体" w:hAnsi="Times New Roman" w:eastAsia="宋体" w:cs="宋体"/>
      <w:i/>
      <w:iCs/>
      <w:sz w:val="28"/>
      <w:szCs w:val="28"/>
    </w:rPr>
  </w:style>
  <w:style w:type="character" w:customStyle="1" w:styleId="18">
    <w:name w:val="批注框文本 字符"/>
    <w:basedOn w:val="14"/>
    <w:link w:val="9"/>
    <w:semiHidden/>
    <w:qFormat/>
    <w:uiPriority w:val="99"/>
    <w:rPr>
      <w:rFonts w:ascii="Tahoma" w:hAnsi="Tahoma"/>
      <w:sz w:val="18"/>
      <w:szCs w:val="18"/>
    </w:rPr>
  </w:style>
  <w:style w:type="character" w:customStyle="1" w:styleId="19">
    <w:name w:val="标题 1 字符"/>
    <w:basedOn w:val="14"/>
    <w:link w:val="7"/>
    <w:qFormat/>
    <w:uiPriority w:val="9"/>
    <w:rPr>
      <w:rFonts w:ascii="Tahoma" w:hAnsi="Tahoma"/>
      <w:b/>
      <w:bCs/>
      <w:kern w:val="44"/>
      <w:sz w:val="44"/>
      <w:szCs w:val="44"/>
    </w:rPr>
  </w:style>
  <w:style w:type="character" w:customStyle="1" w:styleId="20">
    <w:name w:val="标题 4 字符"/>
    <w:basedOn w:val="14"/>
    <w:link w:val="8"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1">
    <w:name w:val="正文文本首行缩进 字符"/>
    <w:basedOn w:val="17"/>
    <w:link w:val="5"/>
    <w:qFormat/>
    <w:uiPriority w:val="99"/>
    <w:rPr>
      <w:rFonts w:ascii="宋体" w:hAnsi="Times New Roman" w:eastAsia="宋体" w:cs="宋体"/>
      <w:i w:val="0"/>
      <w:iCs w:val="0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1CE56D-ED75-44E5-8299-1295F8B4B8D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592</Words>
  <Characters>678</Characters>
  <Lines>26</Lines>
  <Paragraphs>7</Paragraphs>
  <TotalTime>1</TotalTime>
  <ScaleCrop>false</ScaleCrop>
  <LinksUpToDate>false</LinksUpToDate>
  <CharactersWithSpaces>690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2023-10-08T05:51:00Z</dcterms:created>
  <dc:creator>gh</dc:creator>
  <cp:lastModifiedBy>草莓</cp:lastModifiedBy>
  <cp:lastPrinted>2023-08-09T09:05:00Z</cp:lastPrinted>
  <dcterms:modified xsi:type="dcterms:W3CDTF">2026-05-11T02:52:09Z</dcterms:modified>
  <cp:revision>87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227BB3BB4A47460FBFD8A4A2CEB3F930_13</vt:lpwstr>
  </property>
  <property fmtid="{D5CDD505-2E9C-101B-9397-08002B2CF9AE}" pid="4" name="KSOTemplateDocerSaveRecord">
    <vt:lpwstr>eyJoZGlkIjoiOGQwOTQwZWU2Y2I2NGM0NDlmM2M5Zjk0MGI0ZmFmMDIiLCJ1c2VySWQiOiIzMTU0OTQ1MzgifQ==</vt:lpwstr>
  </property>
</Properties>
</file>