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石家庄市鹿泉区人力资源和社会保障局2026年度涉企行政检查计划</w:t>
      </w:r>
    </w:p>
    <w:p>
      <w:pPr>
        <w:rPr>
          <w:rFonts w:hint="eastAsia" w:ascii="仿宋_GB2312" w:hAnsi="仿宋_GB2312" w:eastAsia="仿宋_GB2312" w:cs="仿宋_GB2312"/>
          <w:sz w:val="32"/>
          <w:szCs w:val="32"/>
        </w:rPr>
      </w:pP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为全面优化营商环境，规范行政执法行为，根据国家、省、市关于规范涉企行政检查及推行“双随机、一公开”监管的要求，结合我区人力资源和社会保障领域监管实际，特制定本年度检查计划。</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 工作原则与目标</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（一）依法依规原则：所有行政检查严格以现行有效的法律、法规、规章为依据，坚持“法无授权不可为”，确保检查行为的合法性。</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（二）公平公开原则：全面推行“双随机、一公开”监管模式，随机抽取检查对象、随机选派执法检查人员，检查结果及时向社会公开，保障监管的公平性、规范性和透明度。</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（三）协同高效原则：大力推行跨部门联合“综合查一次”，对同一企业实现“进一次门、查多项事”，有效减少对企业正常生产经营活动的干扰。</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（四）分类监管原则：推行基于企业信用风险分类的差异化监管。对信用好、风险低的企业合理降低抽查比例和频次，对信用差、风险高的企业加大抽查力度和检查深度，提升监管精准性和问题发现率。</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（五）目标导向：通过实施计划检查，督促我区各类用人单位规范用工、人力资源服务机构和劳务派遣单位依法经营，切实维护劳动者合法权益，构建和谐稳定的劳动关系。</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 检查主体</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石家庄市鹿泉区人力资源和社会保障局。</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为确保行政检查的专业性、规范性，所有检查人员均从本局持有合法有效行政执法证件的“执法检查人员名录库”中随机选派，严禁未取得执法证件的人员独立实施检查。</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三、检查依据</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检查严格依据国家及河北省现行人力资源社会保障领域的法律、法规、规章及规范性文件进行，主要依据包括但不限于：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劳动法》《中华人民共和国劳动合同法》《中华人民共和国社会保险法》《劳动保障监察条例》、《保障农民工工资支付条例》《人力资源市场暂行条例》《劳务派遣行政许可实施办法》《劳务派遣暂行规定》《网络招聘服务管理规定》《河北省人力资源市场条例》《河北省企业集体协商条例》《社会保险经办条例》、《社会保险基金行政监督办法》《国务院办公厅关于严格规范涉企行政检查的意见》（国办发〔2024〕54号）及省、市相关贯彻落实文件。</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四、检查对象范围</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本计划适用于在鹿泉区行政区域内注册登记，并属于区人社局行业主管规范范围内的所有用人单位和市场主体，主要包括：</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1.各类企业、民办非企业单位等组织（用人单位）。</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2.经营性人力资源服务机构（含开展网络招聘服务的机构）。</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3.劳务派遣单位及用工单位。</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具体检查对象将根据年度抽查任务，通过“河北省双随机、一公开监管工作平台”从相应的“检查对象名录库”中随机抽取。对信用风险等级高的企业、近三年未被抽查过的企业、以及人力资源服务机构、劳务派遣单位等重点行业主体，将适当提高抽取比例。</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检查事项清单</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根据《河北省人社领域涉企行政检查事项清单》及鹿泉区实际，202</w:t>
      </w:r>
      <w:r>
        <w:rPr>
          <w:rFonts w:hint="default" w:ascii="仿宋_GB2312" w:hAnsi="仿宋_GB2312" w:eastAsia="仿宋_GB2312" w:cs="仿宋_GB2312"/>
          <w:sz w:val="32"/>
          <w:szCs w:val="32"/>
          <w:lang w:val="en-US"/>
        </w:rPr>
        <w:t>5</w:t>
      </w:r>
      <w:r>
        <w:rPr>
          <w:rFonts w:hint="eastAsia" w:ascii="仿宋_GB2312" w:hAnsi="仿宋_GB2312" w:eastAsia="仿宋_GB2312" w:cs="仿宋_GB2312"/>
          <w:sz w:val="32"/>
          <w:szCs w:val="32"/>
        </w:rPr>
        <w:t>年度计划开展的行政检查事项共11项。</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1.企业特殊工时制度落实情况检查</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检查内容：检查经审批实行不定时工作制或综合计算工时工作制的企业，其工时管理办法、适用岗位范围、劳动者工作时间和休息休假安排、履行民主程序及公示告知义务等情况。常规频次：1次/年。 特别说明：属审批后监管事项。</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2.社会保险基金监督检查</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检查内容：对用人单位参保缴费情况、社会保险待遇领取情况、社会保险服务机构履行服务协议及费用结算合规性等进行核查与监督。</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常规频次：1次/年。</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特别说明：重点核查虚构劳动关系参保、骗取待遇等行为。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3.对《企业年金办法》执行情况的行政检查</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检查内容：检查建立企业年金制度企业的年金方案备案、基金筹集、账户管理及待遇支付等政策执行情况。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常规频次：1次/年。</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特别说明：面向已建立企业年金的企业。</w:t>
      </w:r>
    </w:p>
    <w:p>
      <w:pPr>
        <w:ind w:firstLine="640" w:firstLineChars="200"/>
        <w:rPr>
          <w:rFonts w:hint="eastAsia" w:ascii="仿宋_GB2312" w:hAnsi="仿宋_GB2312" w:eastAsia="仿宋_GB2312" w:cs="仿宋_GB2312"/>
          <w:sz w:val="32"/>
          <w:szCs w:val="32"/>
        </w:rPr>
      </w:pPr>
      <w:bookmarkStart w:id="0" w:name="_GoBack"/>
      <w:bookmarkEnd w:id="0"/>
      <w:r>
        <w:rPr>
          <w:rFonts w:hint="eastAsia" w:ascii="仿宋_GB2312" w:hAnsi="仿宋_GB2312" w:eastAsia="仿宋_GB2312" w:cs="仿宋_GB2312"/>
          <w:sz w:val="32"/>
          <w:szCs w:val="32"/>
        </w:rPr>
        <w:t>4.经营性人力资源服务机构监督检查</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检查内容：检查机构依法取得行政许可或备案情况、开展职业中介活动的规范性、服务明码标价、建立服务台账、保护求职者个人信息等情况。</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常规频次：1次/年。</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特别说明：本部门重点行业监管对象，年度内将结合专项行动重点抽查。</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 用人单位遵守劳动保障法律、法规监督检查（综合性检查）</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检查内容：全面检查劳动合同订立与解除、工资支付（特别是农民工工资支付）、工作时间与休息休假、禁止使用童工、女职工和未成年工特殊保护等劳动保障法律法规遵守情况。</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常规频次：1次/年。</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特别说明：此为覆盖面最广的综合性检查，是根治欠薪等工作的重要抓手。</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 对劳务派遣市场行为的监督检查</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检查内容：检查劳务派遣单位经营许可、年度报告提交、劳务派遣协议、同工同酬、为被派遣劳动者参保缴费、用工单位法定义务履行等情况。</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常规频次：1次/年。</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特别说明：本部门重点行业监管对象，将对年度经营报告进行核验并开展实地抽查。</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 对企业集体合同、工资集体合同和专项集体合同履行情况的监督检查</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检查内容：检查已签订集体合同企业履行合同约定条款的情况，包括劳动报酬、工作时间、休息休假、保险福利等。</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常规频次：1次/年。</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特别说明：促进集体协商成果落实。</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 社会保险登记和待遇享受情况核查</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检查内容：核查用人单位是否为全体职工及时办理社会保险登记并足额缴费，核查个人是否符合待遇享受条件。</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常规频次：1次/年。</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特别说明：与社保稽核工作结合进行。</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 社会保险服务机构履行服务协议情况核查</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检查内容：对签订服务协议的医疗机构、康复机构、药品经营单位等，检查其执行医保、工伤等政策规定、履行服务协议的情况。</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常规频次：1次/年。</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特别说明：与医保、社保经办机构协同开展。</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 就业公共服务政策落实及补贴资金使用情况检查</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检查内容：对享受职业培训补贴、社保补贴、公益性岗位补贴等就业扶持政策的单位，检查其政策执行的真实性、合规性和资金使用效益。</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常规频次：1次/年。</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特别说明：保障就业资金安全，提升政策效能。</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 劳务派遣单位年度经营情况报告核验与抽查</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检查内容：依据年度报告通知，核验劳务派遣单位提交的经营情况报告及财务审计报告的真实性、完整性，并对其报告事项进行实地抽查。</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常规频次：1次/年。</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特别说明：此为针对劳务派遣单位的专项监管措施，未按期或虚假报告将列为重点检查对象。</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 检查频次与方式</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（一）基础频次：对同一检查对象，本年度各项“双随机、一公开”计划检查原则上合并进行，全年总计不超过1次。特殊情况需增加检查频次的，将按规定报批。</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（二）动态调整频次：</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 对违法主体的检查：对于在检查中发现存在违法行为、经责令改正但未整改，或因投诉举报、上级交办、部门移送等线索证实存在违法问题的市场主体，将依法启动立案调查或行政处罚程序。在此类案件处理周期内，为调查取证、督促整改、核查履行情况等，对该主体的检查频次可能增加至3-5次，直至案件办结、整改到位。</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基于信用分类的频次：全面应用企业信用风险分类结果。对A类（信用风险低）企业，可视情况免于或大幅降低抽查概率；对B类企业，降低抽查比例；对C、D类（信用风险较高、高）企业，提高抽查比例和频次。</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（三）主要检查方式：</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 “双随机、一公开”抽查：作为最主要的检查方式，所有计划内检查原则上均通过监管平台随机抽取对象、随机匹配人员，按照既定检查事项清单实施现场或非现场检查，结果向社会公开。</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跨部门联合检查：积极响应并参与由市场监管、税务、住建、交通运输等部门牵头的跨部门“双随机、一公开”联合抽查。同时，作为牵头部门，计划至少组织1次针对人力资源服务机构和劳务派遣单位的跨部门联合检查，实现“进一次门、查多项事”，提升监管合力。</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 专项执法检查：根据上级统一部署，结合我区实际，组织开展“清理整顿人力资源市场秩序专项行动”、“根治欠薪冬季专项行动”等专项检查。</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 投诉举报专查：对通过12333热线、信访、网络平台等渠道接收的符合受理条件的投诉举报，依法进行专案查处，不受“双随机”限制。</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 书面审查与实地核查结合：对于劳务派遣经营情况报告、企业年金方案等，采取先书面审查，再对存疑或按比例抽取的单位进行实地核查的方式。</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 组织实施与工作要求</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（一）加强组织领导：成立局“双随机、一公开”监管工作领导小组，由局主要领导负责，统筹协调年度检查计划的实施。各相关业务股室（劳动保障监察大队、就业股、社保股等）具体执行。</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（二）规范检查程序：检查前应主动出示执法证件和检查通知。检查中全面推行行政执法“三项制度”，使用统一的执法文书，做好检查记录并归档，实现全过程留痕。</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强化结果公示与运用：除涉及国家秘密、商业秘密和个人隐私外，所有“双随机、一公开”抽查检查结果应在任务完成后20个工作日内，通过鹿泉区人民政府门户网站和国家企业信用信息公示系统（河北）向社会公示。检查结果将作为企业信用评价、评优评先等重要依据。</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（四）严守工作纪律：检查人员应严格遵守廉洁纪律和工作规范，不得妨碍企业正常生产经营活动，不得索取或收受财物，不得谋取其他非法利益。对违反规定的，依法依规严肃处理。</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本计划自印发之日起执行，执行过程中如遇法律法规或上级政策调整，将适时进行修订。</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石家庄市鹿泉区人力资源和社会保障局</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2026年1月12日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AD347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13</TotalTime>
  <ScaleCrop>false</ScaleCrop>
  <LinksUpToDate>false</LinksUpToDate>
  <CharactersWithSpaces>0</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2026-01-12T03:05:35Z</dcterms:created>
  <dc:creator>86139</dc:creator>
  <cp:lastModifiedBy>86139</cp:lastModifiedBy>
  <dcterms:modified xsi:type="dcterms:W3CDTF">2026-01-12T03:19:21Z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3FE7E984FB1C40BFBFB5175C3D9BD161</vt:lpwstr>
  </property>
</Properties>
</file>