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721001</w:t>
      </w:r>
    </w:p>
    <w:p w14:paraId="39EE206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：石家庄市鹿泉区文学艺术界联合会</w:t>
      </w:r>
    </w:p>
    <w:p w14:paraId="68A45BAD">
      <w:pPr>
        <w:spacing w:line="600" w:lineRule="auto"/>
        <w:jc w:val="left"/>
        <w:rPr>
          <w:rFonts w:hint="eastAsia" w:ascii="楷体_GB2312" w:hAnsi="楷体_GB2312" w:eastAsia="楷体_GB2312" w:cs="楷体_GB2312"/>
          <w:color w:val="000000"/>
          <w:sz w:val="40"/>
          <w:szCs w:val="40"/>
        </w:rPr>
      </w:pPr>
    </w:p>
    <w:p w14:paraId="24468F55">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7B9602F">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0E67ED2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2DD6B82">
      <w:pPr>
        <w:pStyle w:val="25"/>
        <w:rPr>
          <w:rFonts w:hint="eastAsia" w:ascii="仿宋" w:hAnsi="仿宋" w:eastAsia="仿宋" w:cs="仿宋"/>
          <w:sz w:val="32"/>
          <w:szCs w:val="32"/>
        </w:rPr>
      </w:pPr>
      <w:r>
        <w:rPr>
          <w:rFonts w:hint="eastAsia" w:ascii="仿宋" w:hAnsi="仿宋" w:eastAsia="仿宋" w:cs="仿宋"/>
          <w:sz w:val="32"/>
          <w:szCs w:val="32"/>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751E4DC0">
      <w:pPr>
        <w:pStyle w:val="25"/>
        <w:rPr>
          <w:rFonts w:hint="eastAsia" w:ascii="仿宋" w:hAnsi="仿宋" w:eastAsia="仿宋" w:cs="仿宋"/>
          <w:sz w:val="32"/>
          <w:szCs w:val="32"/>
        </w:rPr>
      </w:pPr>
      <w:r>
        <w:rPr>
          <w:rFonts w:hint="eastAsia" w:ascii="仿宋" w:hAnsi="仿宋" w:eastAsia="仿宋" w:cs="仿宋"/>
          <w:sz w:val="32"/>
          <w:szCs w:val="32"/>
        </w:rPr>
        <w:t>（二）组织召开全区文联代表大会，全委会和主席团会议；组织召开全区文艺家协会代表大会、理事会、主席团会议以及全区文联系统工作会议。</w:t>
      </w:r>
    </w:p>
    <w:p w14:paraId="25024D31">
      <w:pPr>
        <w:pStyle w:val="25"/>
        <w:rPr>
          <w:rFonts w:hint="eastAsia" w:ascii="仿宋" w:hAnsi="仿宋" w:eastAsia="仿宋" w:cs="仿宋"/>
          <w:sz w:val="32"/>
          <w:szCs w:val="32"/>
        </w:rPr>
      </w:pPr>
      <w:r>
        <w:rPr>
          <w:rFonts w:hint="eastAsia" w:ascii="仿宋" w:hAnsi="仿宋" w:eastAsia="仿宋" w:cs="仿宋"/>
          <w:sz w:val="32"/>
          <w:szCs w:val="32"/>
        </w:rPr>
        <w:t>（三）组织开展采风创作、文艺志愿服务、主题文艺活动、展演展示展播等文艺实践活动。组织开展文艺人才教育培训、培养举荐、创作扶持等工作。</w:t>
      </w:r>
    </w:p>
    <w:p w14:paraId="4D8F25BF">
      <w:pPr>
        <w:pStyle w:val="25"/>
        <w:rPr>
          <w:rFonts w:hint="eastAsia" w:ascii="仿宋" w:hAnsi="仿宋" w:eastAsia="仿宋" w:cs="仿宋"/>
          <w:sz w:val="32"/>
          <w:szCs w:val="32"/>
        </w:rPr>
      </w:pPr>
      <w:r>
        <w:rPr>
          <w:rFonts w:hint="eastAsia" w:ascii="仿宋" w:hAnsi="仿宋" w:eastAsia="仿宋" w:cs="仿宋"/>
          <w:sz w:val="32"/>
          <w:szCs w:val="32"/>
        </w:rPr>
        <w:t>（四）协同有关</w:t>
      </w:r>
      <w:r>
        <w:rPr>
          <w:rFonts w:hint="eastAsia" w:ascii="仿宋" w:hAnsi="仿宋" w:eastAsia="仿宋" w:cs="仿宋"/>
          <w:sz w:val="32"/>
          <w:szCs w:val="32"/>
          <w:lang w:eastAsia="zh-CN"/>
        </w:rPr>
        <w:t>单位</w:t>
      </w:r>
      <w:r>
        <w:rPr>
          <w:rFonts w:hint="eastAsia" w:ascii="仿宋" w:hAnsi="仿宋" w:eastAsia="仿宋" w:cs="仿宋"/>
          <w:sz w:val="32"/>
          <w:szCs w:val="32"/>
        </w:rPr>
        <w:t>组织文艺活动的重大评奖活动。组织开展文艺评论、文艺理论研究、学术交流研讨等活动。</w:t>
      </w:r>
    </w:p>
    <w:p w14:paraId="2892990D">
      <w:pPr>
        <w:pStyle w:val="25"/>
        <w:rPr>
          <w:rFonts w:hint="eastAsia" w:ascii="仿宋" w:hAnsi="仿宋" w:eastAsia="仿宋" w:cs="仿宋"/>
          <w:sz w:val="32"/>
          <w:szCs w:val="32"/>
        </w:rPr>
      </w:pPr>
      <w:r>
        <w:rPr>
          <w:rFonts w:hint="eastAsia" w:ascii="仿宋" w:hAnsi="仿宋" w:eastAsia="仿宋" w:cs="仿宋"/>
          <w:sz w:val="32"/>
          <w:szCs w:val="32"/>
        </w:rPr>
        <w:t>（五）依法开展文艺领域行业教育、行业自律、行业服务和行业管理工作，开展行风建设和职业道德建设。</w:t>
      </w:r>
    </w:p>
    <w:p w14:paraId="79D65982">
      <w:pPr>
        <w:pStyle w:val="25"/>
        <w:rPr>
          <w:rFonts w:hint="eastAsia" w:ascii="仿宋" w:hAnsi="仿宋" w:eastAsia="仿宋" w:cs="仿宋"/>
          <w:sz w:val="32"/>
          <w:szCs w:val="32"/>
        </w:rPr>
      </w:pPr>
      <w:r>
        <w:rPr>
          <w:rFonts w:hint="eastAsia" w:ascii="仿宋" w:hAnsi="仿宋" w:eastAsia="仿宋" w:cs="仿宋"/>
          <w:sz w:val="32"/>
          <w:szCs w:val="32"/>
        </w:rPr>
        <w:t>（六）服务区委、区政府工作大局，传播中华优秀传统文化，组织开展文化交流合作。</w:t>
      </w:r>
    </w:p>
    <w:p w14:paraId="493DC37F">
      <w:pPr>
        <w:pStyle w:val="25"/>
        <w:rPr>
          <w:rFonts w:hint="eastAsia" w:ascii="仿宋" w:hAnsi="仿宋" w:eastAsia="仿宋" w:cs="仿宋"/>
          <w:sz w:val="32"/>
          <w:szCs w:val="32"/>
        </w:rPr>
      </w:pPr>
      <w:r>
        <w:rPr>
          <w:rFonts w:hint="eastAsia" w:ascii="仿宋" w:hAnsi="仿宋" w:eastAsia="仿宋" w:cs="仿宋"/>
          <w:sz w:val="32"/>
          <w:szCs w:val="32"/>
        </w:rPr>
        <w:t>（七）组织开展文艺领域侵权纠纷调解、权益保护协调合作、诉求表达处理、法律志愿服务等维权服务工作，维护文艺工作者合法权益。</w:t>
      </w:r>
    </w:p>
    <w:p w14:paraId="28FEFB0C">
      <w:pPr>
        <w:pStyle w:val="25"/>
        <w:rPr>
          <w:rFonts w:hint="eastAsia" w:ascii="仿宋" w:hAnsi="仿宋" w:eastAsia="仿宋" w:cs="仿宋"/>
          <w:sz w:val="32"/>
          <w:szCs w:val="32"/>
        </w:rPr>
      </w:pPr>
      <w:r>
        <w:rPr>
          <w:rFonts w:hint="eastAsia" w:ascii="仿宋" w:hAnsi="仿宋" w:eastAsia="仿宋" w:cs="仿宋"/>
          <w:sz w:val="32"/>
          <w:szCs w:val="32"/>
        </w:rPr>
        <w:t>（八）引导网络文艺创作生产，促进传统文艺和网络文艺融合发展。</w:t>
      </w:r>
    </w:p>
    <w:p w14:paraId="1CC2AA80">
      <w:pPr>
        <w:pStyle w:val="25"/>
        <w:rPr>
          <w:rFonts w:hint="eastAsia" w:ascii="仿宋" w:hAnsi="仿宋" w:eastAsia="仿宋" w:cs="仿宋"/>
          <w:sz w:val="32"/>
          <w:szCs w:val="32"/>
        </w:rPr>
      </w:pPr>
      <w:r>
        <w:rPr>
          <w:rFonts w:hint="eastAsia" w:ascii="仿宋" w:hAnsi="仿宋" w:eastAsia="仿宋" w:cs="仿宋"/>
          <w:sz w:val="32"/>
          <w:szCs w:val="32"/>
        </w:rPr>
        <w:t>（九）联络、协调、服务和指导各文艺家协会，对区文联业务主管的社会组织进行日常联系和监督管理，依法依章程指导基层文联工作。编辑出版有关文艺刊物和文艺书籍。</w:t>
      </w:r>
    </w:p>
    <w:p w14:paraId="401C6ED9">
      <w:pPr>
        <w:pStyle w:val="25"/>
        <w:rPr>
          <w:rFonts w:hint="eastAsia" w:ascii="仿宋" w:hAnsi="仿宋" w:eastAsia="仿宋" w:cs="仿宋"/>
          <w:sz w:val="32"/>
          <w:szCs w:val="32"/>
        </w:rPr>
      </w:pPr>
      <w:r>
        <w:rPr>
          <w:rFonts w:hint="eastAsia" w:ascii="仿宋" w:hAnsi="仿宋" w:eastAsia="仿宋" w:cs="仿宋"/>
          <w:sz w:val="32"/>
          <w:szCs w:val="32"/>
        </w:rPr>
        <w:t>（十）完成区委、区政府交办的其他事项。</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单位</w:t>
            </w:r>
            <w:r>
              <w:rPr>
                <w:rFonts w:hint="eastAsia" w:ascii="仿宋_GB2312" w:hAnsi="Calibri" w:eastAsia="仿宋_GB2312" w:cs="ArialUnicodeMS"/>
                <w:b/>
                <w:bCs/>
                <w:kern w:val="0"/>
                <w:sz w:val="28"/>
                <w:szCs w:val="28"/>
              </w:rPr>
              <w:t>名称</w:t>
            </w:r>
          </w:p>
        </w:tc>
        <w:tc>
          <w:tcPr>
            <w:tcW w:w="24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单位</w:t>
            </w:r>
            <w:r>
              <w:rPr>
                <w:rFonts w:hint="eastAsia" w:ascii="仿宋_GB2312" w:hAnsi="Calibri" w:eastAsia="仿宋_GB2312" w:cs="ArialUnicodeMS"/>
                <w:b/>
                <w:bCs/>
                <w:kern w:val="0"/>
                <w:sz w:val="28"/>
                <w:szCs w:val="28"/>
              </w:rPr>
              <w:t>基本性质</w:t>
            </w:r>
          </w:p>
        </w:tc>
        <w:tc>
          <w:tcPr>
            <w:tcW w:w="2665"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C1D67A7">
            <w:pPr>
              <w:spacing w:line="560" w:lineRule="exact"/>
              <w:rPr>
                <w:rFonts w:ascii="仿宋_GB2312" w:hAnsi="Calibri" w:eastAsia="仿宋_GB2312" w:cs="ArialUnicodeMS"/>
                <w:kern w:val="0"/>
                <w:sz w:val="28"/>
                <w:szCs w:val="28"/>
              </w:rPr>
            </w:pPr>
            <w:r>
              <w:rPr>
                <w:rFonts w:hint="eastAsia" w:ascii="仿宋" w:hAnsi="仿宋" w:eastAsia="仿宋" w:cs="仿宋"/>
                <w:sz w:val="28"/>
                <w:szCs w:val="28"/>
              </w:rPr>
              <w:t>石家庄市鹿泉区文学艺术界联合会</w:t>
            </w:r>
          </w:p>
        </w:tc>
        <w:tc>
          <w:tcPr>
            <w:tcW w:w="2445" w:type="dxa"/>
          </w:tcPr>
          <w:p w14:paraId="735CA16D">
            <w:pPr>
              <w:spacing w:line="560" w:lineRule="exact"/>
              <w:jc w:val="center"/>
              <w:rPr>
                <w:rFonts w:hint="default" w:ascii="仿宋_GB2312" w:hAnsi="Calibri" w:eastAsia="仿宋" w:cs="ArialUnicodeMS"/>
                <w:kern w:val="0"/>
                <w:sz w:val="28"/>
                <w:szCs w:val="28"/>
                <w:lang w:val="en-US" w:eastAsia="zh-CN"/>
              </w:rPr>
            </w:pPr>
            <w:r>
              <w:rPr>
                <w:rFonts w:hint="eastAsia" w:ascii="仿宋" w:hAnsi="仿宋" w:eastAsia="仿宋" w:cs="仿宋"/>
                <w:sz w:val="28"/>
                <w:szCs w:val="28"/>
              </w:rPr>
              <w:t>参公</w:t>
            </w:r>
            <w:r>
              <w:rPr>
                <w:rFonts w:hint="eastAsia" w:ascii="仿宋" w:hAnsi="仿宋" w:eastAsia="仿宋" w:cs="仿宋"/>
                <w:sz w:val="28"/>
                <w:szCs w:val="28"/>
                <w:lang w:val="en-US" w:eastAsia="zh-CN"/>
              </w:rPr>
              <w:t>事业单位</w:t>
            </w:r>
          </w:p>
        </w:tc>
        <w:tc>
          <w:tcPr>
            <w:tcW w:w="2665" w:type="dxa"/>
          </w:tcPr>
          <w:p w14:paraId="089892CD">
            <w:pPr>
              <w:spacing w:line="560" w:lineRule="exact"/>
              <w:jc w:val="center"/>
              <w:rPr>
                <w:rFonts w:ascii="仿宋_GB2312" w:hAnsi="Calibri" w:eastAsia="仿宋_GB2312" w:cs="ArialUnicodeMS"/>
                <w:kern w:val="0"/>
                <w:sz w:val="28"/>
                <w:szCs w:val="28"/>
              </w:rPr>
            </w:pPr>
            <w:r>
              <w:rPr>
                <w:rFonts w:hint="eastAsia" w:ascii="仿宋" w:hAnsi="仿宋" w:eastAsia="仿宋" w:cs="仿宋"/>
                <w:sz w:val="28"/>
                <w:szCs w:val="28"/>
              </w:rPr>
              <w:t>财政拨款</w:t>
            </w: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7429A7A">
            <w:pPr>
              <w:spacing w:line="560" w:lineRule="exact"/>
              <w:ind w:firstLine="560" w:firstLineChars="200"/>
              <w:jc w:val="left"/>
              <w:rPr>
                <w:rFonts w:ascii="仿宋_GB2312" w:hAnsi="Calibri" w:eastAsia="仿宋_GB2312" w:cs="ArialUnicodeMS"/>
                <w:kern w:val="0"/>
                <w:sz w:val="28"/>
                <w:szCs w:val="28"/>
              </w:rPr>
            </w:pP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D462152">
      <w:pPr>
        <w:widowControl/>
        <w:spacing w:after="160" w:line="580" w:lineRule="exact"/>
        <w:ind w:firstLine="560" w:firstLineChars="200"/>
        <w:rPr>
          <w:rFonts w:hint="eastAsia" w:ascii="黑体" w:hAnsi="黑体" w:eastAsia="黑体" w:cs="黑体"/>
          <w:sz w:val="28"/>
          <w:szCs w:val="28"/>
        </w:rPr>
      </w:pPr>
      <w:r>
        <w:rPr>
          <w:rFonts w:hint="eastAsia" w:ascii="黑体" w:hAnsi="黑体" w:eastAsia="黑体" w:cs="黑体"/>
          <w:sz w:val="28"/>
          <w:szCs w:val="28"/>
        </w:rPr>
        <w:t>我</w:t>
      </w:r>
      <w:r>
        <w:rPr>
          <w:rFonts w:hint="eastAsia" w:ascii="黑体" w:hAnsi="黑体" w:eastAsia="黑体" w:cs="黑体"/>
          <w:sz w:val="28"/>
          <w:szCs w:val="28"/>
          <w:lang w:eastAsia="zh-CN"/>
        </w:rPr>
        <w:t>单位</w:t>
      </w:r>
      <w:r>
        <w:rPr>
          <w:rFonts w:hint="eastAsia" w:ascii="黑体" w:hAnsi="黑体" w:eastAsia="黑体" w:cs="黑体"/>
          <w:sz w:val="28"/>
          <w:szCs w:val="28"/>
        </w:rPr>
        <w:t>无二级预算</w:t>
      </w:r>
      <w:r>
        <w:rPr>
          <w:rFonts w:hint="eastAsia" w:ascii="黑体" w:hAnsi="黑体" w:eastAsia="黑体" w:cs="黑体"/>
          <w:sz w:val="28"/>
          <w:szCs w:val="28"/>
          <w:lang w:eastAsia="zh-CN"/>
        </w:rPr>
        <w:t>单位</w:t>
      </w:r>
      <w:r>
        <w:rPr>
          <w:rFonts w:hint="eastAsia" w:ascii="黑体" w:hAnsi="黑体" w:eastAsia="黑体" w:cs="黑体"/>
          <w:sz w:val="28"/>
          <w:szCs w:val="28"/>
        </w:rPr>
        <w:t>，因此，石家庄市鹿泉区文学艺术界联合会2023年度</w:t>
      </w:r>
      <w:r>
        <w:rPr>
          <w:rFonts w:hint="eastAsia" w:ascii="黑体" w:hAnsi="黑体" w:eastAsia="黑体" w:cs="黑体"/>
          <w:sz w:val="28"/>
          <w:szCs w:val="28"/>
          <w:lang w:eastAsia="zh-CN"/>
        </w:rPr>
        <w:t>单位</w:t>
      </w:r>
      <w:r>
        <w:rPr>
          <w:rFonts w:hint="eastAsia" w:ascii="黑体" w:hAnsi="黑体" w:eastAsia="黑体" w:cs="黑体"/>
          <w:sz w:val="28"/>
          <w:szCs w:val="28"/>
        </w:rPr>
        <w:t>决算即石家庄市鹿泉区文学艺术界联合会本级2023年度决算。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3FF1E50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C4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967C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2117BB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9BF2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6E5B9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4CD608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68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C7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104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8C4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8A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D9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14:paraId="15AB0E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0B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074BA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32EF6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755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D8A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904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7D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49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0F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14:paraId="42C906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14:paraId="3974C3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798F9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16C04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E4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86A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4A2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61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DB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97BE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1F490D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07114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ECE8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5C14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701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551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D0E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BC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7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5F2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A576A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44B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FC44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30B43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264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CF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773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CB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8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134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564A9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848B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78A88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4ADA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10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CDE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797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0F5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6B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EB7F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C004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2C45C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38F45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7D0DC5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2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B76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20D4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89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9D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20D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1F84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BE6A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B32C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F973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F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205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631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BB9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40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528A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F062C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D66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D7A80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88A7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211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70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554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76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B7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871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2277C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CF71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70D3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5FC47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3C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621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5F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29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6B2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B9B5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9ECE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8A0CB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A85E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694AE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3BF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FC5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B77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7B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CC4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906C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D3F4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1F2B2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8F4B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550F1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030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7C5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79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D2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D3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6047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1C1FB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C3C0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11CD4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F701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2A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DFD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64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6B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1FF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D4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A7116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B85D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61D0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72C50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B2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F79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4C2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5677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p>
        </w:tc>
      </w:tr>
      <w:tr w14:paraId="7BC8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B2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251DAB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D12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667B6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47C2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249B46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5BE5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CADE68">
            <w:pPr>
              <w:jc w:val="right"/>
              <w:rPr>
                <w:rFonts w:hint="default" w:ascii="Times New Roman" w:hAnsi="Times New Roman" w:eastAsia="宋体" w:cs="Times New Roman"/>
                <w:i w:val="0"/>
                <w:iCs w:val="0"/>
                <w:color w:val="000000"/>
                <w:sz w:val="20"/>
                <w:szCs w:val="20"/>
                <w:highlight w:val="none"/>
                <w:u w:val="none"/>
              </w:rPr>
            </w:pPr>
          </w:p>
        </w:tc>
      </w:tr>
      <w:tr w14:paraId="3FF75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AA9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14:paraId="3A32C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65E9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gridSpan w:val="2"/>
            <w:tcBorders>
              <w:top w:val="nil"/>
              <w:left w:val="nil"/>
              <w:bottom w:val="single" w:color="000000" w:sz="4" w:space="0"/>
              <w:right w:val="single" w:color="000000" w:sz="4" w:space="0"/>
            </w:tcBorders>
            <w:noWrap/>
            <w:vAlign w:val="center"/>
          </w:tcPr>
          <w:p w14:paraId="7852FD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1259A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9FCD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7ED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B88CED">
            <w:pPr>
              <w:jc w:val="right"/>
              <w:rPr>
                <w:rFonts w:hint="default" w:ascii="Times New Roman" w:hAnsi="Times New Roman" w:eastAsia="宋体" w:cs="Times New Roman"/>
                <w:i w:val="0"/>
                <w:iCs w:val="0"/>
                <w:color w:val="000000"/>
                <w:sz w:val="20"/>
                <w:szCs w:val="20"/>
                <w:highlight w:val="none"/>
                <w:u w:val="none"/>
              </w:rPr>
            </w:pPr>
          </w:p>
        </w:tc>
      </w:tr>
      <w:tr w14:paraId="771F5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BB8C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14:paraId="76BD6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14:paraId="3E4FD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049D8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4A5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499CB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397A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EB11A1">
            <w:pPr>
              <w:jc w:val="right"/>
              <w:rPr>
                <w:rFonts w:hint="default" w:ascii="Times New Roman" w:hAnsi="Times New Roman" w:eastAsia="宋体" w:cs="Times New Roman"/>
                <w:i w:val="0"/>
                <w:iCs w:val="0"/>
                <w:color w:val="000000"/>
                <w:sz w:val="20"/>
                <w:szCs w:val="20"/>
                <w:highlight w:val="none"/>
                <w:u w:val="none"/>
              </w:rPr>
            </w:pPr>
          </w:p>
        </w:tc>
      </w:tr>
      <w:tr w14:paraId="39307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F4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631105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202BE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5A338C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FCB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11F2B0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A55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6C8F18">
            <w:pPr>
              <w:jc w:val="right"/>
              <w:rPr>
                <w:rFonts w:hint="default" w:ascii="Times New Roman" w:hAnsi="Times New Roman" w:eastAsia="宋体" w:cs="Times New Roman"/>
                <w:i w:val="0"/>
                <w:iCs w:val="0"/>
                <w:color w:val="000000"/>
                <w:sz w:val="20"/>
                <w:szCs w:val="20"/>
                <w:highlight w:val="none"/>
                <w:u w:val="none"/>
              </w:rPr>
            </w:pPr>
          </w:p>
        </w:tc>
      </w:tr>
      <w:tr w14:paraId="2A98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D5F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A0342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07A8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E701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5CB21CC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7469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AEE8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10741B">
            <w:pPr>
              <w:jc w:val="right"/>
              <w:rPr>
                <w:rFonts w:hint="default" w:ascii="Times New Roman" w:hAnsi="Times New Roman" w:eastAsia="宋体" w:cs="Times New Roman"/>
                <w:i w:val="0"/>
                <w:iCs w:val="0"/>
                <w:color w:val="000000"/>
                <w:sz w:val="20"/>
                <w:szCs w:val="20"/>
                <w:highlight w:val="none"/>
                <w:u w:val="none"/>
              </w:rPr>
            </w:pPr>
          </w:p>
        </w:tc>
      </w:tr>
      <w:tr w14:paraId="5EA7F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BF4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7C9D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D9BC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29117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0ED19D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810F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D39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3DADD">
            <w:pPr>
              <w:jc w:val="right"/>
              <w:rPr>
                <w:rFonts w:hint="default" w:ascii="Times New Roman" w:hAnsi="Times New Roman" w:eastAsia="宋体" w:cs="Times New Roman"/>
                <w:i w:val="0"/>
                <w:iCs w:val="0"/>
                <w:color w:val="000000"/>
                <w:sz w:val="20"/>
                <w:szCs w:val="20"/>
                <w:highlight w:val="none"/>
                <w:u w:val="none"/>
              </w:rPr>
            </w:pPr>
          </w:p>
        </w:tc>
      </w:tr>
      <w:tr w14:paraId="64295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D5E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22C1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3AF49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gridSpan w:val="2"/>
            <w:tcBorders>
              <w:top w:val="nil"/>
              <w:left w:val="nil"/>
              <w:bottom w:val="single" w:color="000000" w:sz="4" w:space="0"/>
              <w:right w:val="single" w:color="000000" w:sz="4" w:space="0"/>
            </w:tcBorders>
            <w:noWrap/>
            <w:vAlign w:val="center"/>
          </w:tcPr>
          <w:p w14:paraId="39960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tcBorders>
              <w:top w:val="nil"/>
              <w:left w:val="nil"/>
              <w:bottom w:val="single" w:color="000000" w:sz="4" w:space="0"/>
              <w:right w:val="single" w:color="000000" w:sz="4" w:space="0"/>
            </w:tcBorders>
            <w:noWrap/>
            <w:vAlign w:val="center"/>
          </w:tcPr>
          <w:p w14:paraId="12CC3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3EA0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8A2F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1845DD">
            <w:pPr>
              <w:jc w:val="right"/>
              <w:rPr>
                <w:rFonts w:hint="default" w:ascii="Times New Roman" w:hAnsi="Times New Roman" w:eastAsia="宋体" w:cs="Times New Roman"/>
                <w:i w:val="0"/>
                <w:iCs w:val="0"/>
                <w:color w:val="000000"/>
                <w:sz w:val="20"/>
                <w:szCs w:val="20"/>
                <w:highlight w:val="none"/>
                <w:u w:val="none"/>
              </w:rPr>
            </w:pPr>
          </w:p>
        </w:tc>
      </w:tr>
      <w:tr w14:paraId="61341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8D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67573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9987F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gridSpan w:val="2"/>
            <w:tcBorders>
              <w:top w:val="nil"/>
              <w:left w:val="nil"/>
              <w:bottom w:val="single" w:color="000000" w:sz="4" w:space="0"/>
              <w:right w:val="single" w:color="000000" w:sz="4" w:space="0"/>
            </w:tcBorders>
            <w:noWrap/>
            <w:vAlign w:val="center"/>
          </w:tcPr>
          <w:p w14:paraId="2A189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tcBorders>
              <w:top w:val="nil"/>
              <w:left w:val="nil"/>
              <w:bottom w:val="single" w:color="000000" w:sz="4" w:space="0"/>
              <w:right w:val="single" w:color="000000" w:sz="4" w:space="0"/>
            </w:tcBorders>
            <w:noWrap/>
            <w:vAlign w:val="center"/>
          </w:tcPr>
          <w:p w14:paraId="017417C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F45A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B367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2E5E13">
            <w:pPr>
              <w:jc w:val="right"/>
              <w:rPr>
                <w:rFonts w:hint="default" w:ascii="Times New Roman" w:hAnsi="Times New Roman" w:eastAsia="宋体" w:cs="Times New Roman"/>
                <w:i w:val="0"/>
                <w:iCs w:val="0"/>
                <w:color w:val="000000"/>
                <w:sz w:val="20"/>
                <w:szCs w:val="20"/>
                <w:highlight w:val="none"/>
                <w:u w:val="none"/>
              </w:rPr>
            </w:pPr>
          </w:p>
        </w:tc>
      </w:tr>
      <w:tr w14:paraId="0A746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2AF3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2009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47F1F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0E230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4206EA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FC75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2F3B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94A708">
            <w:pPr>
              <w:jc w:val="right"/>
              <w:rPr>
                <w:rFonts w:hint="default" w:ascii="Times New Roman" w:hAnsi="Times New Roman" w:eastAsia="宋体" w:cs="Times New Roman"/>
                <w:i w:val="0"/>
                <w:iCs w:val="0"/>
                <w:color w:val="000000"/>
                <w:sz w:val="20"/>
                <w:szCs w:val="20"/>
                <w:highlight w:val="none"/>
                <w:u w:val="none"/>
              </w:rPr>
            </w:pPr>
          </w:p>
        </w:tc>
      </w:tr>
      <w:tr w14:paraId="37BD0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9D8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317A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EA10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2481B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CE560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1933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DDEF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BB3025">
            <w:pPr>
              <w:jc w:val="right"/>
              <w:rPr>
                <w:rFonts w:hint="default" w:ascii="Times New Roman" w:hAnsi="Times New Roman" w:eastAsia="宋体" w:cs="Times New Roman"/>
                <w:i w:val="0"/>
                <w:iCs w:val="0"/>
                <w:color w:val="000000"/>
                <w:sz w:val="20"/>
                <w:szCs w:val="20"/>
                <w:highlight w:val="none"/>
                <w:u w:val="none"/>
              </w:rPr>
            </w:pPr>
          </w:p>
        </w:tc>
      </w:tr>
      <w:tr w14:paraId="4F84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B20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1DDD37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190F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3ECCE0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E8940F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EF3C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622C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D7C8E0">
            <w:pPr>
              <w:jc w:val="right"/>
              <w:rPr>
                <w:rFonts w:hint="default" w:ascii="Times New Roman" w:hAnsi="Times New Roman" w:eastAsia="宋体" w:cs="Times New Roman"/>
                <w:i w:val="0"/>
                <w:iCs w:val="0"/>
                <w:color w:val="000000"/>
                <w:sz w:val="20"/>
                <w:szCs w:val="20"/>
                <w:highlight w:val="none"/>
                <w:u w:val="none"/>
              </w:rPr>
            </w:pPr>
          </w:p>
        </w:tc>
      </w:tr>
      <w:tr w14:paraId="0567C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D0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EC0CF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D5500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30FD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1BA811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FAF1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AE9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AA66D">
            <w:pPr>
              <w:jc w:val="right"/>
              <w:rPr>
                <w:rFonts w:hint="default" w:ascii="Times New Roman" w:hAnsi="Times New Roman" w:eastAsia="宋体" w:cs="Times New Roman"/>
                <w:i w:val="0"/>
                <w:iCs w:val="0"/>
                <w:color w:val="000000"/>
                <w:sz w:val="20"/>
                <w:szCs w:val="20"/>
                <w:highlight w:val="none"/>
                <w:u w:val="none"/>
              </w:rPr>
            </w:pPr>
          </w:p>
        </w:tc>
      </w:tr>
      <w:tr w14:paraId="1FEC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49FA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001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11554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23A10E1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13A6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CF0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9DF89">
            <w:pPr>
              <w:jc w:val="right"/>
              <w:rPr>
                <w:rFonts w:hint="default" w:ascii="Times New Roman" w:hAnsi="Times New Roman" w:eastAsia="宋体" w:cs="Times New Roman"/>
                <w:i w:val="0"/>
                <w:iCs w:val="0"/>
                <w:color w:val="000000"/>
                <w:sz w:val="20"/>
                <w:szCs w:val="20"/>
                <w:highlight w:val="none"/>
                <w:u w:val="none"/>
              </w:rPr>
            </w:pPr>
          </w:p>
        </w:tc>
      </w:tr>
      <w:tr w14:paraId="18A8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435E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3AF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3ED1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558F5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010CB2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AC43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3E8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8C9ECE">
            <w:pPr>
              <w:jc w:val="right"/>
              <w:rPr>
                <w:rFonts w:hint="default" w:ascii="Times New Roman" w:hAnsi="Times New Roman" w:eastAsia="宋体" w:cs="Times New Roman"/>
                <w:i w:val="0"/>
                <w:iCs w:val="0"/>
                <w:color w:val="000000"/>
                <w:sz w:val="20"/>
                <w:szCs w:val="20"/>
                <w:highlight w:val="none"/>
                <w:u w:val="none"/>
              </w:rPr>
            </w:pP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203.39</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6"/>
        <w:gridCol w:w="3416"/>
        <w:gridCol w:w="1106"/>
        <w:gridCol w:w="762"/>
        <w:gridCol w:w="794"/>
        <w:gridCol w:w="383"/>
        <w:gridCol w:w="1233"/>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57A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6DC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48" w:type="pct"/>
            <w:tcBorders>
              <w:top w:val="single" w:color="auto" w:sz="4" w:space="0"/>
              <w:left w:val="single" w:color="auto" w:sz="4" w:space="0"/>
              <w:bottom w:val="single" w:color="auto" w:sz="4" w:space="0"/>
              <w:right w:val="single" w:color="auto" w:sz="4" w:space="0"/>
            </w:tcBorders>
            <w:noWrap/>
            <w:vAlign w:val="center"/>
          </w:tcPr>
          <w:p w14:paraId="2E8AE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DAA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CCC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0EB4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6FBE8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045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8015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F2A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65AC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A8669B6">
            <w:pPr>
              <w:jc w:val="right"/>
              <w:rPr>
                <w:rFonts w:hint="default" w:ascii="Times New Roman" w:hAnsi="Times New Roman" w:eastAsia="宋体" w:cs="Times New Roman"/>
                <w:i w:val="0"/>
                <w:iCs w:val="0"/>
                <w:color w:val="000000"/>
                <w:sz w:val="20"/>
                <w:szCs w:val="20"/>
                <w:highlight w:val="none"/>
                <w:u w:val="none"/>
              </w:rPr>
            </w:pPr>
          </w:p>
        </w:tc>
      </w:tr>
      <w:tr w14:paraId="56F8C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2A7F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48" w:type="pct"/>
            <w:tcBorders>
              <w:top w:val="single" w:color="auto" w:sz="4" w:space="0"/>
              <w:left w:val="single" w:color="auto" w:sz="4" w:space="0"/>
              <w:bottom w:val="single" w:color="auto" w:sz="4" w:space="0"/>
              <w:right w:val="single" w:color="auto" w:sz="4" w:space="0"/>
            </w:tcBorders>
            <w:noWrap/>
            <w:vAlign w:val="center"/>
          </w:tcPr>
          <w:p w14:paraId="6FB1B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13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C3E81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60503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r>
      <w:tr w14:paraId="20811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FE94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4E312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4FE2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E2DA838">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1F56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r>
      <w:tr w14:paraId="0CBA2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BE28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48F73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FA9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A0F2A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710664DC">
            <w:pPr>
              <w:jc w:val="right"/>
              <w:rPr>
                <w:rFonts w:hint="default" w:ascii="Times New Roman" w:hAnsi="Times New Roman" w:eastAsia="宋体" w:cs="Times New Roman"/>
                <w:i w:val="0"/>
                <w:iCs w:val="0"/>
                <w:color w:val="000000"/>
                <w:sz w:val="20"/>
                <w:szCs w:val="20"/>
                <w:highlight w:val="none"/>
                <w:u w:val="none"/>
              </w:rPr>
            </w:pPr>
          </w:p>
        </w:tc>
      </w:tr>
      <w:tr w14:paraId="4FD58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3BAE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0A3EA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AE8A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CB59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5CC457D6">
            <w:pPr>
              <w:jc w:val="right"/>
              <w:rPr>
                <w:rFonts w:hint="default" w:ascii="Times New Roman" w:hAnsi="Times New Roman" w:eastAsia="宋体" w:cs="Times New Roman"/>
                <w:i w:val="0"/>
                <w:iCs w:val="0"/>
                <w:color w:val="000000"/>
                <w:sz w:val="20"/>
                <w:szCs w:val="20"/>
                <w:highlight w:val="none"/>
                <w:u w:val="none"/>
              </w:rPr>
            </w:pPr>
          </w:p>
        </w:tc>
      </w:tr>
      <w:tr w14:paraId="6E5F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B5A0A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252EB5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40B3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E18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213" w:type="pct"/>
            <w:tcBorders>
              <w:top w:val="single" w:color="auto" w:sz="4" w:space="0"/>
              <w:left w:val="single" w:color="auto" w:sz="4" w:space="0"/>
              <w:bottom w:val="single" w:color="auto" w:sz="4" w:space="0"/>
              <w:right w:val="single" w:color="auto" w:sz="4" w:space="0"/>
            </w:tcBorders>
            <w:noWrap/>
            <w:vAlign w:val="center"/>
          </w:tcPr>
          <w:p w14:paraId="578E6DCB">
            <w:pPr>
              <w:jc w:val="right"/>
              <w:rPr>
                <w:rFonts w:hint="default" w:ascii="Times New Roman" w:hAnsi="Times New Roman" w:eastAsia="宋体" w:cs="Times New Roman"/>
                <w:i w:val="0"/>
                <w:iCs w:val="0"/>
                <w:color w:val="000000"/>
                <w:sz w:val="20"/>
                <w:szCs w:val="20"/>
                <w:highlight w:val="none"/>
                <w:u w:val="none"/>
              </w:rPr>
            </w:pPr>
          </w:p>
        </w:tc>
      </w:tr>
      <w:tr w14:paraId="1D5C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CAC7D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1E32C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9A50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785D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213" w:type="pct"/>
            <w:tcBorders>
              <w:top w:val="single" w:color="auto" w:sz="4" w:space="0"/>
              <w:left w:val="single" w:color="auto" w:sz="4" w:space="0"/>
              <w:bottom w:val="single" w:color="auto" w:sz="4" w:space="0"/>
              <w:right w:val="single" w:color="auto" w:sz="4" w:space="0"/>
            </w:tcBorders>
            <w:noWrap/>
            <w:vAlign w:val="center"/>
          </w:tcPr>
          <w:p w14:paraId="1CDAAC2C">
            <w:pPr>
              <w:jc w:val="right"/>
              <w:rPr>
                <w:rFonts w:hint="default" w:ascii="Times New Roman" w:hAnsi="Times New Roman" w:eastAsia="宋体" w:cs="Times New Roman"/>
                <w:i w:val="0"/>
                <w:iCs w:val="0"/>
                <w:color w:val="000000"/>
                <w:sz w:val="20"/>
                <w:szCs w:val="20"/>
                <w:highlight w:val="none"/>
                <w:u w:val="none"/>
              </w:rPr>
            </w:pPr>
          </w:p>
        </w:tc>
      </w:tr>
      <w:tr w14:paraId="02CD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DC7A0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BC6F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89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6C8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41910BF">
            <w:pPr>
              <w:jc w:val="right"/>
              <w:rPr>
                <w:rFonts w:hint="default" w:ascii="Times New Roman" w:hAnsi="Times New Roman" w:eastAsia="宋体" w:cs="Times New Roman"/>
                <w:i w:val="0"/>
                <w:iCs w:val="0"/>
                <w:color w:val="000000"/>
                <w:sz w:val="20"/>
                <w:szCs w:val="20"/>
                <w:highlight w:val="none"/>
                <w:u w:val="none"/>
              </w:rPr>
            </w:pPr>
          </w:p>
        </w:tc>
      </w:tr>
      <w:tr w14:paraId="110E3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2D4A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2038A6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1425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A1CD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91306AC">
            <w:pPr>
              <w:jc w:val="right"/>
              <w:rPr>
                <w:rFonts w:hint="default" w:ascii="Times New Roman" w:hAnsi="Times New Roman" w:eastAsia="宋体" w:cs="Times New Roman"/>
                <w:i w:val="0"/>
                <w:iCs w:val="0"/>
                <w:color w:val="000000"/>
                <w:sz w:val="20"/>
                <w:szCs w:val="20"/>
                <w:highlight w:val="none"/>
                <w:u w:val="none"/>
              </w:rPr>
            </w:pPr>
          </w:p>
        </w:tc>
      </w:tr>
      <w:tr w14:paraId="5C8A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9FFE4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152DF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8043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B58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37D2B3E0">
            <w:pPr>
              <w:jc w:val="right"/>
              <w:rPr>
                <w:rFonts w:hint="default" w:ascii="Times New Roman" w:hAnsi="Times New Roman" w:eastAsia="宋体" w:cs="Times New Roman"/>
                <w:i w:val="0"/>
                <w:iCs w:val="0"/>
                <w:color w:val="000000"/>
                <w:sz w:val="20"/>
                <w:szCs w:val="20"/>
                <w:highlight w:val="none"/>
                <w:u w:val="none"/>
              </w:rPr>
            </w:pPr>
          </w:p>
        </w:tc>
      </w:tr>
      <w:tr w14:paraId="2A33D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ECEE8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1A44D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275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52B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374E8DF5">
            <w:pPr>
              <w:jc w:val="right"/>
              <w:rPr>
                <w:rFonts w:hint="default" w:ascii="Times New Roman" w:hAnsi="Times New Roman" w:eastAsia="宋体" w:cs="Times New Roman"/>
                <w:i w:val="0"/>
                <w:iCs w:val="0"/>
                <w:color w:val="000000"/>
                <w:sz w:val="20"/>
                <w:szCs w:val="20"/>
                <w:highlight w:val="none"/>
                <w:u w:val="none"/>
              </w:rPr>
            </w:pPr>
          </w:p>
        </w:tc>
      </w:tr>
      <w:tr w14:paraId="5DAD4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5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5E98A9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A2D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D33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41EFF9C7">
            <w:pPr>
              <w:jc w:val="right"/>
              <w:rPr>
                <w:rFonts w:hint="default" w:ascii="Times New Roman" w:hAnsi="Times New Roman" w:eastAsia="宋体" w:cs="Times New Roman"/>
                <w:i w:val="0"/>
                <w:iCs w:val="0"/>
                <w:color w:val="000000"/>
                <w:sz w:val="20"/>
                <w:szCs w:val="20"/>
                <w:highlight w:val="none"/>
                <w:u w:val="none"/>
              </w:rPr>
            </w:pPr>
          </w:p>
        </w:tc>
      </w:tr>
      <w:tr w14:paraId="649A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D66B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8FDFC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2A7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C636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51DE14E6">
            <w:pPr>
              <w:jc w:val="right"/>
              <w:rPr>
                <w:rFonts w:hint="default" w:ascii="Times New Roman" w:hAnsi="Times New Roman" w:eastAsia="宋体" w:cs="Times New Roman"/>
                <w:i w:val="0"/>
                <w:iCs w:val="0"/>
                <w:color w:val="000000"/>
                <w:sz w:val="20"/>
                <w:szCs w:val="20"/>
                <w:highlight w:val="none"/>
                <w:u w:val="none"/>
              </w:rPr>
            </w:pP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编制单位（单位）：石家庄市鹿泉区文学艺术界联合会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144.57</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26.64</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36.71</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28.01</w:t>
            </w: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44.14</w:t>
            </w: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12.93</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4.62</w:t>
            </w: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13.19</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5.28</w:t>
            </w: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0.58</w:t>
            </w: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157.41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26.64</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8AA6BB3">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本年度无相关收支情况，按要求空表列示。</w:t>
      </w: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591F5EFD">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编制单位（单位）：石家庄市鹿泉区文学艺术界联合会</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028527D0">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p w14:paraId="6EEFFBD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增加6.25万元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单位</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单位</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单位</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203.39万元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184.05万元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占90.49%；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19.34万元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单位</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；本年支出 203.39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增加6.25万元，增长3.17%，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；本年支出 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bookmarkStart w:id="0" w:name="_GoBack"/>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End w:id="0"/>
    </w:p>
    <w:p w14:paraId="24FE5AF9">
      <w:pPr>
        <w:snapToGrid w:val="0"/>
        <w:spacing w:line="580" w:lineRule="exact"/>
        <w:rPr>
          <w:rFonts w:hint="default" w:ascii="Times New Roman" w:hAnsi="Times New Roman" w:eastAsia="楷体_GB2312" w:cs="Times New Roman"/>
          <w:b/>
          <w:bCs/>
          <w:kern w:val="2"/>
          <w:sz w:val="32"/>
          <w:szCs w:val="32"/>
        </w:rPr>
      </w:pP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color w:val="auto"/>
          <w:kern w:val="2"/>
          <w:sz w:val="32"/>
          <w:szCs w:val="32"/>
          <w:lang w:val="zh-CN" w:eastAsia="zh-CN" w:bidi="ar-SA"/>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收入203.39万元，完成年初预算的 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6FBD3821">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年度财政拨款支出203.39万元，主要用于以下方面：</w:t>
      </w:r>
      <w:r>
        <w:rPr>
          <w:rFonts w:hint="default" w:ascii="Times New Roman" w:hAnsi="Times New Roman" w:eastAsia="仿宋_GB2312" w:cs="Times New Roman"/>
          <w:color w:val="auto"/>
          <w:kern w:val="2"/>
          <w:sz w:val="32"/>
          <w:szCs w:val="32"/>
          <w:lang w:val="zh-CN" w:eastAsia="zh-CN" w:bidi="ar-SA"/>
        </w:rPr>
        <w:t>文化旅游体育与传媒（类）支出155.55万元，占76.48%；社会保障和就业 （类）支出25.95万元，占12.76%；卫生健康（类）支出9.06万元，占4.45%；住房保障（类）支出12.83万元，占6.31%；</w:t>
      </w:r>
    </w:p>
    <w:p w14:paraId="29CB03E6">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年度财政拨款基本支出184.05万元，其中：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人员经费157.41万元，主要包括基本工资、津贴补贴、奖金、绩效工资、机关事业</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基本养老保险缴费、职业年金缴费、职工基本医疗保险缴费、公务员医疗补助缴费、住房公积金、退休费</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公用经费26.64万元，主要包括办公费、印刷费、水费、电费、取暖费、差旅费、劳务费、委托业务费、工会经费、福利费、办公设备购置</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组织的出国（境）团组。</w:t>
      </w:r>
    </w:p>
    <w:p w14:paraId="14F867E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年度机关运行经费支出26.64万元，较2022年度</w:t>
      </w:r>
      <w:r>
        <w:rPr>
          <w:rFonts w:hint="eastAsia" w:ascii="Times New Roman" w:hAnsi="Times New Roman" w:eastAsia="仿宋_GB2312" w:cs="Times New Roman"/>
          <w:color w:val="auto"/>
          <w:kern w:val="2"/>
          <w:sz w:val="32"/>
          <w:szCs w:val="32"/>
          <w:lang w:val="zh-CN" w:eastAsia="zh-CN" w:bidi="ar-SA"/>
        </w:rPr>
        <w:t>增加2.87万元，增长12.08%，</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公用经费增加</w:t>
      </w:r>
      <w:r>
        <w:rPr>
          <w:rFonts w:hint="default" w:ascii="Times New Roman" w:hAnsi="Times New Roman" w:eastAsia="仿宋_GB2312" w:cs="Times New Roman"/>
          <w:color w:val="auto"/>
          <w:kern w:val="2"/>
          <w:sz w:val="32"/>
          <w:szCs w:val="32"/>
          <w:lang w:val="zh-CN" w:eastAsia="zh-CN" w:bidi="ar-SA"/>
        </w:rPr>
        <w:t>。</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年度政府采购支出总额0.4万元，从采购类型来看，政府采购货物支出0.4万元、政府采购工程支出0万元、政府采购服务支出0万元。授予中小企业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0.4万元，占政府采购支出总额的100%，其中授予小微企业合同金额0.4万元，占政府采购支出总额的100%。</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辆，其他用车0辆。</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143164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32.19</w:t>
      </w:r>
      <w:r>
        <w:rPr>
          <w:rFonts w:hint="default" w:ascii="Times New Roman" w:hAnsi="Times New Roman" w:eastAsia="仿宋_GB2312" w:cs="Times New Roman"/>
          <w:color w:val="auto"/>
          <w:kern w:val="2"/>
          <w:sz w:val="32"/>
          <w:szCs w:val="32"/>
          <w:lang w:val="zh-CN" w:eastAsia="zh-CN" w:bidi="ar-SA"/>
        </w:rPr>
        <w:t>%</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个项目开展了</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评价，涉及一般公共预算支出</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大部分项目</w:t>
      </w:r>
      <w:r>
        <w:rPr>
          <w:rFonts w:hint="default" w:ascii="Times New Roman" w:hAnsi="Times New Roman" w:eastAsia="仿宋_GB2312" w:cs="Times New Roman"/>
          <w:color w:val="auto"/>
          <w:kern w:val="2"/>
          <w:sz w:val="32"/>
          <w:szCs w:val="32"/>
          <w:lang w:val="zh-CN" w:eastAsia="zh-CN" w:bidi="ar-SA"/>
        </w:rPr>
        <w:t>根据年初设定的绩效目标，按时间节点完成各项活动，支付项目资金，项目完成良好</w:t>
      </w: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决算中项目绩效自评结果（如有）</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在今年</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决算公开中反映</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项目及</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093CBF55">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3.91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33E74A9">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DC6960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《开国第一军校》《鹿泉民间传说故事》撰写印刷费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DEF16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2.63</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69394E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sz w:val="32"/>
          <w:szCs w:val="32"/>
          <w:lang w:val="en-US" w:eastAsia="zh-CN"/>
        </w:rPr>
        <w:t>5、文艺家之家经费0万元。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执行。</w:t>
      </w:r>
    </w:p>
    <w:p w14:paraId="1D36FCDF">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5" o:spt="75" type="#_x0000_t75" style="height:442pt;width:415.15pt;" o:ole="t" filled="f" o:preferrelative="t" stroked="f" coordsize="21600,21600">
            <v:path/>
            <v:fill on="f" focussize="0,0"/>
            <v:stroke on="f"/>
            <v:imagedata r:id="rId22" o:title=""/>
            <o:lock v:ext="edit" aspectratio="f"/>
            <w10:wrap type="none"/>
            <w10:anchorlock/>
          </v:shape>
          <o:OLEObject Type="Embed" ProgID="Excel.Sheet.8" ShapeID="_x0000_i1025" DrawAspect="Content" ObjectID="_1468075725" r:id="rId21">
            <o:LockedField>false</o:LockedField>
          </o:OLEObject>
        </w:object>
      </w:r>
    </w:p>
    <w:p w14:paraId="7AB4CF6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6" o:spt="75" type="#_x0000_t75" style="height:415.1pt;width:415.1pt;" o:ole="t" filled="f" o:preferrelative="t" stroked="f" coordsize="21600,21600">
            <v:path/>
            <v:fill on="f" focussize="0,0"/>
            <v:stroke on="f"/>
            <v:imagedata r:id="rId24" o:title=""/>
            <o:lock v:ext="edit" aspectratio="f"/>
            <w10:wrap type="none"/>
            <w10:anchorlock/>
          </v:shape>
          <o:OLEObject Type="Embed" ProgID="Excel.Sheet.8" ShapeID="_x0000_i1026" DrawAspect="Content" ObjectID="_1468075726" r:id="rId23">
            <o:LockedField>false</o:LockedField>
          </o:OLEObject>
        </w:object>
      </w:r>
    </w:p>
    <w:p w14:paraId="363770DD">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7" o:spt="75" type="#_x0000_t75" style="height:407.8pt;width:415.1pt;" o:ole="t" filled="f" o:preferrelative="t" stroked="f" coordsize="21600,21600">
            <v:path/>
            <v:fill on="f" focussize="0,0"/>
            <v:stroke on="f"/>
            <v:imagedata r:id="rId26" o:title=""/>
            <o:lock v:ext="edit" aspectratio="f"/>
            <w10:wrap type="none"/>
            <w10:anchorlock/>
          </v:shape>
          <o:OLEObject Type="Embed" ProgID="Excel.Sheet.8" ShapeID="_x0000_i1027" DrawAspect="Content" ObjectID="_1468075727" r:id="rId25">
            <o:LockedField>false</o:LockedField>
          </o:OLEObject>
        </w:object>
      </w:r>
    </w:p>
    <w:p w14:paraId="6311918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8" o:spt="75" type="#_x0000_t75" style="height:407.8pt;width:415.1pt;" o:ole="t" filled="f" o:preferrelative="t" stroked="f" coordsize="21600,21600">
            <v:path/>
            <v:fill on="f" focussize="0,0"/>
            <v:stroke on="f"/>
            <v:imagedata r:id="rId28" o:title=""/>
            <o:lock v:ext="edit" aspectratio="f"/>
            <w10:wrap type="none"/>
            <w10:anchorlock/>
          </v:shape>
          <o:OLEObject Type="Embed" ProgID="Excel.Sheet.8" ShapeID="_x0000_i1028" DrawAspect="Content" ObjectID="_1468075728" r:id="rId27">
            <o:LockedField>false</o:LockedField>
          </o:OLEObject>
        </w:object>
      </w:r>
    </w:p>
    <w:p w14:paraId="753554A3">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评价项目绩效评价结果</w:t>
      </w:r>
    </w:p>
    <w:p w14:paraId="7C3ACB0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《开国第一军校》《鹿泉民间传说故事》撰写印刷费项目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综合绩效评分为94分，优秀。3、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综合绩效评分为93分，优秀。</w:t>
      </w:r>
      <w:r>
        <w:rPr>
          <w:rFonts w:hint="eastAsia" w:ascii="仿宋" w:hAnsi="仿宋" w:eastAsia="仿宋"/>
          <w:sz w:val="32"/>
          <w:szCs w:val="32"/>
        </w:rPr>
        <w:t>根据</w:t>
      </w:r>
      <w:r>
        <w:rPr>
          <w:rFonts w:hint="eastAsia" w:ascii="仿宋" w:hAnsi="仿宋" w:eastAsia="仿宋"/>
          <w:sz w:val="32"/>
          <w:szCs w:val="32"/>
          <w:lang w:eastAsia="zh-CN"/>
        </w:rPr>
        <w:t>单位</w:t>
      </w:r>
      <w:r>
        <w:rPr>
          <w:rFonts w:hint="eastAsia" w:ascii="仿宋" w:hAnsi="仿宋" w:eastAsia="仿宋"/>
          <w:sz w:val="32"/>
          <w:szCs w:val="32"/>
        </w:rPr>
        <w:t>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综合绩效得分97分，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2023年度政府性基金预算、国有资本经营预算、财政拨款“三公”经费无收支及结转结余情况，故政府性基金预算财政拨款收入支出决算表（07 表）、国有资本经营预算财政拨款支出决算表（08 表）、财政拨款“三公”经费支出决算表（09 表）表以空表列示。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从同级财政</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（包括参照公务员法管理的事业</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2414EDB"/>
    <w:multiLevelType w:val="singleLevel"/>
    <w:tmpl w:val="52414EDB"/>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QsImhkaWQiOiIyZGEzNWMyNTE0YTJlMjg4OGRkNGFhOTE3ODA0OTBkMCIsInVzZXJDb3VudCI6NH0="/>
  </w:docVars>
  <w:rsids>
    <w:rsidRoot w:val="00172A27"/>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826175"/>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4C2D13"/>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01599"/>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04587"/>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6C515F"/>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7E2E63"/>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DC22F5"/>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7">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197.14</c:v>
                </c:pt>
                <c:pt idx="1">
                  <c:v>203.39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f3f5b1f-c967-4f68-b757-121a91f6b6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88596279294516"/>
          <c:y val="0.0295367615809605"/>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4144547275156"/>
                  <c:y val="0.5577985550361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23870500120802"/>
                  <c:y val="0.4105397365065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30635419183378"/>
                  <c:y val="0.298767530811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80864943223001"/>
                  <c:y val="0"/>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01280502536845"/>
                  <c:y val="0.1634084147896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2033866.46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e094f10-dbda-448e-a713-ecb5be8f2a1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84247402754289"/>
          <c:y val="0.021461963450913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270653713174228"/>
                  <c:y val="0.3227794305142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2613210736556"/>
                  <c:y val="0.21525711857203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8143401455156"/>
                  <c:y val="0.099256693579995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1840504.46</c:v>
                </c:pt>
                <c:pt idx="1">
                  <c:v>193362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cd414fc-660c-40c1-a06c-4872d0b3d9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197.14</c:v>
                </c:pt>
                <c:pt idx="1">
                  <c:v>197.14</c:v>
                </c:pt>
                <c:pt idx="2">
                  <c:v>197.14</c:v>
                </c:pt>
                <c:pt idx="3">
                  <c:v>197.14</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3c91ad4-1454-40ff-9443-86a12afffdd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267.2</c:v>
                </c:pt>
                <c:pt idx="1">
                  <c:v>267.2</c:v>
                </c:pt>
                <c:pt idx="2">
                  <c:v>267.2</c:v>
                </c:pt>
                <c:pt idx="3">
                  <c:v>267.2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9ad175f4-a673-4208-a2a2-e964a37c616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155.55</c:v>
                </c:pt>
                <c:pt idx="6">
                  <c:v>25.95</c:v>
                </c:pt>
                <c:pt idx="7">
                  <c:v>9.06</c:v>
                </c:pt>
                <c:pt idx="8">
                  <c:v>0</c:v>
                </c:pt>
                <c:pt idx="9">
                  <c:v>0</c:v>
                </c:pt>
                <c:pt idx="10">
                  <c:v>0</c:v>
                </c:pt>
                <c:pt idx="11">
                  <c:v>0</c:v>
                </c:pt>
                <c:pt idx="12">
                  <c:v>0</c:v>
                </c:pt>
                <c:pt idx="13">
                  <c:v>0</c:v>
                </c:pt>
                <c:pt idx="14">
                  <c:v>0</c:v>
                </c:pt>
                <c:pt idx="15">
                  <c:v>0</c:v>
                </c:pt>
                <c:pt idx="16">
                  <c:v>12.83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76023d6-79e9-430e-bac1-225f435dec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2887</Words>
  <Characters>3545</Characters>
  <Lines>86</Lines>
  <Paragraphs>24</Paragraphs>
  <TotalTime>9</TotalTime>
  <ScaleCrop>false</ScaleCrop>
  <LinksUpToDate>false</LinksUpToDate>
  <CharactersWithSpaces>3910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黄美玲</cp:lastModifiedBy>
  <cp:lastPrinted>2023-08-04T01:00:00Z</cp:lastPrinted>
  <dcterms:modified xsi:type="dcterms:W3CDTF">2025-12-08T08:46:44Z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FBBB28821CED49C1B64E6E8FD502F92C_13</vt:lpwstr>
  </property>
  <property fmtid="{D5CDD505-2E9C-101B-9397-08002B2CF9AE}" pid="4" name="KSOTemplateUUID">
    <vt:lpwstr>v1.0_mb_S7ajbG3IpAnL1wSthNCxfw==</vt:lpwstr>
  </property>
  <property fmtid="{D5CDD505-2E9C-101B-9397-08002B2CF9AE}" pid="5" name="KSOTemplateDocerSaveRecord">
    <vt:lpwstr>eyJoZGlkIjoiMmRhMzVjMjUxNGEyZTI4ODhkZDRhYTkxNzgwNDkwZDAiLCJ1c2VySWQiOiIxNzQ4NjUzOTQzIn0=</vt:lpwstr>
  </property>
</Properties>
</file>