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仿宋_GB2312" w:hAnsi="仿宋" w:eastAsia="仿宋_GB2312" w:cs="仿宋"/>
          <w:sz w:val="32"/>
          <w:szCs w:val="32"/>
        </w:rPr>
      </w:pPr>
    </w:p>
    <w:p>
      <w:pPr>
        <w:spacing w:line="760" w:lineRule="exact"/>
        <w:jc w:val="center"/>
        <w:rPr>
          <w:rFonts w:hint="eastAsia" w:ascii="方正小标宋简体" w:hAnsi="宋体" w:eastAsia="方正小标宋简体" w:cs="宋体"/>
          <w:b/>
          <w:bCs/>
          <w:sz w:val="44"/>
          <w:szCs w:val="44"/>
        </w:rPr>
      </w:pPr>
      <w:r>
        <w:rPr>
          <w:rFonts w:hint="eastAsia" w:ascii="方正小标宋简体" w:hAnsi="宋体" w:eastAsia="方正小标宋简体" w:cs="宋体"/>
          <w:b/>
          <w:bCs/>
          <w:sz w:val="44"/>
          <w:szCs w:val="44"/>
        </w:rPr>
        <w:t>石家庄市鹿泉区住房和城乡建设局</w:t>
      </w:r>
    </w:p>
    <w:p>
      <w:pPr>
        <w:spacing w:line="760" w:lineRule="exact"/>
        <w:jc w:val="center"/>
        <w:rPr>
          <w:rFonts w:hint="eastAsia" w:ascii="仿宋_GB2312" w:hAnsi="宋体" w:eastAsia="仿宋_GB2312" w:cs="宋体"/>
          <w:b/>
          <w:bCs/>
          <w:sz w:val="32"/>
          <w:szCs w:val="32"/>
        </w:rPr>
      </w:pPr>
      <w:r>
        <w:rPr>
          <w:rFonts w:hint="eastAsia" w:ascii="方正小标宋简体" w:hAnsi="宋体" w:eastAsia="方正小标宋简体" w:cs="宋体"/>
          <w:b/>
          <w:bCs/>
          <w:sz w:val="44"/>
          <w:szCs w:val="44"/>
        </w:rPr>
        <w:t>优化营商环境专项治理行动方案</w:t>
      </w:r>
      <w:bookmarkStart w:id="1" w:name="_GoBack"/>
      <w:bookmarkEnd w:id="1"/>
    </w:p>
    <w:p>
      <w:pPr>
        <w:ind w:firstLine="640" w:firstLineChars="200"/>
        <w:rPr>
          <w:rFonts w:hint="eastAsia" w:ascii="仿宋_GB2312" w:hAnsi="仿宋" w:eastAsia="仿宋_GB2312" w:cs="仿宋"/>
          <w:sz w:val="32"/>
          <w:szCs w:val="32"/>
        </w:rPr>
      </w:pPr>
    </w:p>
    <w:p>
      <w:p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为深入贯彻落实党中央国务院关于进一步优化营商环境的决策部署和区委区政府的工作要求，营造亲商、重商、安商的营商环境，根据《石家庄市鹿泉区优化营商环境专项治理行动方案的通知》（</w:t>
      </w:r>
      <w:r>
        <w:rPr>
          <w:rFonts w:hint="eastAsia" w:ascii="仿宋_GB2312" w:hAnsi="宋体" w:eastAsia="宋体" w:cs="仿宋"/>
          <w:sz w:val="32"/>
          <w:szCs w:val="32"/>
        </w:rPr>
        <w:t>﹝</w:t>
      </w:r>
      <w:r>
        <w:rPr>
          <w:rFonts w:hint="eastAsia" w:ascii="仿宋_GB2312" w:hAnsi="仿宋" w:eastAsia="仿宋_GB2312" w:cs="仿宋"/>
          <w:sz w:val="32"/>
          <w:szCs w:val="32"/>
        </w:rPr>
        <w:t>2022</w:t>
      </w:r>
      <w:r>
        <w:rPr>
          <w:rFonts w:hint="eastAsia" w:ascii="仿宋_GB2312" w:hAnsi="宋体" w:eastAsia="宋体" w:cs="仿宋"/>
          <w:sz w:val="32"/>
          <w:szCs w:val="32"/>
        </w:rPr>
        <w:t>﹞</w:t>
      </w:r>
      <w:r>
        <w:rPr>
          <w:rFonts w:hint="eastAsia" w:ascii="仿宋_GB2312" w:hAnsi="仿宋" w:eastAsia="仿宋_GB2312" w:cs="仿宋"/>
          <w:sz w:val="32"/>
          <w:szCs w:val="32"/>
        </w:rPr>
        <w:t>-29）文件精神，结合我局工作实际，制定本实施方案。</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一、指导思想</w:t>
      </w:r>
    </w:p>
    <w:p>
      <w:p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坚持以习近平新时代中国特色社会主义思想为指导，全面落实区委“三统筹三扩大四创建”活动暨经济工作推进会精神，动员我局广大党员干部努力营造良好营商环境，积极投身住建领域发展建设工作之中，按照张超超同志提出的“精准、公平、担当、突破”八字方针，大力优化住建领域营商环境，持续深化“放管服”改革，促进城乡建设事业发展。</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二、基本原则</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1.坚持上下联动。</w:t>
      </w:r>
      <w:r>
        <w:rPr>
          <w:rFonts w:hint="eastAsia" w:ascii="仿宋_GB2312" w:hAnsi="仿宋" w:eastAsia="仿宋_GB2312" w:cs="仿宋"/>
          <w:sz w:val="32"/>
          <w:szCs w:val="32"/>
        </w:rPr>
        <w:t>成立相应组织机构，形成上下联动、一体推进的工作模式，拧成一股绳、形成一股劲，自上而下不断推进住建领域优化营商环境专项治理工作向纵深发展。</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2.坚持着眼发展。</w:t>
      </w:r>
      <w:r>
        <w:rPr>
          <w:rFonts w:hint="eastAsia" w:ascii="仿宋_GB2312" w:hAnsi="仿宋" w:eastAsia="仿宋_GB2312" w:cs="仿宋"/>
          <w:sz w:val="32"/>
          <w:szCs w:val="32"/>
        </w:rPr>
        <w:t>深入贯彻河北省支持省会建设发展工作会议精神和区委区政府的工作要求，下大力、出实招，不断改善发展环境、完善服务体系、提高办事效率，把服务企业发展和项目建设的“店小二”意识根植于脑海中、具体到行动上。</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3.坚持问题导向。</w:t>
      </w:r>
      <w:r>
        <w:rPr>
          <w:rFonts w:hint="eastAsia" w:ascii="仿宋_GB2312" w:hAnsi="仿宋" w:eastAsia="仿宋_GB2312" w:cs="仿宋"/>
          <w:sz w:val="32"/>
          <w:szCs w:val="32"/>
        </w:rPr>
        <w:t>紧盯破坏营商环境的各类问题，深入一线，自下而上，精准发力、有的放矢，奋力攻坚、务求实效，举一反三、补齐短板，驰而不息抓整改。</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4.坚持实事求是。</w:t>
      </w:r>
      <w:r>
        <w:rPr>
          <w:rFonts w:hint="eastAsia" w:ascii="仿宋_GB2312" w:hAnsi="仿宋" w:eastAsia="仿宋_GB2312" w:cs="仿宋"/>
          <w:sz w:val="32"/>
          <w:szCs w:val="32"/>
        </w:rPr>
        <w:t>一切从实际出发，不怕亮丑、不怕揭短， 直面问题、检视问题，把整改工作贯穿始终，做到立行立改、即知即改、举一反三，切实防止走过场、搞变通。</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5.坚持人民至上。</w:t>
      </w:r>
      <w:r>
        <w:rPr>
          <w:rFonts w:hint="eastAsia" w:ascii="仿宋_GB2312" w:hAnsi="仿宋" w:eastAsia="仿宋_GB2312" w:cs="仿宋"/>
          <w:sz w:val="32"/>
          <w:szCs w:val="32"/>
        </w:rPr>
        <w:t>始终坚持以人民为中心的发展思想，着力治理野蛮执法、吃拿卡要、与民争利等问题，引导广大党员干部牢固树立服务意识，让群众得到看得见、感受到的实惠。</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三、主要任务</w:t>
      </w:r>
    </w:p>
    <w:p>
      <w:p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坚持目标导向和问题导向，着力治理推诿扯皮、吃拿卡要、漠视群众利益等问题，力促营商环境不断优化发展,切实提高群众办事的便利度。</w:t>
      </w:r>
    </w:p>
    <w:p>
      <w:pPr>
        <w:ind w:firstLine="643" w:firstLineChars="200"/>
        <w:rPr>
          <w:rFonts w:hint="eastAsia" w:ascii="仿宋_GB2312" w:hAnsi="仿宋" w:eastAsia="仿宋_GB2312" w:cs="仿宋"/>
          <w:b/>
          <w:sz w:val="32"/>
          <w:szCs w:val="32"/>
        </w:rPr>
      </w:pPr>
      <w:r>
        <w:rPr>
          <w:rFonts w:hint="eastAsia" w:ascii="楷体_GB2312" w:hAnsi="楷体" w:eastAsia="楷体_GB2312" w:cs="楷体"/>
          <w:b/>
          <w:sz w:val="32"/>
          <w:szCs w:val="32"/>
        </w:rPr>
        <w:t>1.落实好区委区政府重要文件精神方面。</w:t>
      </w:r>
      <w:r>
        <w:rPr>
          <w:rFonts w:hint="eastAsia" w:ascii="仿宋_GB2312" w:hAnsi="仿宋" w:eastAsia="仿宋_GB2312" w:cs="仿宋"/>
          <w:sz w:val="32"/>
          <w:szCs w:val="32"/>
        </w:rPr>
        <w:t>重点落实好区委、区政府印发的《关于落实&lt;省委省政府关于大力支持省会建设和高质量发展的意见&gt;的实施方案》（鹿发〔2021〕17 号）、区委办公室印发的《鹿泉区优化营商环境落实项目全程代办十条措施》（区委办文件〔2021〕—105）、区委区政府印发的《石家庄市鹿泉区优化营商环境专项治理行动方案的通知》(〔2022〕-29 号)和其他有关优化营商环境的重要文件精神，对打造重点项目建设、企业高质量发展、政务审批与服务等方面开展深入调查研究和明察暗访，对落实我区决策部署推诿扯皮甚至不作为、慢作为、乱作为的问题，深挖严惩，形成震慑。</w:t>
      </w:r>
      <w:r>
        <w:rPr>
          <w:rFonts w:hint="eastAsia" w:ascii="仿宋_GB2312" w:hAnsi="楷体" w:eastAsia="仿宋_GB2312" w:cs="楷体"/>
          <w:b/>
          <w:sz w:val="32"/>
          <w:szCs w:val="32"/>
        </w:rPr>
        <w:t>（责任单位：局属各股室、各相关单位）</w:t>
      </w:r>
    </w:p>
    <w:p>
      <w:pPr>
        <w:ind w:firstLine="643" w:firstLineChars="200"/>
        <w:rPr>
          <w:rFonts w:hint="eastAsia" w:ascii="仿宋_GB2312" w:hAnsi="仿宋" w:eastAsia="仿宋_GB2312" w:cs="仿宋"/>
          <w:b/>
          <w:sz w:val="32"/>
          <w:szCs w:val="32"/>
        </w:rPr>
      </w:pPr>
      <w:r>
        <w:rPr>
          <w:rFonts w:hint="eastAsia" w:ascii="楷体_GB2312" w:hAnsi="楷体" w:eastAsia="楷体_GB2312" w:cs="楷体"/>
          <w:b/>
          <w:sz w:val="32"/>
          <w:szCs w:val="32"/>
        </w:rPr>
        <w:t>2.深化工程建设项目审批制度改革。</w:t>
      </w:r>
      <w:r>
        <w:rPr>
          <w:rFonts w:hint="eastAsia" w:ascii="仿宋_GB2312" w:hAnsi="仿宋" w:eastAsia="仿宋_GB2312" w:cs="仿宋"/>
          <w:sz w:val="32"/>
          <w:szCs w:val="32"/>
        </w:rPr>
        <w:t>继续在区行政审批局设立政务服务窗口，督促工程建设项目审批涉及单位实行“一张表单”，简化优化行政审批申请材料。</w:t>
      </w:r>
      <w:r>
        <w:rPr>
          <w:rStyle w:val="11"/>
          <w:rFonts w:hint="eastAsia" w:ascii="仿宋_GB2312" w:eastAsia="仿宋_GB2312"/>
          <w:sz w:val="32"/>
          <w:szCs w:val="32"/>
        </w:rPr>
        <w:t>提升消防审批效率，优化消防设计审核（备案）、消防竣工验收办理程序，压缩审批时间，消防设计审核（备案）直接依据图审结果作出审批（审核）决定，不再单独进行技术审查，5个工作日完成消防设计审核出具结果。</w:t>
      </w:r>
      <w:r>
        <w:rPr>
          <w:rFonts w:hint="eastAsia" w:ascii="仿宋_GB2312" w:eastAsia="仿宋_GB2312"/>
          <w:sz w:val="32"/>
          <w:szCs w:val="32"/>
        </w:rPr>
        <w:t>强化联合验收，提高联合验收率，对新建工程建设项目实行联合验收，办理时限不超过10个工作日。</w:t>
      </w:r>
      <w:r>
        <w:rPr>
          <w:rStyle w:val="11"/>
          <w:rFonts w:hint="eastAsia" w:ascii="仿宋_GB2312" w:hAnsi="宋体" w:eastAsia="仿宋_GB2312" w:cs="宋体"/>
          <w:sz w:val="32"/>
          <w:szCs w:val="32"/>
        </w:rPr>
        <w:t>规范项目全流程办理程序</w:t>
      </w:r>
      <w:r>
        <w:rPr>
          <w:rStyle w:val="11"/>
          <w:rFonts w:hint="eastAsia" w:ascii="仿宋_GB2312" w:eastAsia="仿宋_GB2312"/>
          <w:sz w:val="32"/>
          <w:szCs w:val="32"/>
        </w:rPr>
        <w:t>，</w:t>
      </w:r>
      <w:r>
        <w:rPr>
          <w:rStyle w:val="11"/>
          <w:rFonts w:hint="eastAsia" w:ascii="仿宋_GB2312" w:hAnsi="宋体" w:eastAsia="仿宋_GB2312" w:cs="宋体"/>
          <w:sz w:val="32"/>
          <w:szCs w:val="32"/>
        </w:rPr>
        <w:t>整治</w:t>
      </w:r>
      <w:r>
        <w:rPr>
          <w:rStyle w:val="11"/>
          <w:rFonts w:hint="eastAsia" w:ascii="仿宋_GB2312" w:eastAsia="仿宋_GB2312"/>
          <w:sz w:val="32"/>
          <w:szCs w:val="32"/>
        </w:rPr>
        <w:t>“</w:t>
      </w:r>
      <w:r>
        <w:rPr>
          <w:rStyle w:val="11"/>
          <w:rFonts w:hint="eastAsia" w:ascii="仿宋_GB2312" w:hAnsi="宋体" w:eastAsia="仿宋_GB2312" w:cs="宋体"/>
          <w:sz w:val="32"/>
          <w:szCs w:val="32"/>
        </w:rPr>
        <w:t>隐性审批</w:t>
      </w:r>
      <w:r>
        <w:rPr>
          <w:rStyle w:val="11"/>
          <w:rFonts w:hint="eastAsia" w:ascii="仿宋_GB2312" w:eastAsia="仿宋_GB2312"/>
          <w:sz w:val="32"/>
          <w:szCs w:val="32"/>
        </w:rPr>
        <w:t>”</w:t>
      </w:r>
      <w:r>
        <w:rPr>
          <w:rStyle w:val="11"/>
          <w:rFonts w:hint="eastAsia" w:ascii="仿宋_GB2312" w:hAnsi="宋体" w:eastAsia="仿宋_GB2312" w:cs="宋体"/>
          <w:sz w:val="32"/>
          <w:szCs w:val="32"/>
        </w:rPr>
        <w:t>和</w:t>
      </w:r>
      <w:r>
        <w:rPr>
          <w:rStyle w:val="11"/>
          <w:rFonts w:hint="eastAsia" w:ascii="仿宋_GB2312" w:eastAsia="仿宋_GB2312"/>
          <w:sz w:val="32"/>
          <w:szCs w:val="32"/>
        </w:rPr>
        <w:t>“</w:t>
      </w:r>
      <w:r>
        <w:rPr>
          <w:rStyle w:val="11"/>
          <w:rFonts w:hint="eastAsia" w:ascii="仿宋_GB2312" w:hAnsi="宋体" w:eastAsia="仿宋_GB2312" w:cs="宋体"/>
          <w:sz w:val="32"/>
          <w:szCs w:val="32"/>
        </w:rPr>
        <w:t>体外循环</w:t>
      </w:r>
      <w:r>
        <w:rPr>
          <w:rStyle w:val="11"/>
          <w:rFonts w:hint="eastAsia" w:ascii="仿宋_GB2312" w:eastAsia="仿宋_GB2312"/>
          <w:sz w:val="32"/>
          <w:szCs w:val="32"/>
        </w:rPr>
        <w:t>”</w:t>
      </w:r>
      <w:r>
        <w:rPr>
          <w:rStyle w:val="11"/>
          <w:rFonts w:hint="eastAsia" w:ascii="仿宋_GB2312" w:eastAsia="仿宋_GB2312"/>
          <w:sz w:val="32"/>
          <w:szCs w:val="32"/>
          <w:lang w:bidi="en-US"/>
        </w:rPr>
        <w:t>。积极</w:t>
      </w:r>
      <w:r>
        <w:rPr>
          <w:rStyle w:val="11"/>
          <w:rFonts w:hint="eastAsia" w:ascii="仿宋_GB2312" w:eastAsia="仿宋_GB2312"/>
          <w:sz w:val="32"/>
          <w:szCs w:val="32"/>
        </w:rPr>
        <w:t>加快“多测合一”平台建设，推进与市工改平台互通共享。特定项目推行施工图审查告知承诺制，对功能单一、社会投资的简易低风险普通仓库、厂房项目，实行施工图审查告知承诺制。</w:t>
      </w:r>
      <w:r>
        <w:rPr>
          <w:rFonts w:hint="eastAsia" w:ascii="仿宋_GB2312" w:hAnsi="楷体" w:eastAsia="仿宋_GB2312" w:cs="楷体"/>
          <w:b/>
          <w:sz w:val="32"/>
          <w:szCs w:val="32"/>
        </w:rPr>
        <w:t>（责任单位：城建股、建筑业服务中心）</w:t>
      </w:r>
    </w:p>
    <w:p>
      <w:pPr>
        <w:ind w:firstLine="643" w:firstLineChars="200"/>
        <w:rPr>
          <w:rFonts w:hint="eastAsia" w:ascii="仿宋_GB2312" w:hAnsi="宋体" w:eastAsia="仿宋_GB2312" w:cs="宋体"/>
          <w:sz w:val="32"/>
          <w:szCs w:val="32"/>
          <w:lang w:val="zh-CN" w:bidi="zh-CN"/>
        </w:rPr>
      </w:pPr>
      <w:r>
        <w:rPr>
          <w:rFonts w:hint="eastAsia" w:ascii="楷体_GB2312" w:hAnsi="楷体" w:eastAsia="楷体_GB2312" w:cs="楷体"/>
          <w:b/>
          <w:sz w:val="32"/>
          <w:szCs w:val="32"/>
        </w:rPr>
        <w:t>3. 提升政务服务水平。</w:t>
      </w:r>
      <w:r>
        <w:rPr>
          <w:rFonts w:hint="eastAsia" w:ascii="仿宋_GB2312" w:hAnsi="仿宋" w:eastAsia="仿宋_GB2312" w:cs="仿宋"/>
          <w:sz w:val="32"/>
          <w:szCs w:val="32"/>
        </w:rPr>
        <w:t>持续推进</w:t>
      </w:r>
      <w:r>
        <w:rPr>
          <w:rStyle w:val="11"/>
          <w:rFonts w:hint="eastAsia" w:ascii="仿宋_GB2312" w:eastAsia="仿宋_GB2312"/>
          <w:sz w:val="32"/>
          <w:szCs w:val="32"/>
        </w:rPr>
        <w:t>政务服务事项全覆盖，</w:t>
      </w:r>
      <w:r>
        <w:rPr>
          <w:rFonts w:hint="eastAsia" w:ascii="仿宋_GB2312" w:eastAsia="仿宋_GB2312"/>
          <w:sz w:val="32"/>
          <w:szCs w:val="32"/>
        </w:rPr>
        <w:t>推进“互联网+监管”工作，编制检查实施清单的数量占应编制检查实施清单的数量的比例达到100%，监管行为数据覆盖本地区监管事项的比例达到100%。</w:t>
      </w:r>
      <w:r>
        <w:rPr>
          <w:rStyle w:val="11"/>
          <w:rFonts w:hint="eastAsia" w:ascii="仿宋_GB2312" w:eastAsia="仿宋_GB2312"/>
          <w:sz w:val="32"/>
          <w:szCs w:val="32"/>
        </w:rPr>
        <w:t>积极推进“好差评"工作开展。推进中介超市应用，推广全省网上中介超市应用，推动各类中介机构公开服务条件、流程、时限、服务标准，规范中介服务行为，提升中介服务质量。积极开展“双公示”信息报送工作，“双公示”信息自行政决定作出之日起</w:t>
      </w:r>
      <w:r>
        <w:rPr>
          <w:rStyle w:val="11"/>
          <w:rFonts w:hint="eastAsia" w:ascii="仿宋_GB2312" w:eastAsia="仿宋_GB2312"/>
          <w:b/>
          <w:bCs/>
          <w:sz w:val="32"/>
          <w:szCs w:val="32"/>
          <w:lang w:eastAsia="en-US" w:bidi="en-US"/>
        </w:rPr>
        <w:t>7</w:t>
      </w:r>
      <w:r>
        <w:rPr>
          <w:rStyle w:val="11"/>
          <w:rFonts w:hint="eastAsia" w:ascii="仿宋_GB2312" w:eastAsia="仿宋_GB2312"/>
          <w:sz w:val="32"/>
          <w:szCs w:val="32"/>
        </w:rPr>
        <w:t>个工作日内向市信用信息共享平台报送情况。</w:t>
      </w:r>
      <w:r>
        <w:rPr>
          <w:rFonts w:hint="eastAsia" w:ascii="仿宋_GB2312" w:hAnsi="楷体" w:eastAsia="仿宋_GB2312" w:cs="楷体"/>
          <w:b/>
          <w:sz w:val="32"/>
          <w:szCs w:val="32"/>
        </w:rPr>
        <w:t>（责任单位：局属各股室、各相关单位）</w:t>
      </w:r>
    </w:p>
    <w:p>
      <w:pPr>
        <w:ind w:firstLine="630"/>
        <w:rPr>
          <w:rFonts w:hint="eastAsia" w:ascii="仿宋_GB2312" w:eastAsia="仿宋_GB2312"/>
          <w:b/>
          <w:sz w:val="28"/>
          <w:szCs w:val="28"/>
        </w:rPr>
      </w:pPr>
      <w:r>
        <w:rPr>
          <w:rFonts w:hint="eastAsia" w:ascii="楷体_GB2312" w:hAnsi="黑体" w:eastAsia="楷体_GB2312" w:cs="楷体"/>
          <w:b/>
          <w:sz w:val="32"/>
          <w:szCs w:val="32"/>
        </w:rPr>
        <w:t>4、</w:t>
      </w:r>
      <w:r>
        <w:rPr>
          <w:rFonts w:hint="eastAsia" w:ascii="楷体_GB2312" w:hAnsi="楷体" w:eastAsia="楷体_GB2312" w:cs="楷体"/>
          <w:b/>
          <w:sz w:val="32"/>
          <w:szCs w:val="32"/>
        </w:rPr>
        <w:t>规范工程建设项目招投标行为。</w:t>
      </w:r>
      <w:r>
        <w:rPr>
          <w:rFonts w:hint="eastAsia" w:ascii="仿宋_GB2312" w:hAnsi="仿宋" w:eastAsia="仿宋_GB2312" w:cs="仿宋"/>
          <w:sz w:val="32"/>
          <w:szCs w:val="32"/>
        </w:rPr>
        <w:t>宣传贯彻并执行好有关工程建设项目招标投标的法律、法规、规章及政策，实现</w:t>
      </w:r>
      <w:r>
        <w:rPr>
          <w:rFonts w:hint="eastAsia" w:ascii="仿宋_GB2312" w:hAnsi="黑体" w:eastAsia="仿宋_GB2312"/>
          <w:sz w:val="32"/>
          <w:szCs w:val="32"/>
        </w:rPr>
        <w:t>公共资源交易“应进必进”，推行</w:t>
      </w:r>
      <w:r>
        <w:rPr>
          <w:rFonts w:hint="eastAsia" w:ascii="仿宋_GB2312" w:eastAsia="仿宋_GB2312"/>
          <w:sz w:val="32"/>
          <w:szCs w:val="32"/>
        </w:rPr>
        <w:t>公共资源交易领域市场主体评价和营商环境长效机制建设。招投标全过程无纸化在线电子交易和电子化监管，推行招标投标第三方电子服务平台，全面实现招投标全流程电子化。实施“双盲”评审，尽量扩大“双盲”评审范围。</w:t>
      </w:r>
      <w:r>
        <w:rPr>
          <w:rFonts w:hint="eastAsia" w:ascii="仿宋_GB2312" w:hAnsi="楷体" w:eastAsia="仿宋_GB2312" w:cs="楷体"/>
          <w:b/>
          <w:sz w:val="32"/>
          <w:szCs w:val="32"/>
        </w:rPr>
        <w:t>（责任单位：建筑和房地产市场稽查大队）</w:t>
      </w:r>
    </w:p>
    <w:p>
      <w:pPr>
        <w:ind w:firstLine="643" w:firstLineChars="200"/>
        <w:rPr>
          <w:rFonts w:hint="eastAsia" w:ascii="仿宋_GB2312" w:hAnsi="仿宋" w:eastAsia="仿宋_GB2312" w:cs="仿宋"/>
          <w:b/>
          <w:sz w:val="32"/>
          <w:szCs w:val="32"/>
        </w:rPr>
      </w:pPr>
      <w:r>
        <w:rPr>
          <w:rFonts w:hint="eastAsia" w:ascii="楷体_GB2312" w:hAnsi="楷体" w:eastAsia="楷体_GB2312" w:cs="楷体"/>
          <w:b/>
          <w:sz w:val="32"/>
          <w:szCs w:val="32"/>
        </w:rPr>
        <w:t>5、</w:t>
      </w:r>
      <w:r>
        <w:rPr>
          <w:rFonts w:hint="eastAsia" w:ascii="楷体_GB2312" w:hAnsi="黑体" w:eastAsia="楷体_GB2312" w:cs="楷体"/>
          <w:b/>
          <w:sz w:val="32"/>
          <w:szCs w:val="32"/>
        </w:rPr>
        <w:t>优化城镇燃气报装服务。</w:t>
      </w:r>
      <w:r>
        <w:rPr>
          <w:rFonts w:hint="eastAsia" w:ascii="仿宋_GB2312" w:hAnsi="仿宋" w:eastAsia="仿宋_GB2312" w:cs="仿宋"/>
          <w:sz w:val="32"/>
          <w:szCs w:val="32"/>
        </w:rPr>
        <w:t>依托河北政务服务网、“冀时办”、供气企业门户网站等多种平台方式，开展“互联网＋”线上办理和预约上门服务，为用户提供全过程、便利化服务，用气审批立即审批。</w:t>
      </w:r>
      <w:r>
        <w:rPr>
          <w:rFonts w:hint="eastAsia" w:ascii="仿宋_GB2312" w:hAnsi="楷体" w:eastAsia="仿宋_GB2312" w:cs="楷体"/>
          <w:b/>
          <w:sz w:val="32"/>
          <w:szCs w:val="32"/>
        </w:rPr>
        <w:t>（责任单位：燃气管理中心）</w:t>
      </w:r>
    </w:p>
    <w:p>
      <w:pPr>
        <w:ind w:firstLine="643" w:firstLineChars="200"/>
        <w:rPr>
          <w:rFonts w:hint="eastAsia" w:ascii="仿宋_GB2312" w:hAnsi="楷体" w:eastAsia="仿宋_GB2312" w:cs="楷体"/>
          <w:b/>
          <w:sz w:val="32"/>
          <w:szCs w:val="32"/>
        </w:rPr>
      </w:pPr>
      <w:r>
        <w:rPr>
          <w:rFonts w:hint="eastAsia" w:ascii="楷体_GB2312" w:hAnsi="楷体" w:eastAsia="楷体_GB2312" w:cs="楷体"/>
          <w:b/>
          <w:sz w:val="32"/>
          <w:szCs w:val="32"/>
        </w:rPr>
        <w:t>6、清理规范整治房地产市场开发经营行为。</w:t>
      </w:r>
      <w:r>
        <w:rPr>
          <w:rFonts w:hint="eastAsia" w:ascii="仿宋_GB2312" w:hAnsi="仿宋" w:eastAsia="仿宋_GB2312" w:cs="仿宋"/>
          <w:sz w:val="32"/>
          <w:szCs w:val="32"/>
        </w:rPr>
        <w:t>及时为房地产开发企业、房地产经纪机构提供优质服务，能一次办结的一次办结。对房地产企业、经纪机构及时提醒其守法经营，对无证销售、虚假宣传、恶意拖延工期等违规行为及时进行警告、约谈，及时移交有关单位进行处罚，并将其记入诚信信用系统。</w:t>
      </w:r>
      <w:r>
        <w:rPr>
          <w:rFonts w:hint="eastAsia" w:ascii="仿宋_GB2312" w:hAnsi="楷体" w:eastAsia="仿宋_GB2312" w:cs="楷体"/>
          <w:b/>
          <w:sz w:val="32"/>
          <w:szCs w:val="32"/>
        </w:rPr>
        <w:t>（责任单位：城建股、住房保障和房地产服务中心）</w:t>
      </w:r>
    </w:p>
    <w:p>
      <w:pPr>
        <w:ind w:firstLine="643" w:firstLineChars="200"/>
        <w:rPr>
          <w:rFonts w:hint="eastAsia" w:ascii="仿宋_GB2312" w:hAnsi="仿宋" w:eastAsia="仿宋_GB2312" w:cs="仿宋"/>
          <w:b/>
          <w:sz w:val="32"/>
          <w:szCs w:val="32"/>
        </w:rPr>
      </w:pPr>
      <w:r>
        <w:rPr>
          <w:rFonts w:hint="eastAsia" w:ascii="楷体_GB2312" w:hAnsi="楷体" w:eastAsia="楷体_GB2312" w:cs="楷体"/>
          <w:b/>
          <w:sz w:val="32"/>
          <w:szCs w:val="32"/>
        </w:rPr>
        <w:t>7、</w:t>
      </w:r>
      <w:bookmarkStart w:id="0" w:name="OLE_LINK1"/>
      <w:r>
        <w:rPr>
          <w:rFonts w:hint="eastAsia" w:ascii="楷体_GB2312" w:hAnsi="楷体" w:eastAsia="楷体_GB2312" w:cs="楷体"/>
          <w:b/>
          <w:sz w:val="32"/>
          <w:szCs w:val="32"/>
        </w:rPr>
        <w:t>营造良好的物业服务环境。</w:t>
      </w:r>
      <w:bookmarkEnd w:id="0"/>
      <w:r>
        <w:rPr>
          <w:rFonts w:hint="eastAsia" w:ascii="仿宋_GB2312" w:hAnsi="仿宋" w:eastAsia="仿宋_GB2312" w:cs="仿宋"/>
          <w:sz w:val="32"/>
          <w:szCs w:val="32"/>
        </w:rPr>
        <w:t>坚持党建引领，充分发挥物业党支部与社区党组织作用，创建满意、和谐、幸福的生活环境。鼓励物业企业创新管理模式，落实信用监管制度，依法营造公平合理的物业服务市场环境。坚持问题导向，围绕深化“放管服”改革，寓管理于服务之中，提升服务水平。</w:t>
      </w:r>
      <w:r>
        <w:rPr>
          <w:rFonts w:hint="eastAsia" w:ascii="仿宋_GB2312" w:hAnsi="楷体" w:eastAsia="仿宋_GB2312" w:cs="楷体"/>
          <w:b/>
          <w:sz w:val="32"/>
          <w:szCs w:val="32"/>
        </w:rPr>
        <w:t>（责任单位：物业协调中心）</w:t>
      </w:r>
    </w:p>
    <w:p>
      <w:pPr>
        <w:ind w:firstLine="643" w:firstLineChars="200"/>
        <w:rPr>
          <w:rFonts w:hint="eastAsia" w:ascii="仿宋_GB2312" w:hAnsi="仿宋" w:eastAsia="仿宋_GB2312" w:cs="仿宋"/>
          <w:b/>
          <w:sz w:val="32"/>
          <w:szCs w:val="32"/>
        </w:rPr>
      </w:pPr>
      <w:r>
        <w:rPr>
          <w:rFonts w:hint="eastAsia" w:ascii="楷体_GB2312" w:hAnsi="楷体" w:eastAsia="楷体_GB2312" w:cs="楷体"/>
          <w:b/>
          <w:sz w:val="32"/>
          <w:szCs w:val="32"/>
        </w:rPr>
        <w:t>8、深化建筑施工场地扬尘治理。</w:t>
      </w:r>
      <w:r>
        <w:rPr>
          <w:rFonts w:hint="eastAsia" w:ascii="仿宋_GB2312" w:hAnsi="仿宋" w:eastAsia="仿宋_GB2312" w:cs="仿宋"/>
          <w:sz w:val="32"/>
          <w:szCs w:val="32"/>
        </w:rPr>
        <w:t>建立建筑施工场地扬尘管理台账，做好建筑工地登记造册并实行动态更新，明确治理任务目标、分包领导、责任人员。严格执行建筑施工扬尘“六个百分百”管理标准，贯彻落实施工现场PM10在线监测设备和视频监控“两个全覆盖”要求。强化执法力度，严格按照扬尘治理各项规定和要求，对施工现场扬尘治理措施不力的建设单位和施工企业，责令停工整改，情节严重的移交有关部门依法严格处罚。</w:t>
      </w:r>
      <w:r>
        <w:rPr>
          <w:rFonts w:hint="eastAsia" w:ascii="仿宋_GB2312" w:hAnsi="楷体" w:eastAsia="仿宋_GB2312" w:cs="楷体"/>
          <w:b/>
          <w:sz w:val="32"/>
          <w:szCs w:val="32"/>
        </w:rPr>
        <w:t>（责任单位：应急管理办公室、建筑业服务中心）</w:t>
      </w:r>
    </w:p>
    <w:p>
      <w:pPr>
        <w:ind w:firstLine="643" w:firstLineChars="200"/>
        <w:rPr>
          <w:rFonts w:hint="eastAsia" w:ascii="仿宋_GB2312" w:hAnsi="仿宋" w:eastAsia="仿宋_GB2312" w:cs="仿宋"/>
          <w:b/>
          <w:sz w:val="32"/>
          <w:szCs w:val="32"/>
        </w:rPr>
      </w:pPr>
      <w:r>
        <w:rPr>
          <w:rFonts w:hint="eastAsia" w:ascii="楷体_GB2312" w:hAnsi="楷体" w:eastAsia="楷体_GB2312" w:cs="楷体"/>
          <w:b/>
          <w:sz w:val="32"/>
          <w:szCs w:val="32"/>
        </w:rPr>
        <w:t>9、积极促进项目建设和企业发展。</w:t>
      </w:r>
      <w:r>
        <w:rPr>
          <w:rFonts w:hint="eastAsia" w:ascii="仿宋_GB2312" w:hAnsi="楷体" w:eastAsia="仿宋_GB2312" w:cs="楷体"/>
          <w:sz w:val="32"/>
          <w:szCs w:val="32"/>
        </w:rPr>
        <w:t>推进重点企业和项目实行重点帮扶机制和项目代办制，做到帮助企业解忧脱困，促进项目发展“领、帮、带”，建立问题台账并限时办结。落实生态环境监管正面清单制度，坚决防止“一刀切”，为重点项目建设提供有力支撑。清查乱收费、乱罚款、乱摊派、乱检查问题。</w:t>
      </w:r>
      <w:r>
        <w:rPr>
          <w:rFonts w:hint="eastAsia" w:ascii="仿宋_GB2312" w:hAnsi="楷体" w:eastAsia="仿宋_GB2312" w:cs="楷体"/>
          <w:b/>
          <w:sz w:val="32"/>
          <w:szCs w:val="32"/>
        </w:rPr>
        <w:t>（责任单位：应急管理办公室，各相关单位）</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四、完善优化机制</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1.信息筛查核实机制。</w:t>
      </w:r>
      <w:r>
        <w:rPr>
          <w:rFonts w:hint="eastAsia" w:ascii="仿宋_GB2312" w:hAnsi="仿宋" w:eastAsia="仿宋_GB2312" w:cs="仿宋"/>
          <w:sz w:val="32"/>
          <w:szCs w:val="32"/>
        </w:rPr>
        <w:t>对群众举报影响营商环境的吃拿卡要、推诿扯皮等问题，实施台账化管理，对接到的问题线索进行梳理、汇总、筛选、研判，拿出拟交办意见。</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2.快查快办机制。</w:t>
      </w:r>
      <w:r>
        <w:rPr>
          <w:rFonts w:hint="eastAsia" w:ascii="仿宋_GB2312" w:hAnsi="仿宋" w:eastAsia="仿宋_GB2312" w:cs="仿宋"/>
          <w:sz w:val="32"/>
          <w:szCs w:val="32"/>
        </w:rPr>
        <w:t>筛选后的问题线索，由局人事股组织各有关单位混合编组、统一行动，快速查处。一经查实，先行组织处理，涉嫌犯罪的，移送司法机关处理。</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3.典型引导机制。</w:t>
      </w:r>
      <w:r>
        <w:rPr>
          <w:rFonts w:hint="eastAsia" w:ascii="仿宋_GB2312" w:hAnsi="仿宋" w:eastAsia="仿宋_GB2312" w:cs="仿宋"/>
          <w:sz w:val="32"/>
          <w:szCs w:val="32"/>
        </w:rPr>
        <w:t>在深化“放管服”改革、提高办事效率等方面敢于突破创新，在为民办实事方面，服务得到群众认可和赞扬等典型宣传力度，充分发挥榜样带动和典型激励作用。</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4.反馈回访机制。</w:t>
      </w:r>
      <w:r>
        <w:rPr>
          <w:rFonts w:hint="eastAsia" w:ascii="仿宋_GB2312" w:hAnsi="仿宋" w:eastAsia="仿宋_GB2312" w:cs="仿宋"/>
          <w:sz w:val="32"/>
          <w:szCs w:val="32"/>
        </w:rPr>
        <w:t>受理的群众举报问题线索以交办单的形式下发各相关单位迅速调查核实，按时限要求进行反馈，并对重点问题进行复核回访，确保所有问题线索全部整改到位。</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五、组织保障</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1.健全组织机构。</w:t>
      </w:r>
      <w:r>
        <w:rPr>
          <w:rFonts w:hint="eastAsia" w:ascii="仿宋_GB2312" w:hAnsi="仿宋" w:eastAsia="仿宋_GB2312" w:cs="仿宋"/>
          <w:sz w:val="32"/>
          <w:szCs w:val="32"/>
        </w:rPr>
        <w:t>建立健全我局优化营商环境工作领导小组，由局主要负责同志任组长，局其他领导任副组长，局属各单位、局机关各相关股室主要负责人为成员，加强对局优化营商环境工作的组织领导和统筹协调。领导小组办公室设在局建管股，负责日常工作，加强对优化营商环境工作的指导、协调。同时，</w:t>
      </w:r>
      <w:r>
        <w:fldChar w:fldCharType="begin"/>
      </w:r>
      <w:r>
        <w:instrText xml:space="preserve"> HYPERLINK "mailto:设立住建局举报电话82012679和网络邮箱lqzjjyshj@163.com" </w:instrText>
      </w:r>
      <w:r>
        <w:fldChar w:fldCharType="separate"/>
      </w:r>
      <w:r>
        <w:rPr>
          <w:rStyle w:val="8"/>
          <w:rFonts w:hint="eastAsia" w:ascii="仿宋_GB2312" w:hAnsi="仿宋" w:eastAsia="仿宋_GB2312" w:cs="仿宋"/>
          <w:sz w:val="32"/>
          <w:szCs w:val="32"/>
        </w:rPr>
        <w:t>设立住建局举报电话82012679和网络邮箱lqzjjyshj@163.com</w:t>
      </w:r>
      <w:r>
        <w:rPr>
          <w:rStyle w:val="8"/>
          <w:rFonts w:hint="eastAsia" w:ascii="仿宋_GB2312" w:hAnsi="仿宋" w:eastAsia="仿宋_GB2312" w:cs="仿宋"/>
          <w:sz w:val="32"/>
          <w:szCs w:val="32"/>
        </w:rPr>
        <w:fldChar w:fldCharType="end"/>
      </w:r>
      <w:r>
        <w:rPr>
          <w:rFonts w:hint="eastAsia" w:ascii="仿宋_GB2312" w:hAnsi="仿宋" w:eastAsia="仿宋_GB2312" w:cs="仿宋"/>
          <w:sz w:val="32"/>
          <w:szCs w:val="32"/>
        </w:rPr>
        <w:t>，接受群众及行政相对人的投诉举报。</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2.压实主体责任。</w:t>
      </w:r>
      <w:r>
        <w:rPr>
          <w:rFonts w:hint="eastAsia" w:ascii="仿宋_GB2312" w:hAnsi="仿宋" w:eastAsia="仿宋_GB2312" w:cs="仿宋"/>
          <w:sz w:val="32"/>
          <w:szCs w:val="32"/>
        </w:rPr>
        <w:t>局属各单位、局机关相关股室要切实提高政治站位，压紧压实主体责任，把优化营商环境治理当做一项重要政治任务，推动我局优化营商环境治理工作走向深入。</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3.强化督导问责。</w:t>
      </w:r>
      <w:r>
        <w:rPr>
          <w:rFonts w:hint="eastAsia" w:ascii="仿宋_GB2312" w:hAnsi="仿宋" w:eastAsia="仿宋_GB2312" w:cs="仿宋"/>
          <w:sz w:val="32"/>
          <w:szCs w:val="32"/>
        </w:rPr>
        <w:t>建立优化营商环境工作奖惩机制，对真抓实干、做出显著成绩的单位和个人，按照有关规定进行表彰或奖励；对不作为、慢作为、失职失责等不履行营商环境职责或损害营商环境的单位和个人严肃追责问责。</w:t>
      </w:r>
    </w:p>
    <w:p>
      <w:pPr>
        <w:ind w:firstLine="643" w:firstLineChars="200"/>
        <w:rPr>
          <w:rFonts w:hint="eastAsia" w:ascii="仿宋_GB2312" w:hAnsi="仿宋" w:eastAsia="仿宋_GB2312" w:cs="仿宋"/>
          <w:sz w:val="32"/>
          <w:szCs w:val="32"/>
        </w:rPr>
      </w:pPr>
      <w:r>
        <w:rPr>
          <w:rFonts w:hint="eastAsia" w:ascii="楷体_GB2312" w:hAnsi="楷体" w:eastAsia="楷体_GB2312" w:cs="楷体"/>
          <w:b/>
          <w:sz w:val="32"/>
          <w:szCs w:val="32"/>
        </w:rPr>
        <w:t>4.加强舆论引导。</w:t>
      </w:r>
      <w:r>
        <w:rPr>
          <w:rFonts w:hint="eastAsia" w:ascii="仿宋_GB2312" w:hAnsi="仿宋" w:eastAsia="仿宋_GB2312" w:cs="仿宋"/>
          <w:sz w:val="32"/>
          <w:szCs w:val="32"/>
        </w:rPr>
        <w:t>充分发挥舆论宣传“导向标”作用，局属各单位、局机关各相关股室通过传统媒体和新媒体平台，采用多种形式，加大对专项治理的宣传报道，大力宣扬好典型、好作法，同时发挥舆论监督作用，曝光反面典型，强化警示教育。</w:t>
      </w:r>
    </w:p>
    <w:p>
      <w:pPr>
        <w:rPr>
          <w:rFonts w:hint="eastAsia" w:ascii="仿宋_GB2312" w:hAnsi="仿宋" w:eastAsia="仿宋_GB2312" w:cs="仿宋"/>
          <w:sz w:val="32"/>
          <w:szCs w:val="32"/>
          <w:lang w:val="en-US" w:eastAsia="zh-CN"/>
        </w:rPr>
      </w:pPr>
    </w:p>
    <w:p>
      <w:pPr>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 xml:space="preserve">  附件：石家庄市鹿泉区住房和城乡建设局优化营商环境任务分解表</w:t>
      </w:r>
    </w:p>
    <w:p>
      <w:pPr>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Style w:val="2"/>
        <w:rPr>
          <w:rFonts w:hint="eastAsia" w:ascii="仿宋_GB2312" w:hAnsi="仿宋" w:eastAsia="仿宋_GB2312" w:cs="仿宋"/>
          <w:sz w:val="32"/>
          <w:szCs w:val="32"/>
          <w:lang w:val="en-US" w:eastAsia="zh-CN"/>
        </w:rPr>
      </w:pPr>
    </w:p>
    <w:p>
      <w:pPr>
        <w:pBdr>
          <w:top w:val="single" w:color="auto" w:sz="12" w:space="1"/>
          <w:bottom w:val="single" w:color="auto" w:sz="12" w:space="1"/>
        </w:pBdr>
        <w:adjustRightInd w:val="0"/>
        <w:snapToGrid w:val="0"/>
        <w:spacing w:line="620" w:lineRule="exact"/>
        <w:rPr>
          <w:rFonts w:hint="eastAsia" w:ascii="仿宋_GB2312" w:hAnsi="仿宋" w:eastAsia="仿宋_GB2312" w:cs="仿宋"/>
          <w:sz w:val="32"/>
          <w:szCs w:val="32"/>
          <w:lang w:val="en-US" w:eastAsia="zh-CN"/>
        </w:rPr>
      </w:pPr>
      <w:r>
        <w:rPr>
          <w:rFonts w:hint="eastAsia" w:ascii="仿宋_GB2312" w:eastAsia="仿宋_GB2312"/>
          <w:snapToGrid w:val="0"/>
          <w:color w:val="000000"/>
          <w:spacing w:val="-20"/>
          <w:sz w:val="28"/>
          <w:szCs w:val="28"/>
        </w:rPr>
        <w:t>石家庄市鹿泉区住房和城乡建设局                             202</w:t>
      </w:r>
      <w:r>
        <w:rPr>
          <w:rFonts w:hint="eastAsia" w:ascii="仿宋_GB2312" w:eastAsia="仿宋_GB2312"/>
          <w:snapToGrid w:val="0"/>
          <w:color w:val="000000"/>
          <w:spacing w:val="-20"/>
          <w:sz w:val="28"/>
          <w:szCs w:val="28"/>
          <w:lang w:val="en-US" w:eastAsia="zh-CN"/>
        </w:rPr>
        <w:t>2</w:t>
      </w:r>
      <w:r>
        <w:rPr>
          <w:rFonts w:hint="eastAsia" w:ascii="仿宋_GB2312" w:eastAsia="仿宋_GB2312"/>
          <w:snapToGrid w:val="0"/>
          <w:color w:val="000000"/>
          <w:spacing w:val="-20"/>
          <w:sz w:val="28"/>
          <w:szCs w:val="28"/>
        </w:rPr>
        <w:t>年</w:t>
      </w:r>
      <w:r>
        <w:rPr>
          <w:rFonts w:hint="eastAsia" w:ascii="仿宋_GB2312" w:eastAsia="仿宋_GB2312"/>
          <w:snapToGrid w:val="0"/>
          <w:color w:val="000000"/>
          <w:spacing w:val="-20"/>
          <w:sz w:val="28"/>
          <w:szCs w:val="28"/>
          <w:lang w:val="en-US" w:eastAsia="zh-CN"/>
        </w:rPr>
        <w:t>4</w:t>
      </w:r>
      <w:r>
        <w:rPr>
          <w:rFonts w:hint="eastAsia" w:ascii="仿宋_GB2312" w:eastAsia="仿宋_GB2312"/>
          <w:snapToGrid w:val="0"/>
          <w:color w:val="000000"/>
          <w:spacing w:val="-20"/>
          <w:sz w:val="28"/>
          <w:szCs w:val="28"/>
        </w:rPr>
        <w:t>月</w:t>
      </w:r>
      <w:r>
        <w:rPr>
          <w:rFonts w:hint="eastAsia" w:ascii="仿宋_GB2312" w:eastAsia="仿宋_GB2312"/>
          <w:snapToGrid w:val="0"/>
          <w:color w:val="000000"/>
          <w:spacing w:val="-20"/>
          <w:sz w:val="28"/>
          <w:szCs w:val="28"/>
          <w:lang w:val="en-US" w:eastAsia="zh-CN"/>
        </w:rPr>
        <w:t>22</w:t>
      </w:r>
      <w:r>
        <w:rPr>
          <w:rFonts w:hint="eastAsia" w:ascii="仿宋_GB2312" w:eastAsia="仿宋_GB2312"/>
          <w:snapToGrid w:val="0"/>
          <w:color w:val="000000"/>
          <w:spacing w:val="-20"/>
          <w:sz w:val="28"/>
          <w:szCs w:val="28"/>
        </w:rPr>
        <w:t>日印发</w:t>
      </w:r>
    </w:p>
    <w:sectPr>
      <w:pgSz w:w="11906" w:h="16838"/>
      <w:pgMar w:top="1758" w:right="1418" w:bottom="1418"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微软雅黑"/>
    <w:panose1 w:val="03000509000000000000"/>
    <w:charset w:val="86"/>
    <w:family w:val="script"/>
    <w:pitch w:val="default"/>
    <w:sig w:usb0="00000000" w:usb1="00000000" w:usb2="0000001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801"/>
    <w:rsid w:val="000D2F20"/>
    <w:rsid w:val="000F0F45"/>
    <w:rsid w:val="00256B1E"/>
    <w:rsid w:val="0025751C"/>
    <w:rsid w:val="00392801"/>
    <w:rsid w:val="003A1BF6"/>
    <w:rsid w:val="00447E0A"/>
    <w:rsid w:val="00520F6E"/>
    <w:rsid w:val="005526AD"/>
    <w:rsid w:val="006651B8"/>
    <w:rsid w:val="00681EBB"/>
    <w:rsid w:val="006C31EC"/>
    <w:rsid w:val="007D6C9C"/>
    <w:rsid w:val="007E30FA"/>
    <w:rsid w:val="00892E93"/>
    <w:rsid w:val="008933B6"/>
    <w:rsid w:val="00B26CA3"/>
    <w:rsid w:val="00BC3F45"/>
    <w:rsid w:val="00BC5B8D"/>
    <w:rsid w:val="00BE6B21"/>
    <w:rsid w:val="00CC5BB6"/>
    <w:rsid w:val="00D15927"/>
    <w:rsid w:val="00DB2CAE"/>
    <w:rsid w:val="00E00CCB"/>
    <w:rsid w:val="02C74013"/>
    <w:rsid w:val="0A194DA5"/>
    <w:rsid w:val="0C1F7706"/>
    <w:rsid w:val="0F066B5E"/>
    <w:rsid w:val="1448339A"/>
    <w:rsid w:val="16770D10"/>
    <w:rsid w:val="172D7E9F"/>
    <w:rsid w:val="17EC21C7"/>
    <w:rsid w:val="1BCD0283"/>
    <w:rsid w:val="26367FC9"/>
    <w:rsid w:val="2763590D"/>
    <w:rsid w:val="2D825B8C"/>
    <w:rsid w:val="2F83351A"/>
    <w:rsid w:val="35807A87"/>
    <w:rsid w:val="3FB317F1"/>
    <w:rsid w:val="409E2625"/>
    <w:rsid w:val="41CD6B6A"/>
    <w:rsid w:val="49350C9F"/>
    <w:rsid w:val="4ADC7BE6"/>
    <w:rsid w:val="50C90096"/>
    <w:rsid w:val="59657925"/>
    <w:rsid w:val="5C974299"/>
    <w:rsid w:val="63676048"/>
    <w:rsid w:val="71EF3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Body Text"/>
    <w:basedOn w:val="1"/>
    <w:link w:val="10"/>
    <w:qFormat/>
    <w:uiPriority w:val="0"/>
    <w:pPr>
      <w:spacing w:after="120"/>
    </w:pPr>
    <w:rPr>
      <w:rFonts w:ascii="Calibri" w:hAnsi="Calibri" w:eastAsia="宋体" w:cs="黑体"/>
    </w:rPr>
  </w:style>
  <w:style w:type="paragraph" w:styleId="5">
    <w:name w:val="Balloon Text"/>
    <w:basedOn w:val="1"/>
    <w:link w:val="13"/>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character" w:styleId="8">
    <w:name w:val="Hyperlink"/>
    <w:basedOn w:val="7"/>
    <w:qFormat/>
    <w:uiPriority w:val="0"/>
    <w:rPr>
      <w:color w:val="0563C1" w:themeColor="hyperlink"/>
      <w:u w:val="single"/>
      <w14:textFill>
        <w14:solidFill>
          <w14:schemeClr w14:val="hlink"/>
        </w14:solidFill>
      </w14:textFill>
    </w:rPr>
  </w:style>
  <w:style w:type="character" w:customStyle="1" w:styleId="10">
    <w:name w:val="正文文本 Char"/>
    <w:basedOn w:val="7"/>
    <w:link w:val="4"/>
    <w:qFormat/>
    <w:uiPriority w:val="0"/>
    <w:rPr>
      <w:rFonts w:ascii="Calibri" w:hAnsi="Calibri" w:eastAsia="宋体" w:cs="黑体"/>
      <w:kern w:val="2"/>
      <w:sz w:val="21"/>
      <w:szCs w:val="24"/>
    </w:rPr>
  </w:style>
  <w:style w:type="character" w:customStyle="1" w:styleId="11">
    <w:name w:val="Char Style 22"/>
    <w:basedOn w:val="7"/>
    <w:link w:val="12"/>
    <w:qFormat/>
    <w:uiPriority w:val="0"/>
    <w:rPr>
      <w:rFonts w:ascii="宋体" w:hAnsi="宋体" w:eastAsia="宋体" w:cs="宋体"/>
      <w:sz w:val="15"/>
      <w:szCs w:val="15"/>
      <w:lang w:val="zh-CN" w:bidi="zh-CN"/>
    </w:rPr>
  </w:style>
  <w:style w:type="paragraph" w:customStyle="1" w:styleId="12">
    <w:name w:val="Style 21"/>
    <w:basedOn w:val="1"/>
    <w:link w:val="11"/>
    <w:qFormat/>
    <w:uiPriority w:val="0"/>
    <w:pPr>
      <w:spacing w:line="190" w:lineRule="exact"/>
      <w:jc w:val="left"/>
    </w:pPr>
    <w:rPr>
      <w:rFonts w:ascii="宋体" w:hAnsi="宋体" w:eastAsia="宋体" w:cs="宋体"/>
      <w:kern w:val="0"/>
      <w:sz w:val="15"/>
      <w:szCs w:val="15"/>
      <w:lang w:val="zh-CN" w:bidi="zh-CN"/>
    </w:rPr>
  </w:style>
  <w:style w:type="character" w:customStyle="1" w:styleId="13">
    <w:name w:val="批注框文本 Char"/>
    <w:basedOn w:val="7"/>
    <w:link w:val="5"/>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3583</Words>
  <Characters>3663</Characters>
  <Lines>26</Lines>
  <Paragraphs>7</Paragraphs>
  <ScaleCrop>false</ScaleCrop>
  <LinksUpToDate>false</LinksUpToDate>
  <CharactersWithSpaces>3673</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2022-04-21T02:33:00Z</dcterms:created>
  <dc:creator>A</dc:creator>
  <cp:lastModifiedBy>Administrator</cp:lastModifiedBy>
  <cp:lastPrinted>2022-04-24T07:07:00Z</cp:lastPrinted>
  <dcterms:modified xsi:type="dcterms:W3CDTF">2022-04-26T06:02:28Z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3C27E1C66D654601A681DE962D89C356</vt:lpwstr>
  </property>
  <property fmtid="{D5CDD505-2E9C-101B-9397-08002B2CF9AE}" pid="4" name="commondata">
    <vt:lpwstr>eyJoZGlkIjoiZDQwOTlhZWE4YmU4MGM2ZmIxYzJiODIxMjMzMjQ4YjAifQ==</vt:lpwstr>
  </property>
</Properties>
</file>