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40" w:firstLineChars="100"/>
        <w:jc w:val="center"/>
        <w:textAlignment w:val="auto"/>
        <w:outlineLvl w:val="9"/>
        <w:rPr>
          <w:rFonts w:hint="eastAsia" w:ascii="方正小标宋简体" w:hAnsi="方正小标宋简体" w:eastAsia="方正小标宋简体" w:cs="方正小标宋简体"/>
          <w:b w:val="0"/>
          <w:bCs/>
          <w:color w:val="000000"/>
          <w:sz w:val="44"/>
          <w:szCs w:val="44"/>
          <w:lang w:eastAsia="zh-CN"/>
        </w:rPr>
      </w:pPr>
      <w:r>
        <w:rPr>
          <w:rFonts w:hint="eastAsia" w:ascii="方正小标宋简体" w:hAnsi="方正小标宋简体" w:eastAsia="方正小标宋简体" w:cs="方正小标宋简体"/>
          <w:b w:val="0"/>
          <w:bCs/>
          <w:color w:val="000000"/>
          <w:sz w:val="44"/>
          <w:szCs w:val="44"/>
          <w:lang w:eastAsia="zh-CN"/>
        </w:rPr>
        <w:t>鹿泉区行政审批局</w:t>
      </w: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40" w:firstLineChars="100"/>
        <w:jc w:val="center"/>
        <w:textAlignment w:val="auto"/>
        <w:outlineLvl w:val="9"/>
        <w:rPr>
          <w:rFonts w:hint="eastAsia" w:ascii="方正小标宋简体" w:hAnsi="方正小标宋简体" w:eastAsia="方正小标宋简体" w:cs="方正小标宋简体"/>
          <w:b w:val="0"/>
          <w:bCs/>
          <w:color w:val="000000"/>
          <w:sz w:val="44"/>
          <w:szCs w:val="44"/>
        </w:rPr>
      </w:pPr>
      <w:r>
        <w:rPr>
          <w:rFonts w:hint="eastAsia" w:ascii="方正小标宋简体" w:hAnsi="方正小标宋简体" w:eastAsia="方正小标宋简体" w:cs="方正小标宋简体"/>
          <w:b w:val="0"/>
          <w:bCs/>
          <w:color w:val="000000"/>
          <w:sz w:val="44"/>
          <w:szCs w:val="44"/>
        </w:rPr>
        <w:t>政府信息公开工作</w:t>
      </w:r>
      <w:r>
        <w:rPr>
          <w:rFonts w:hint="eastAsia" w:ascii="方正小标宋简体" w:hAnsi="方正小标宋简体" w:eastAsia="方正小标宋简体" w:cs="方正小标宋简体"/>
          <w:b w:val="0"/>
          <w:bCs/>
          <w:color w:val="000000"/>
          <w:sz w:val="44"/>
          <w:szCs w:val="44"/>
          <w:lang w:val="en-US" w:eastAsia="zh-CN"/>
        </w:rPr>
        <w:t>2020</w:t>
      </w:r>
      <w:r>
        <w:rPr>
          <w:rFonts w:hint="eastAsia" w:ascii="方正小标宋简体" w:hAnsi="方正小标宋简体" w:eastAsia="方正小标宋简体" w:cs="方正小标宋简体"/>
          <w:b w:val="0"/>
          <w:bCs/>
          <w:color w:val="000000"/>
          <w:sz w:val="44"/>
          <w:szCs w:val="44"/>
        </w:rPr>
        <w:t>年度报告</w:t>
      </w: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42" w:firstLineChars="100"/>
        <w:jc w:val="center"/>
        <w:textAlignment w:val="auto"/>
        <w:outlineLvl w:val="9"/>
        <w:rPr>
          <w:rFonts w:hint="eastAsia" w:ascii="宋体" w:hAnsi="宋体" w:eastAsia="宋体" w:cs="宋体"/>
          <w:b/>
          <w:color w:val="000000"/>
          <w:sz w:val="44"/>
          <w:szCs w:val="44"/>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ascii="黑体" w:hAnsi="黑体" w:eastAsia="黑体" w:cs="黑体"/>
          <w:b w:val="0"/>
          <w:bCs/>
          <w:color w:val="000000"/>
          <w:sz w:val="32"/>
          <w:szCs w:val="32"/>
        </w:rPr>
      </w:pPr>
      <w:r>
        <w:rPr>
          <w:rFonts w:hint="eastAsia" w:ascii="黑体" w:hAnsi="黑体" w:eastAsia="黑体" w:cs="黑体"/>
          <w:b w:val="0"/>
          <w:bCs/>
          <w:color w:val="000000"/>
          <w:sz w:val="32"/>
          <w:szCs w:val="32"/>
        </w:rPr>
        <w:t>一、总体情况</w:t>
      </w:r>
    </w:p>
    <w:p>
      <w:pPr>
        <w:keepNext w:val="0"/>
        <w:keepLines w:val="0"/>
        <w:pageBreakBefore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2020年，鹿泉区行政审批局紧紧围绕落实“三创四建”推进优化营商环境和全区重点工作部署，</w:t>
      </w:r>
      <w:r>
        <w:rPr>
          <w:rFonts w:hint="eastAsia" w:ascii="仿宋_GB2312" w:hAnsi="仿宋_GB2312" w:eastAsia="仿宋_GB2312" w:cs="仿宋_GB2312"/>
          <w:sz w:val="32"/>
          <w:szCs w:val="32"/>
        </w:rPr>
        <w:t>按照区政府信息公开工作的统一部署和要求狠抓落实，在深化公开内容、建立各项制度、规范公开载体形式</w:t>
      </w:r>
      <w:r>
        <w:rPr>
          <w:rFonts w:hint="eastAsia" w:ascii="仿宋_GB2312" w:hAnsi="仿宋_GB2312" w:eastAsia="仿宋_GB2312" w:cs="仿宋_GB2312"/>
          <w:sz w:val="32"/>
          <w:szCs w:val="32"/>
          <w:lang w:eastAsia="zh-CN"/>
        </w:rPr>
        <w:t>上创新突破，各项工作</w:t>
      </w:r>
      <w:r>
        <w:rPr>
          <w:rFonts w:hint="eastAsia" w:ascii="仿宋_GB2312" w:hAnsi="仿宋_GB2312" w:eastAsia="仿宋_GB2312" w:cs="仿宋_GB2312"/>
          <w:sz w:val="32"/>
          <w:szCs w:val="32"/>
        </w:rPr>
        <w:t>取得了</w:t>
      </w:r>
      <w:r>
        <w:rPr>
          <w:rFonts w:hint="eastAsia" w:ascii="仿宋_GB2312" w:hAnsi="仿宋_GB2312" w:eastAsia="仿宋_GB2312" w:cs="仿宋_GB2312"/>
          <w:sz w:val="32"/>
          <w:szCs w:val="32"/>
          <w:lang w:eastAsia="zh-CN"/>
        </w:rPr>
        <w:t>较大</w:t>
      </w:r>
      <w:r>
        <w:rPr>
          <w:rFonts w:hint="eastAsia" w:ascii="仿宋_GB2312" w:hAnsi="仿宋_GB2312" w:eastAsia="仿宋_GB2312" w:cs="仿宋_GB2312"/>
          <w:sz w:val="32"/>
          <w:szCs w:val="32"/>
        </w:rPr>
        <w:t>进展。</w:t>
      </w:r>
      <w:r>
        <w:rPr>
          <w:rFonts w:hint="eastAsia" w:ascii="仿宋_GB2312" w:hAnsi="仿宋_GB2312" w:eastAsia="仿宋_GB2312" w:cs="仿宋_GB2312"/>
          <w:sz w:val="32"/>
          <w:szCs w:val="32"/>
          <w:lang w:val="en-US" w:eastAsia="zh-CN"/>
        </w:rPr>
        <w:t>2020年</w:t>
      </w:r>
      <w:r>
        <w:rPr>
          <w:rFonts w:hint="eastAsia" w:ascii="仿宋_GB2312" w:hAnsi="仿宋_GB2312" w:eastAsia="仿宋_GB2312" w:cs="仿宋_GB2312"/>
          <w:sz w:val="32"/>
          <w:szCs w:val="32"/>
          <w:lang w:eastAsia="zh-CN"/>
        </w:rPr>
        <w:t>共</w:t>
      </w:r>
      <w:r>
        <w:rPr>
          <w:rFonts w:hint="eastAsia" w:ascii="仿宋_GB2312" w:hAnsi="仿宋_GB2312" w:eastAsia="仿宋_GB2312" w:cs="仿宋_GB2312"/>
          <w:sz w:val="32"/>
          <w:szCs w:val="32"/>
        </w:rPr>
        <w:t>主动公开信息</w:t>
      </w:r>
      <w:r>
        <w:rPr>
          <w:rFonts w:hint="eastAsia" w:ascii="仿宋_GB2312" w:hAnsi="仿宋_GB2312" w:eastAsia="仿宋_GB2312" w:cs="仿宋_GB2312"/>
          <w:sz w:val="32"/>
          <w:szCs w:val="32"/>
          <w:lang w:val="en-US" w:eastAsia="zh-CN"/>
        </w:rPr>
        <w:t>1380</w:t>
      </w:r>
      <w:r>
        <w:rPr>
          <w:rFonts w:hint="eastAsia" w:ascii="仿宋_GB2312" w:hAnsi="仿宋_GB2312" w:eastAsia="仿宋_GB2312" w:cs="仿宋_GB2312"/>
          <w:sz w:val="32"/>
          <w:szCs w:val="32"/>
        </w:rPr>
        <w:t>条。其中，通过政府门户网站公布信息</w:t>
      </w:r>
      <w:r>
        <w:rPr>
          <w:rFonts w:hint="eastAsia" w:ascii="仿宋_GB2312" w:hAnsi="仿宋_GB2312" w:eastAsia="仿宋_GB2312" w:cs="仿宋_GB2312"/>
          <w:color w:val="auto"/>
          <w:sz w:val="32"/>
          <w:szCs w:val="32"/>
          <w:lang w:val="en-US" w:eastAsia="zh-CN"/>
        </w:rPr>
        <w:t>605</w:t>
      </w:r>
      <w:r>
        <w:rPr>
          <w:rFonts w:hint="eastAsia" w:ascii="仿宋_GB2312" w:hAnsi="仿宋_GB2312" w:eastAsia="仿宋_GB2312" w:cs="仿宋_GB2312"/>
          <w:sz w:val="32"/>
          <w:szCs w:val="32"/>
        </w:rPr>
        <w:t>条、微信公众号发布</w:t>
      </w:r>
      <w:r>
        <w:rPr>
          <w:rFonts w:hint="eastAsia" w:ascii="仿宋_GB2312" w:hAnsi="仿宋_GB2312" w:eastAsia="仿宋_GB2312" w:cs="仿宋_GB2312"/>
          <w:sz w:val="32"/>
          <w:szCs w:val="32"/>
          <w:lang w:val="en-US" w:eastAsia="zh-CN"/>
        </w:rPr>
        <w:t>信息</w:t>
      </w:r>
      <w:r>
        <w:rPr>
          <w:rFonts w:hint="eastAsia" w:ascii="仿宋_GB2312" w:hAnsi="仿宋_GB2312" w:eastAsia="仿宋_GB2312" w:cs="仿宋_GB2312"/>
          <w:color w:val="auto"/>
          <w:sz w:val="32"/>
          <w:szCs w:val="32"/>
          <w:lang w:val="en-US" w:eastAsia="zh-CN"/>
        </w:rPr>
        <w:t>63</w:t>
      </w:r>
      <w:r>
        <w:rPr>
          <w:rFonts w:hint="eastAsia" w:ascii="仿宋_GB2312" w:hAnsi="仿宋_GB2312" w:eastAsia="仿宋_GB2312" w:cs="仿宋_GB2312"/>
          <w:sz w:val="32"/>
          <w:szCs w:val="32"/>
        </w:rPr>
        <w:t>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公共资源交易中心</w:t>
      </w:r>
      <w:r>
        <w:rPr>
          <w:rFonts w:hint="eastAsia" w:ascii="仿宋_GB2312" w:hAnsi="仿宋_GB2312" w:eastAsia="仿宋_GB2312" w:cs="仿宋_GB2312"/>
          <w:sz w:val="32"/>
          <w:szCs w:val="32"/>
          <w:lang w:eastAsia="zh-CN"/>
        </w:rPr>
        <w:t>平台发布</w:t>
      </w:r>
      <w:r>
        <w:rPr>
          <w:rFonts w:hint="eastAsia" w:ascii="仿宋_GB2312" w:hAnsi="仿宋_GB2312" w:eastAsia="仿宋_GB2312" w:cs="仿宋_GB2312"/>
          <w:sz w:val="32"/>
          <w:szCs w:val="32"/>
          <w:lang w:val="en-US" w:eastAsia="zh-CN"/>
        </w:rPr>
        <w:t>477</w:t>
      </w:r>
      <w:r>
        <w:rPr>
          <w:rFonts w:hint="eastAsia" w:ascii="仿宋_GB2312" w:hAnsi="仿宋_GB2312" w:eastAsia="仿宋_GB2312" w:cs="仿宋_GB2312"/>
          <w:sz w:val="32"/>
          <w:szCs w:val="32"/>
          <w:lang w:eastAsia="zh-CN"/>
        </w:rPr>
        <w:t>条</w:t>
      </w:r>
      <w:r>
        <w:rPr>
          <w:rFonts w:hint="eastAsia" w:ascii="仿宋_GB2312" w:hAnsi="仿宋_GB2312" w:eastAsia="仿宋_GB2312" w:cs="仿宋_GB2312"/>
          <w:sz w:val="32"/>
          <w:szCs w:val="32"/>
        </w:rPr>
        <w:t>招标项目</w:t>
      </w:r>
      <w:r>
        <w:rPr>
          <w:rFonts w:hint="eastAsia" w:ascii="仿宋_GB2312" w:hAnsi="仿宋_GB2312" w:eastAsia="仿宋_GB2312" w:cs="仿宋_GB2312"/>
          <w:sz w:val="32"/>
          <w:szCs w:val="32"/>
          <w:lang w:eastAsia="zh-CN"/>
        </w:rPr>
        <w:t>信息，其他方式公开信息</w:t>
      </w:r>
      <w:r>
        <w:rPr>
          <w:rFonts w:hint="eastAsia" w:ascii="仿宋_GB2312" w:hAnsi="仿宋_GB2312" w:eastAsia="仿宋_GB2312" w:cs="仿宋_GB2312"/>
          <w:sz w:val="32"/>
          <w:szCs w:val="32"/>
          <w:lang w:val="en-US" w:eastAsia="zh-CN"/>
        </w:rPr>
        <w:t>235条</w:t>
      </w:r>
      <w:r>
        <w:rPr>
          <w:rFonts w:hint="eastAsia" w:ascii="仿宋_GB2312" w:hAnsi="仿宋_GB2312" w:eastAsia="仿宋_GB2312" w:cs="仿宋_GB2312"/>
          <w:sz w:val="32"/>
          <w:szCs w:val="32"/>
        </w:rPr>
        <w:t>。积极解答群众咨询留言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累计回应政府门户网站互动问题</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条，回复市长公开电话留言</w:t>
      </w:r>
      <w:r>
        <w:rPr>
          <w:rFonts w:hint="eastAsia" w:ascii="仿宋_GB2312" w:hAnsi="仿宋_GB2312" w:eastAsia="仿宋_GB2312" w:cs="仿宋_GB2312"/>
          <w:sz w:val="32"/>
          <w:szCs w:val="32"/>
          <w:lang w:val="en-US" w:eastAsia="zh-CN"/>
        </w:rPr>
        <w:t>252</w:t>
      </w:r>
      <w:r>
        <w:rPr>
          <w:rFonts w:hint="eastAsia" w:ascii="仿宋_GB2312" w:hAnsi="仿宋_GB2312" w:eastAsia="仿宋_GB2312" w:cs="仿宋_GB2312"/>
          <w:sz w:val="32"/>
          <w:szCs w:val="32"/>
        </w:rPr>
        <w:t>条，答复市长公开信息留言</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条，并在窗口接待群众咨询、回应社会关切问题</w:t>
      </w:r>
      <w:r>
        <w:rPr>
          <w:rFonts w:hint="eastAsia" w:ascii="仿宋_GB2312" w:hAnsi="仿宋_GB2312" w:eastAsia="仿宋_GB2312" w:cs="仿宋_GB2312"/>
          <w:sz w:val="32"/>
          <w:szCs w:val="32"/>
          <w:lang w:val="en-US" w:eastAsia="zh-CN"/>
        </w:rPr>
        <w:t>36500</w:t>
      </w:r>
      <w:r>
        <w:rPr>
          <w:rFonts w:hint="eastAsia" w:ascii="仿宋_GB2312" w:hAnsi="仿宋_GB2312" w:eastAsia="仿宋_GB2312" w:cs="仿宋_GB2312"/>
          <w:sz w:val="32"/>
          <w:szCs w:val="32"/>
        </w:rPr>
        <w:t>余次，</w:t>
      </w:r>
      <w:r>
        <w:rPr>
          <w:rFonts w:hint="eastAsia" w:ascii="仿宋_GB2312" w:hAnsi="仿宋_GB2312" w:eastAsia="仿宋_GB2312" w:cs="仿宋_GB2312"/>
          <w:sz w:val="32"/>
          <w:szCs w:val="32"/>
          <w:lang w:eastAsia="zh-CN"/>
        </w:rPr>
        <w:t>接听</w:t>
      </w:r>
      <w:r>
        <w:rPr>
          <w:rFonts w:hint="eastAsia" w:ascii="仿宋_GB2312" w:hAnsi="仿宋_GB2312" w:eastAsia="仿宋_GB2312" w:cs="仿宋_GB2312"/>
          <w:sz w:val="32"/>
          <w:szCs w:val="32"/>
        </w:rPr>
        <w:t>咨询电话接听</w:t>
      </w:r>
      <w:r>
        <w:rPr>
          <w:rFonts w:hint="eastAsia" w:ascii="仿宋_GB2312" w:hAnsi="仿宋_GB2312" w:eastAsia="仿宋_GB2312" w:cs="仿宋_GB2312"/>
          <w:color w:val="auto"/>
          <w:sz w:val="32"/>
          <w:szCs w:val="32"/>
          <w:lang w:val="en-US" w:eastAsia="zh-CN"/>
        </w:rPr>
        <w:t>3500</w:t>
      </w:r>
      <w:r>
        <w:rPr>
          <w:rFonts w:hint="eastAsia" w:ascii="仿宋_GB2312" w:hAnsi="仿宋_GB2312" w:eastAsia="仿宋_GB2312" w:cs="仿宋_GB2312"/>
          <w:sz w:val="32"/>
          <w:szCs w:val="32"/>
        </w:rPr>
        <w:t>余次。</w:t>
      </w:r>
      <w:r>
        <w:rPr>
          <w:rFonts w:hint="eastAsia" w:ascii="仿宋_GB2312" w:hAnsi="仿宋_GB2312" w:eastAsia="仿宋_GB2312" w:cs="仿宋_GB2312"/>
          <w:sz w:val="32"/>
          <w:szCs w:val="32"/>
          <w:lang w:eastAsia="zh-CN"/>
        </w:rPr>
        <w:t>积极做好依申请信息公开工作，</w:t>
      </w:r>
      <w:r>
        <w:rPr>
          <w:rFonts w:hint="eastAsia" w:ascii="仿宋_GB2312" w:hAnsi="仿宋_GB2312" w:eastAsia="仿宋_GB2312" w:cs="仿宋_GB2312"/>
          <w:sz w:val="32"/>
          <w:szCs w:val="32"/>
        </w:rPr>
        <w:t>共收到申请公开信息</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条，</w:t>
      </w:r>
      <w:r>
        <w:rPr>
          <w:rFonts w:hint="eastAsia" w:ascii="仿宋_GB2312" w:hAnsi="仿宋_GB2312" w:eastAsia="仿宋_GB2312" w:cs="仿宋_GB2312"/>
          <w:sz w:val="32"/>
          <w:szCs w:val="32"/>
          <w:lang w:eastAsia="zh-CN"/>
        </w:rPr>
        <w:t>一是赵仓珍、朱荣枝、魏东霞</w:t>
      </w:r>
      <w:r>
        <w:rPr>
          <w:rFonts w:hint="eastAsia" w:ascii="仿宋_GB2312" w:hAnsi="仿宋_GB2312" w:eastAsia="仿宋_GB2312" w:cs="仿宋_GB2312"/>
          <w:sz w:val="32"/>
          <w:szCs w:val="32"/>
        </w:rPr>
        <w:t>通过信函申请公开“</w:t>
      </w:r>
      <w:r>
        <w:rPr>
          <w:rFonts w:hint="eastAsia" w:ascii="仿宋_GB2312" w:hAnsi="仿宋_GB2312" w:eastAsia="仿宋_GB2312" w:cs="仿宋_GB2312"/>
          <w:sz w:val="32"/>
          <w:szCs w:val="32"/>
          <w:lang w:eastAsia="zh-CN"/>
        </w:rPr>
        <w:t>与龙泉片区旧城改建项目相关的：该项目的社会稳定风险评估报告</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政府信息</w:t>
      </w:r>
      <w:r>
        <w:rPr>
          <w:rFonts w:hint="eastAsia" w:ascii="仿宋_GB2312" w:hAnsi="仿宋_GB2312" w:eastAsia="仿宋_GB2312" w:cs="仿宋_GB2312"/>
          <w:sz w:val="32"/>
          <w:szCs w:val="32"/>
        </w:rPr>
        <w:t>，经调查，所涉</w:t>
      </w:r>
      <w:r>
        <w:rPr>
          <w:rFonts w:hint="eastAsia" w:ascii="仿宋_GB2312" w:hAnsi="仿宋_GB2312" w:eastAsia="仿宋_GB2312" w:cs="仿宋_GB2312"/>
          <w:sz w:val="32"/>
          <w:szCs w:val="32"/>
          <w:lang w:eastAsia="zh-CN"/>
        </w:rPr>
        <w:t>事项不</w:t>
      </w:r>
      <w:r>
        <w:rPr>
          <w:rFonts w:hint="eastAsia" w:ascii="仿宋_GB2312" w:hAnsi="仿宋_GB2312" w:eastAsia="仿宋_GB2312" w:cs="仿宋_GB2312"/>
          <w:sz w:val="32"/>
          <w:szCs w:val="32"/>
        </w:rPr>
        <w:t>在我局</w:t>
      </w:r>
      <w:r>
        <w:rPr>
          <w:rFonts w:hint="eastAsia" w:ascii="仿宋_GB2312" w:hAnsi="仿宋_GB2312" w:eastAsia="仿宋_GB2312" w:cs="仿宋_GB2312"/>
          <w:sz w:val="32"/>
          <w:szCs w:val="32"/>
          <w:lang w:eastAsia="zh-CN"/>
        </w:rPr>
        <w:t>职权范围内</w:t>
      </w:r>
      <w:r>
        <w:rPr>
          <w:rFonts w:hint="eastAsia" w:ascii="仿宋_GB2312" w:hAnsi="仿宋_GB2312" w:eastAsia="仿宋_GB2312" w:cs="仿宋_GB2312"/>
          <w:sz w:val="32"/>
          <w:szCs w:val="32"/>
        </w:rPr>
        <w:t>，已按照法定程序回函当事人向相关部门提交申请。</w:t>
      </w:r>
      <w:r>
        <w:rPr>
          <w:rFonts w:hint="eastAsia" w:ascii="仿宋_GB2312" w:hAnsi="仿宋_GB2312" w:eastAsia="仿宋_GB2312" w:cs="仿宋_GB2312"/>
          <w:sz w:val="32"/>
          <w:szCs w:val="32"/>
          <w:lang w:eastAsia="zh-CN"/>
        </w:rPr>
        <w:t>二是陈新海</w:t>
      </w:r>
      <w:r>
        <w:rPr>
          <w:rFonts w:hint="eastAsia" w:ascii="仿宋_GB2312" w:hAnsi="仿宋_GB2312" w:eastAsia="仿宋_GB2312" w:cs="仿宋_GB2312"/>
          <w:sz w:val="32"/>
          <w:szCs w:val="32"/>
        </w:rPr>
        <w:t>通过信函申请公开“</w:t>
      </w:r>
      <w:r>
        <w:rPr>
          <w:rFonts w:hint="eastAsia" w:ascii="仿宋_GB2312" w:hAnsi="仿宋_GB2312" w:eastAsia="仿宋_GB2312" w:cs="仿宋_GB2312"/>
          <w:sz w:val="32"/>
          <w:szCs w:val="32"/>
          <w:lang w:eastAsia="zh-CN"/>
        </w:rPr>
        <w:t>中以农科小镇立项批复文件（立项批准文件）及附件附图”政府信息，经调查，该项目在我局进行了备案，已经在河北省投资项目在线审批监管平台公示，并告知申请人进行查询；对于该项目的立项批复文件的附件附图，河北如珀农业科技有限公司书面反馈涉及商业秘密不同意公开，并书面复函告知申请人。三是崔琰辉通过信函申请公开</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与龙泉片区旧城改建项目相关的：该项目的社会稳定风险评估报告</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政府信息，</w:t>
      </w:r>
      <w:r>
        <w:rPr>
          <w:rFonts w:hint="eastAsia" w:ascii="仿宋_GB2312" w:hAnsi="仿宋_GB2312" w:eastAsia="仿宋_GB2312" w:cs="仿宋_GB2312"/>
          <w:sz w:val="32"/>
          <w:szCs w:val="32"/>
        </w:rPr>
        <w:t>经调查，所涉</w:t>
      </w:r>
      <w:r>
        <w:rPr>
          <w:rFonts w:hint="eastAsia" w:ascii="仿宋_GB2312" w:hAnsi="仿宋_GB2312" w:eastAsia="仿宋_GB2312" w:cs="仿宋_GB2312"/>
          <w:sz w:val="32"/>
          <w:szCs w:val="32"/>
          <w:lang w:eastAsia="zh-CN"/>
        </w:rPr>
        <w:t>事项不</w:t>
      </w:r>
      <w:r>
        <w:rPr>
          <w:rFonts w:hint="eastAsia" w:ascii="仿宋_GB2312" w:hAnsi="仿宋_GB2312" w:eastAsia="仿宋_GB2312" w:cs="仿宋_GB2312"/>
          <w:sz w:val="32"/>
          <w:szCs w:val="32"/>
        </w:rPr>
        <w:t>在我局</w:t>
      </w:r>
      <w:r>
        <w:rPr>
          <w:rFonts w:hint="eastAsia" w:ascii="仿宋_GB2312" w:hAnsi="仿宋_GB2312" w:eastAsia="仿宋_GB2312" w:cs="仿宋_GB2312"/>
          <w:sz w:val="32"/>
          <w:szCs w:val="32"/>
          <w:lang w:eastAsia="zh-CN"/>
        </w:rPr>
        <w:t>职权范围内</w:t>
      </w:r>
      <w:r>
        <w:rPr>
          <w:rFonts w:hint="eastAsia" w:ascii="仿宋_GB2312" w:hAnsi="仿宋_GB2312" w:eastAsia="仿宋_GB2312" w:cs="仿宋_GB2312"/>
          <w:sz w:val="32"/>
          <w:szCs w:val="32"/>
        </w:rPr>
        <w:t>，已按照法定程序回函当事人向相关部门提交申请。</w:t>
      </w:r>
      <w:r>
        <w:rPr>
          <w:rFonts w:hint="eastAsia" w:ascii="仿宋_GB2312" w:hAnsi="仿宋_GB2312" w:eastAsia="仿宋_GB2312" w:cs="仿宋_GB2312"/>
          <w:sz w:val="32"/>
          <w:szCs w:val="32"/>
          <w:lang w:eastAsia="zh-CN"/>
        </w:rPr>
        <w:t>四是李树婷、高银生、齐志周、王丽萍通过信函申请公开“与龙泉片区旧城改建项目相关的：该项目的地籍调查表、地上附着物登记表；</w:t>
      </w:r>
      <w:r>
        <w:rPr>
          <w:rFonts w:hint="eastAsia" w:ascii="仿宋_GB2312" w:hAnsi="仿宋_GB2312" w:eastAsia="仿宋_GB2312" w:cs="仿宋_GB2312"/>
          <w:sz w:val="32"/>
          <w:szCs w:val="32"/>
          <w:lang w:val="en-US" w:eastAsia="zh-CN"/>
        </w:rPr>
        <w:t>该项目的社会稳定风险评估报告；该项目的土地出让合同或划拨文件</w:t>
      </w:r>
      <w:r>
        <w:rPr>
          <w:rFonts w:hint="eastAsia" w:ascii="仿宋_GB2312" w:hAnsi="仿宋_GB2312" w:eastAsia="仿宋_GB2312" w:cs="仿宋_GB2312"/>
          <w:sz w:val="32"/>
          <w:szCs w:val="32"/>
          <w:lang w:eastAsia="zh-CN"/>
        </w:rPr>
        <w:t>”政府信息，经调查，</w:t>
      </w:r>
      <w:r>
        <w:rPr>
          <w:rFonts w:hint="eastAsia" w:ascii="仿宋_GB2312" w:hAnsi="仿宋_GB2312" w:eastAsia="仿宋_GB2312" w:cs="仿宋_GB2312"/>
          <w:sz w:val="32"/>
          <w:szCs w:val="32"/>
        </w:rPr>
        <w:t>所涉</w:t>
      </w:r>
      <w:r>
        <w:rPr>
          <w:rFonts w:hint="eastAsia" w:ascii="仿宋_GB2312" w:hAnsi="仿宋_GB2312" w:eastAsia="仿宋_GB2312" w:cs="仿宋_GB2312"/>
          <w:sz w:val="32"/>
          <w:szCs w:val="32"/>
          <w:lang w:eastAsia="zh-CN"/>
        </w:rPr>
        <w:t>事项不</w:t>
      </w:r>
      <w:r>
        <w:rPr>
          <w:rFonts w:hint="eastAsia" w:ascii="仿宋_GB2312" w:hAnsi="仿宋_GB2312" w:eastAsia="仿宋_GB2312" w:cs="仿宋_GB2312"/>
          <w:sz w:val="32"/>
          <w:szCs w:val="32"/>
        </w:rPr>
        <w:t>在我局</w:t>
      </w:r>
      <w:r>
        <w:rPr>
          <w:rFonts w:hint="eastAsia" w:ascii="仿宋_GB2312" w:hAnsi="仿宋_GB2312" w:eastAsia="仿宋_GB2312" w:cs="仿宋_GB2312"/>
          <w:sz w:val="32"/>
          <w:szCs w:val="32"/>
          <w:lang w:eastAsia="zh-CN"/>
        </w:rPr>
        <w:t>职权范围内</w:t>
      </w:r>
      <w:r>
        <w:rPr>
          <w:rFonts w:hint="eastAsia" w:ascii="仿宋_GB2312" w:hAnsi="仿宋_GB2312" w:eastAsia="仿宋_GB2312" w:cs="仿宋_GB2312"/>
          <w:sz w:val="32"/>
          <w:szCs w:val="32"/>
        </w:rPr>
        <w:t>，已按照法定程序回函当事人向相关部门提交申请。</w:t>
      </w:r>
      <w:r>
        <w:rPr>
          <w:rFonts w:hint="eastAsia" w:ascii="仿宋_GB2312" w:hAnsi="仿宋_GB2312" w:eastAsia="仿宋_GB2312" w:cs="仿宋_GB2312"/>
          <w:sz w:val="32"/>
          <w:szCs w:val="32"/>
          <w:lang w:eastAsia="zh-CN"/>
        </w:rPr>
        <w:t>的鹿泉区人民政府征收龙泉片区旧城改建项目范围内房屋项目立项审批手续</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政府信息</w:t>
      </w:r>
      <w:r>
        <w:rPr>
          <w:rFonts w:hint="eastAsia" w:ascii="仿宋_GB2312" w:hAnsi="仿宋_GB2312" w:eastAsia="仿宋_GB2312" w:cs="仿宋_GB2312"/>
          <w:sz w:val="32"/>
          <w:szCs w:val="32"/>
        </w:rPr>
        <w:t>，经调查，所涉项目未在我局办理，已按照法定程序回函当事人。</w:t>
      </w:r>
      <w:r>
        <w:rPr>
          <w:rFonts w:hint="eastAsia" w:ascii="仿宋_GB2312" w:hAnsi="仿宋_GB2312" w:eastAsia="仿宋_GB2312" w:cs="仿宋_GB2312"/>
          <w:sz w:val="32"/>
          <w:szCs w:val="32"/>
          <w:lang w:eastAsia="zh-CN"/>
        </w:rPr>
        <w:t>五是张冬春通过信函申请公开“石家庄市鹿泉区山前大道拓宽工程征收项目的项目用地批准文件及申报材料等共</w:t>
      </w:r>
      <w:r>
        <w:rPr>
          <w:rFonts w:hint="eastAsia" w:ascii="仿宋_GB2312" w:hAnsi="仿宋_GB2312" w:eastAsia="仿宋_GB2312" w:cs="仿宋_GB2312"/>
          <w:sz w:val="32"/>
          <w:szCs w:val="32"/>
          <w:lang w:val="en-US" w:eastAsia="zh-CN"/>
        </w:rPr>
        <w:t>10项材料</w:t>
      </w:r>
      <w:r>
        <w:rPr>
          <w:rFonts w:hint="eastAsia" w:ascii="仿宋_GB2312" w:hAnsi="仿宋_GB2312" w:eastAsia="仿宋_GB2312" w:cs="仿宋_GB2312"/>
          <w:sz w:val="32"/>
          <w:szCs w:val="32"/>
          <w:lang w:eastAsia="zh-CN"/>
        </w:rPr>
        <w:t>”政府信息，经调查，该项目用地批准文件及申报材料、政府红线图等材料不再我局职权范围内，</w:t>
      </w:r>
      <w:r>
        <w:rPr>
          <w:rFonts w:hint="eastAsia" w:ascii="仿宋_GB2312" w:hAnsi="仿宋_GB2312" w:eastAsia="仿宋_GB2312" w:cs="仿宋_GB2312"/>
          <w:sz w:val="32"/>
          <w:szCs w:val="32"/>
        </w:rPr>
        <w:t>已按照法定程序回函当事人向相关部门提交申请</w:t>
      </w:r>
      <w:r>
        <w:rPr>
          <w:rFonts w:hint="eastAsia" w:ascii="仿宋_GB2312" w:hAnsi="仿宋_GB2312" w:eastAsia="仿宋_GB2312" w:cs="仿宋_GB2312"/>
          <w:sz w:val="32"/>
          <w:szCs w:val="32"/>
          <w:lang w:eastAsia="zh-CN"/>
        </w:rPr>
        <w:t>。做好行政复议和行政诉讼工作，收到行政诉讼</w:t>
      </w:r>
      <w:r>
        <w:rPr>
          <w:rFonts w:hint="eastAsia" w:ascii="仿宋_GB2312" w:hAnsi="仿宋_GB2312" w:eastAsia="仿宋_GB2312" w:cs="仿宋_GB2312"/>
          <w:sz w:val="32"/>
          <w:szCs w:val="32"/>
          <w:lang w:val="en-US" w:eastAsia="zh-CN"/>
        </w:rPr>
        <w:t>2件，其中未审结1件</w:t>
      </w:r>
    </w:p>
    <w:p>
      <w:pPr>
        <w:keepNext w:val="0"/>
        <w:keepLines w:val="0"/>
        <w:pageBreakBefore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hAnsi="仿宋_GB2312" w:eastAsia="仿宋_GB2312" w:cs="仿宋_GB2312"/>
          <w:sz w:val="32"/>
          <w:szCs w:val="32"/>
          <w:lang w:eastAsia="zh-CN"/>
        </w:rPr>
      </w:pPr>
      <w:bookmarkStart w:id="0" w:name="_GoBack"/>
      <w:bookmarkEnd w:id="0"/>
      <w:r>
        <w:rPr>
          <w:rFonts w:hint="eastAsia" w:ascii="仿宋_GB2312" w:hAnsi="仿宋_GB2312" w:eastAsia="仿宋_GB2312" w:cs="仿宋_GB2312"/>
          <w:sz w:val="32"/>
          <w:szCs w:val="32"/>
          <w:lang w:val="en-US" w:eastAsia="zh-CN"/>
        </w:rPr>
        <w:t>。</w:t>
      </w:r>
    </w:p>
    <w:p>
      <w:pPr>
        <w:keepNext w:val="0"/>
        <w:keepLines w:val="0"/>
        <w:pageBreakBefore w:val="0"/>
        <w:kinsoku/>
        <w:wordWrap/>
        <w:overflowPunct/>
        <w:topLinePunct w:val="0"/>
        <w:autoSpaceDE/>
        <w:autoSpaceDN/>
        <w:bidi w:val="0"/>
        <w:adjustRightInd/>
        <w:snapToGrid/>
        <w:spacing w:line="578" w:lineRule="exact"/>
        <w:ind w:left="0" w:leftChars="0" w:right="0" w:rightChars="0" w:firstLine="640" w:firstLineChars="200"/>
        <w:jc w:val="left"/>
        <w:textAlignment w:val="auto"/>
        <w:outlineLvl w:val="9"/>
        <w:rPr>
          <w:rFonts w:hint="eastAsia" w:ascii="仿宋_GB2312" w:hAnsi="仿宋_GB2312" w:eastAsia="仿宋_GB2312" w:cs="仿宋_GB2312"/>
          <w:sz w:val="32"/>
          <w:szCs w:val="32"/>
          <w:lang w:eastAsia="zh-CN"/>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20"/>
        <w:jc w:val="both"/>
        <w:textAlignment w:val="auto"/>
        <w:outlineLvl w:val="9"/>
        <w:rPr>
          <w:rFonts w:hint="eastAsia" w:ascii="黑体" w:hAnsi="黑体" w:eastAsia="黑体" w:cs="黑体"/>
          <w:b/>
          <w:color w:val="000000"/>
          <w:sz w:val="32"/>
          <w:szCs w:val="32"/>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20"/>
        <w:jc w:val="both"/>
        <w:textAlignment w:val="auto"/>
        <w:outlineLvl w:val="9"/>
        <w:rPr>
          <w:rFonts w:hint="eastAsia" w:ascii="黑体" w:hAnsi="黑体" w:eastAsia="黑体" w:cs="黑体"/>
          <w:b/>
          <w:color w:val="000000"/>
          <w:sz w:val="32"/>
          <w:szCs w:val="32"/>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20"/>
        <w:jc w:val="both"/>
        <w:textAlignment w:val="auto"/>
        <w:outlineLvl w:val="9"/>
        <w:rPr>
          <w:rFonts w:hint="eastAsia" w:ascii="黑体" w:hAnsi="黑体" w:eastAsia="黑体" w:cs="黑体"/>
          <w:b/>
          <w:color w:val="000000"/>
          <w:sz w:val="32"/>
          <w:szCs w:val="32"/>
        </w:rPr>
      </w:pPr>
    </w:p>
    <w:p>
      <w:pPr>
        <w:pStyle w:val="3"/>
        <w:keepNext w:val="0"/>
        <w:keepLines w:val="0"/>
        <w:pageBreakBefore w:val="0"/>
        <w:widowControl/>
        <w:numPr>
          <w:ilvl w:val="0"/>
          <w:numId w:val="1"/>
        </w:numPr>
        <w:kinsoku/>
        <w:wordWrap/>
        <w:overflowPunct/>
        <w:topLinePunct w:val="0"/>
        <w:autoSpaceDE/>
        <w:autoSpaceDN/>
        <w:bidi w:val="0"/>
        <w:adjustRightInd/>
        <w:snapToGrid/>
        <w:spacing w:beforeAutospacing="0" w:afterAutospacing="0" w:line="578" w:lineRule="exact"/>
        <w:ind w:left="0" w:leftChars="0" w:right="0" w:rightChars="0" w:firstLine="420"/>
        <w:jc w:val="both"/>
        <w:textAlignment w:val="auto"/>
        <w:outlineLvl w:val="9"/>
        <w:rPr>
          <w:rFonts w:hint="eastAsia" w:ascii="黑体" w:hAnsi="黑体" w:eastAsia="黑体" w:cs="黑体"/>
          <w:b w:val="0"/>
          <w:bCs/>
          <w:color w:val="000000"/>
          <w:sz w:val="32"/>
          <w:szCs w:val="32"/>
        </w:rPr>
      </w:pPr>
      <w:r>
        <w:rPr>
          <w:rFonts w:hint="eastAsia" w:ascii="黑体" w:hAnsi="黑体" w:eastAsia="黑体" w:cs="黑体"/>
          <w:b w:val="0"/>
          <w:bCs/>
          <w:color w:val="000000"/>
          <w:sz w:val="32"/>
          <w:szCs w:val="32"/>
        </w:rPr>
        <w:t>主动公开政府信息情况</w:t>
      </w:r>
    </w:p>
    <w:tbl>
      <w:tblPr>
        <w:tblStyle w:val="5"/>
        <w:tblW w:w="8300" w:type="dxa"/>
        <w:jc w:val="center"/>
        <w:tblInd w:w="191" w:type="dxa"/>
        <w:tblLayout w:type="fixed"/>
        <w:tblCellMar>
          <w:top w:w="15" w:type="dxa"/>
          <w:left w:w="15" w:type="dxa"/>
          <w:bottom w:w="15" w:type="dxa"/>
          <w:right w:w="15" w:type="dxa"/>
        </w:tblCellMar>
      </w:tblPr>
      <w:tblGrid>
        <w:gridCol w:w="3113"/>
        <w:gridCol w:w="1875"/>
        <w:gridCol w:w="6"/>
        <w:gridCol w:w="1265"/>
        <w:gridCol w:w="2041"/>
      </w:tblGrid>
      <w:tr>
        <w:tblPrEx>
          <w:tblLayout w:type="fixed"/>
          <w:tblCellMar>
            <w:top w:w="15" w:type="dxa"/>
            <w:left w:w="15" w:type="dxa"/>
            <w:bottom w:w="15" w:type="dxa"/>
            <w:right w:w="15" w:type="dxa"/>
          </w:tblCellMar>
        </w:tblPrEx>
        <w:trPr>
          <w:trHeight w:val="495" w:hRule="atLeast"/>
          <w:jc w:val="center"/>
        </w:trPr>
        <w:tc>
          <w:tcPr>
            <w:tcW w:w="8300" w:type="dxa"/>
            <w:gridSpan w:val="5"/>
            <w:tcBorders>
              <w:top w:val="single" w:color="auto" w:sz="8" w:space="0"/>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第二十条第（一）项</w:t>
            </w:r>
          </w:p>
        </w:tc>
      </w:tr>
      <w:tr>
        <w:tblPrEx>
          <w:tblLayout w:type="fixed"/>
          <w:tblCellMar>
            <w:top w:w="15" w:type="dxa"/>
            <w:left w:w="15" w:type="dxa"/>
            <w:bottom w:w="15" w:type="dxa"/>
            <w:right w:w="15"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信息内容</w:t>
            </w:r>
          </w:p>
        </w:tc>
        <w:tc>
          <w:tcPr>
            <w:tcW w:w="187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本年新</w:t>
            </w:r>
            <w:r>
              <w:rPr>
                <w:rFonts w:hint="eastAsia" w:ascii="仿宋" w:hAnsi="仿宋" w:eastAsia="仿宋" w:cs="仿宋"/>
                <w:kern w:val="0"/>
                <w:sz w:val="24"/>
              </w:rPr>
              <w:br w:type="textWrapping"/>
            </w:r>
            <w:r>
              <w:rPr>
                <w:rFonts w:hint="eastAsia" w:ascii="仿宋" w:hAnsi="仿宋" w:eastAsia="仿宋" w:cs="仿宋"/>
                <w:kern w:val="0"/>
                <w:sz w:val="24"/>
              </w:rPr>
              <w:t>制作数量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本年新</w:t>
            </w:r>
            <w:r>
              <w:rPr>
                <w:rFonts w:hint="eastAsia" w:ascii="仿宋" w:hAnsi="仿宋" w:eastAsia="仿宋" w:cs="仿宋"/>
                <w:kern w:val="0"/>
                <w:sz w:val="24"/>
              </w:rPr>
              <w:br w:type="textWrapping"/>
            </w:r>
            <w:r>
              <w:rPr>
                <w:rFonts w:hint="eastAsia" w:ascii="仿宋" w:hAnsi="仿宋" w:eastAsia="仿宋" w:cs="仿宋"/>
                <w:kern w:val="0"/>
                <w:sz w:val="24"/>
              </w:rPr>
              <w:t>公开数量</w:t>
            </w:r>
          </w:p>
        </w:tc>
        <w:tc>
          <w:tcPr>
            <w:tcW w:w="204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对外公开总数量</w:t>
            </w:r>
          </w:p>
        </w:tc>
      </w:tr>
      <w:tr>
        <w:tblPrEx>
          <w:tblLayout w:type="fixed"/>
          <w:tblCellMar>
            <w:top w:w="15" w:type="dxa"/>
            <w:left w:w="15" w:type="dxa"/>
            <w:bottom w:w="15" w:type="dxa"/>
            <w:right w:w="15"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规章</w:t>
            </w:r>
          </w:p>
        </w:tc>
        <w:tc>
          <w:tcPr>
            <w:tcW w:w="187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204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Layout w:type="fixed"/>
          <w:tblCellMar>
            <w:top w:w="15" w:type="dxa"/>
            <w:left w:w="15" w:type="dxa"/>
            <w:bottom w:w="15" w:type="dxa"/>
            <w:right w:w="15"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规范性文件</w:t>
            </w:r>
          </w:p>
        </w:tc>
        <w:tc>
          <w:tcPr>
            <w:tcW w:w="187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204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lang w:val="en-US" w:eastAsia="zh-CN"/>
              </w:rPr>
              <w:t>0</w:t>
            </w:r>
            <w:r>
              <w:rPr>
                <w:rFonts w:hint="eastAsia" w:ascii="仿宋" w:hAnsi="仿宋" w:eastAsia="仿宋" w:cs="仿宋"/>
                <w:kern w:val="0"/>
                <w:sz w:val="24"/>
              </w:rPr>
              <w:t>　</w:t>
            </w:r>
          </w:p>
        </w:tc>
      </w:tr>
      <w:tr>
        <w:tblPrEx>
          <w:tblLayout w:type="fixed"/>
          <w:tblCellMar>
            <w:top w:w="15" w:type="dxa"/>
            <w:left w:w="15" w:type="dxa"/>
            <w:bottom w:w="15" w:type="dxa"/>
            <w:right w:w="15" w:type="dxa"/>
          </w:tblCellMar>
        </w:tblPrEx>
        <w:trPr>
          <w:trHeight w:val="480" w:hRule="atLeast"/>
          <w:jc w:val="center"/>
        </w:trPr>
        <w:tc>
          <w:tcPr>
            <w:tcW w:w="830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第二十条第（五）项</w:t>
            </w:r>
          </w:p>
        </w:tc>
      </w:tr>
      <w:tr>
        <w:tblPrEx>
          <w:tblLayout w:type="fixed"/>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信息内容</w:t>
            </w:r>
          </w:p>
        </w:tc>
        <w:tc>
          <w:tcPr>
            <w:tcW w:w="187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上一年项目数量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本年增/减</w:t>
            </w:r>
          </w:p>
        </w:tc>
        <w:tc>
          <w:tcPr>
            <w:tcW w:w="204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处理决定数量</w:t>
            </w:r>
          </w:p>
        </w:tc>
      </w:tr>
      <w:tr>
        <w:tblPrEx>
          <w:tblLayout w:type="fixed"/>
          <w:tblCellMar>
            <w:top w:w="15" w:type="dxa"/>
            <w:left w:w="15" w:type="dxa"/>
            <w:bottom w:w="15" w:type="dxa"/>
            <w:right w:w="15"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行政许可</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128</w:t>
            </w:r>
          </w:p>
        </w:tc>
        <w:tc>
          <w:tcPr>
            <w:tcW w:w="126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141</w:t>
            </w:r>
          </w:p>
        </w:tc>
        <w:tc>
          <w:tcPr>
            <w:tcW w:w="204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19301</w:t>
            </w:r>
          </w:p>
        </w:tc>
      </w:tr>
      <w:tr>
        <w:tblPrEx>
          <w:tblLayout w:type="fixed"/>
          <w:tblCellMar>
            <w:top w:w="15" w:type="dxa"/>
            <w:left w:w="15" w:type="dxa"/>
            <w:bottom w:w="15" w:type="dxa"/>
            <w:right w:w="15"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其他对外管理服务事项</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51</w:t>
            </w:r>
          </w:p>
        </w:tc>
        <w:tc>
          <w:tcPr>
            <w:tcW w:w="126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51</w:t>
            </w:r>
          </w:p>
        </w:tc>
        <w:tc>
          <w:tcPr>
            <w:tcW w:w="204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4376</w:t>
            </w:r>
          </w:p>
        </w:tc>
      </w:tr>
      <w:tr>
        <w:tblPrEx>
          <w:tblLayout w:type="fixed"/>
          <w:tblCellMar>
            <w:top w:w="15" w:type="dxa"/>
            <w:left w:w="15" w:type="dxa"/>
            <w:bottom w:w="15" w:type="dxa"/>
            <w:right w:w="15" w:type="dxa"/>
          </w:tblCellMar>
        </w:tblPrEx>
        <w:trPr>
          <w:trHeight w:val="406" w:hRule="atLeast"/>
          <w:jc w:val="center"/>
        </w:trPr>
        <w:tc>
          <w:tcPr>
            <w:tcW w:w="830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第二十条第（六）项</w:t>
            </w:r>
          </w:p>
        </w:tc>
      </w:tr>
      <w:tr>
        <w:tblPrEx>
          <w:tblLayout w:type="fixed"/>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信息内容</w:t>
            </w:r>
          </w:p>
        </w:tc>
        <w:tc>
          <w:tcPr>
            <w:tcW w:w="187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上一年项目数量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本年增/减</w:t>
            </w:r>
          </w:p>
        </w:tc>
        <w:tc>
          <w:tcPr>
            <w:tcW w:w="204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处理决定数量</w:t>
            </w:r>
          </w:p>
        </w:tc>
      </w:tr>
      <w:tr>
        <w:tblPrEx>
          <w:tblLayout w:type="fixed"/>
          <w:tblCellMar>
            <w:top w:w="15" w:type="dxa"/>
            <w:left w:w="15" w:type="dxa"/>
            <w:bottom w:w="15" w:type="dxa"/>
            <w:right w:w="15"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行政处罚</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126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204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r>
      <w:tr>
        <w:tblPrEx>
          <w:tblLayout w:type="fixed"/>
          <w:tblCellMar>
            <w:top w:w="15" w:type="dxa"/>
            <w:left w:w="15" w:type="dxa"/>
            <w:bottom w:w="15" w:type="dxa"/>
            <w:right w:w="15"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行政强制</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126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204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r>
      <w:tr>
        <w:tblPrEx>
          <w:tblLayout w:type="fixed"/>
          <w:tblCellMar>
            <w:top w:w="15" w:type="dxa"/>
            <w:left w:w="15" w:type="dxa"/>
            <w:bottom w:w="15" w:type="dxa"/>
            <w:right w:w="15" w:type="dxa"/>
          </w:tblCellMar>
        </w:tblPrEx>
        <w:trPr>
          <w:trHeight w:val="474" w:hRule="atLeast"/>
          <w:jc w:val="center"/>
        </w:trPr>
        <w:tc>
          <w:tcPr>
            <w:tcW w:w="830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第二十条第（八）项</w:t>
            </w:r>
          </w:p>
        </w:tc>
      </w:tr>
      <w:tr>
        <w:tblPrEx>
          <w:tblLayout w:type="fixed"/>
          <w:tblCellMar>
            <w:top w:w="15" w:type="dxa"/>
            <w:left w:w="15" w:type="dxa"/>
            <w:bottom w:w="15" w:type="dxa"/>
            <w:right w:w="15"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信息内容</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上一年项目数量</w:t>
            </w:r>
          </w:p>
        </w:tc>
        <w:tc>
          <w:tcPr>
            <w:tcW w:w="3306" w:type="dxa"/>
            <w:gridSpan w:val="2"/>
            <w:tcBorders>
              <w:top w:val="single" w:color="auto" w:sz="8" w:space="0"/>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本年增/减</w:t>
            </w:r>
          </w:p>
        </w:tc>
      </w:tr>
      <w:tr>
        <w:tblPrEx>
          <w:tblLayout w:type="fixed"/>
          <w:tblCellMar>
            <w:top w:w="15" w:type="dxa"/>
            <w:left w:w="15" w:type="dxa"/>
            <w:bottom w:w="15" w:type="dxa"/>
            <w:right w:w="15"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行政事业性收费</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3306" w:type="dxa"/>
            <w:gridSpan w:val="2"/>
            <w:tcBorders>
              <w:top w:val="nil"/>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r>
      <w:tr>
        <w:tblPrEx>
          <w:tblLayout w:type="fixed"/>
          <w:tblCellMar>
            <w:top w:w="15" w:type="dxa"/>
            <w:left w:w="15" w:type="dxa"/>
            <w:bottom w:w="15" w:type="dxa"/>
            <w:right w:w="15" w:type="dxa"/>
          </w:tblCellMar>
        </w:tblPrEx>
        <w:trPr>
          <w:trHeight w:val="476" w:hRule="atLeast"/>
          <w:jc w:val="center"/>
        </w:trPr>
        <w:tc>
          <w:tcPr>
            <w:tcW w:w="8300" w:type="dxa"/>
            <w:gridSpan w:val="5"/>
            <w:tcBorders>
              <w:top w:val="nil"/>
              <w:left w:val="single" w:color="auto" w:sz="8" w:space="0"/>
              <w:bottom w:val="single" w:color="auto" w:sz="8" w:space="0"/>
              <w:right w:val="single" w:color="auto" w:sz="8" w:space="0"/>
            </w:tcBorders>
            <w:shd w:val="clear" w:color="auto" w:fill="C6D9F1"/>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第二十条第（九）项</w:t>
            </w:r>
          </w:p>
        </w:tc>
      </w:tr>
      <w:tr>
        <w:tblPrEx>
          <w:tblLayout w:type="fixed"/>
          <w:tblCellMar>
            <w:top w:w="15" w:type="dxa"/>
            <w:left w:w="15" w:type="dxa"/>
            <w:bottom w:w="15" w:type="dxa"/>
            <w:right w:w="15"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信息内容</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采购项目数量</w:t>
            </w:r>
          </w:p>
        </w:tc>
        <w:tc>
          <w:tcPr>
            <w:tcW w:w="3306" w:type="dxa"/>
            <w:gridSpan w:val="2"/>
            <w:tcBorders>
              <w:top w:val="single" w:color="auto" w:sz="8" w:space="0"/>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采购总金额</w:t>
            </w:r>
          </w:p>
        </w:tc>
      </w:tr>
      <w:tr>
        <w:tblPrEx>
          <w:tblLayout w:type="fixed"/>
          <w:tblCellMar>
            <w:top w:w="15" w:type="dxa"/>
            <w:left w:w="15" w:type="dxa"/>
            <w:bottom w:w="15" w:type="dxa"/>
            <w:right w:w="15"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政府集中采购</w:t>
            </w:r>
          </w:p>
        </w:tc>
        <w:tc>
          <w:tcPr>
            <w:tcW w:w="188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sz w:val="24"/>
                <w:lang w:val="en-US" w:eastAsia="zh-CN"/>
              </w:rPr>
              <w:t>83</w:t>
            </w:r>
          </w:p>
        </w:tc>
        <w:tc>
          <w:tcPr>
            <w:tcW w:w="3306" w:type="dxa"/>
            <w:gridSpan w:val="2"/>
            <w:tcBorders>
              <w:top w:val="nil"/>
              <w:left w:val="nil"/>
              <w:bottom w:val="single" w:color="auto" w:sz="8" w:space="0"/>
              <w:right w:val="single" w:color="000000"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hint="eastAsia" w:ascii="仿宋" w:hAnsi="仿宋" w:eastAsia="仿宋" w:cs="仿宋"/>
                <w:sz w:val="24"/>
                <w:lang w:val="en-US" w:eastAsia="zh-CN"/>
              </w:rPr>
            </w:pPr>
            <w:r>
              <w:rPr>
                <w:rFonts w:hint="eastAsia" w:ascii="仿宋" w:hAnsi="仿宋" w:eastAsia="仿宋" w:cs="仿宋"/>
                <w:sz w:val="24"/>
                <w:lang w:val="en-US" w:eastAsia="zh-CN"/>
              </w:rPr>
              <w:t>351.35万无</w:t>
            </w:r>
          </w:p>
        </w:tc>
      </w:tr>
    </w:tbl>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20"/>
        <w:jc w:val="both"/>
        <w:textAlignment w:val="auto"/>
        <w:outlineLvl w:val="9"/>
        <w:rPr>
          <w:rFonts w:ascii="黑体" w:hAnsi="黑体" w:eastAsia="黑体" w:cs="黑体"/>
          <w:b w:val="0"/>
          <w:bCs/>
          <w:sz w:val="32"/>
          <w:szCs w:val="32"/>
        </w:rPr>
      </w:pPr>
      <w:r>
        <w:rPr>
          <w:rFonts w:hint="eastAsia" w:ascii="黑体" w:hAnsi="黑体" w:eastAsia="黑体" w:cs="黑体"/>
          <w:b w:val="0"/>
          <w:bCs/>
          <w:sz w:val="32"/>
          <w:szCs w:val="32"/>
        </w:rPr>
        <w:t>三、收到和处理政府信息公开申请情况</w:t>
      </w:r>
    </w:p>
    <w:tbl>
      <w:tblPr>
        <w:tblStyle w:val="5"/>
        <w:tblW w:w="9071" w:type="dxa"/>
        <w:jc w:val="center"/>
        <w:tblInd w:w="-274"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
      <w:tblGrid>
        <w:gridCol w:w="856"/>
        <w:gridCol w:w="1176"/>
        <w:gridCol w:w="1904"/>
        <w:gridCol w:w="774"/>
        <w:gridCol w:w="724"/>
        <w:gridCol w:w="724"/>
        <w:gridCol w:w="774"/>
        <w:gridCol w:w="909"/>
        <w:gridCol w:w="687"/>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vMerge w:val="restart"/>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（本列数据的勾稽关系为：第一项加第二项之和，等于第三项加第四项之和）</w:t>
            </w:r>
          </w:p>
        </w:tc>
        <w:tc>
          <w:tcPr>
            <w:tcW w:w="5135" w:type="dxa"/>
            <w:gridSpan w:val="7"/>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77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自然人</w:t>
            </w:r>
          </w:p>
        </w:tc>
        <w:tc>
          <w:tcPr>
            <w:tcW w:w="3818"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77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商业企业</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科研机构</w:t>
            </w:r>
          </w:p>
        </w:tc>
        <w:tc>
          <w:tcPr>
            <w:tcW w:w="774"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社会公益组织</w:t>
            </w:r>
          </w:p>
        </w:tc>
        <w:tc>
          <w:tcPr>
            <w:tcW w:w="909"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法律服务机构</w:t>
            </w:r>
          </w:p>
        </w:tc>
        <w:tc>
          <w:tcPr>
            <w:tcW w:w="687"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其他</w:t>
            </w:r>
          </w:p>
        </w:tc>
        <w:tc>
          <w:tcPr>
            <w:tcW w:w="543"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一、本年新收政府信息公开申请数量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hint="eastAsia" w:ascii="仿宋" w:hAnsi="仿宋" w:eastAsia="仿宋" w:cs="仿宋"/>
                <w:sz w:val="24"/>
                <w:lang w:eastAsia="zh-CN"/>
              </w:rPr>
            </w:pPr>
            <w:r>
              <w:rPr>
                <w:rFonts w:hint="eastAsia" w:ascii="仿宋" w:hAnsi="仿宋" w:eastAsia="仿宋" w:cs="仿宋"/>
                <w:kern w:val="0"/>
                <w:sz w:val="24"/>
                <w:lang w:val="en-US" w:eastAsia="zh-CN"/>
              </w:rPr>
              <w:t>5</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hint="eastAsia" w:ascii="仿宋" w:hAnsi="仿宋" w:eastAsia="仿宋" w:cs="仿宋"/>
                <w:sz w:val="24"/>
                <w:lang w:eastAsia="zh-CN"/>
              </w:rPr>
            </w:pPr>
            <w:r>
              <w:rPr>
                <w:rFonts w:hint="eastAsia" w:ascii="仿宋" w:hAnsi="仿宋" w:eastAsia="仿宋" w:cs="仿宋"/>
                <w:kern w:val="0"/>
                <w:sz w:val="24"/>
                <w:lang w:val="en-US" w:eastAsia="zh-CN"/>
              </w:rPr>
              <w:t>5</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二、上年结转政府信息公开申请数量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r>
              <w:rPr>
                <w:rFonts w:hint="eastAsia" w:ascii="仿宋" w:hAnsi="仿宋" w:eastAsia="仿宋" w:cs="仿宋"/>
                <w:kern w:val="0"/>
                <w:sz w:val="24"/>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三、本年度办理结果</w:t>
            </w: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（一）予以公开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（二）部分公开（区分处理的，只计这一情形，不计其他情形）</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1</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（三）不予公开</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（四）无法提供</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1.本机关不掌握相关政府信息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4</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4</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2.没有现成信息需要另行制作</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3.补正后申请内容仍不明确</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（五）不予处理</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1.信访举报投诉类申请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2.重复申请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3.要求提供公开出版物</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4.无正当理由大量反复申请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5.要求行政机关确认或重新出具已获取信息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（六）其他处理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r>
              <w:rPr>
                <w:rFonts w:hint="eastAsia" w:ascii="仿宋" w:hAnsi="仿宋" w:eastAsia="仿宋" w:cs="仿宋"/>
                <w:kern w:val="0"/>
                <w:sz w:val="24"/>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（七）总计</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5</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5</w:t>
            </w:r>
            <w:r>
              <w:rPr>
                <w:rFonts w:hint="eastAsia" w:ascii="仿宋" w:hAnsi="仿宋" w:eastAsia="仿宋" w:cs="仿宋"/>
                <w:kern w:val="0"/>
                <w:sz w:val="24"/>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left"/>
              <w:textAlignment w:val="auto"/>
              <w:outlineLvl w:val="9"/>
              <w:rPr>
                <w:rFonts w:ascii="仿宋" w:hAnsi="仿宋" w:eastAsia="仿宋" w:cs="仿宋"/>
                <w:sz w:val="24"/>
              </w:rPr>
            </w:pPr>
            <w:r>
              <w:rPr>
                <w:rFonts w:hint="eastAsia" w:ascii="仿宋" w:hAnsi="仿宋" w:eastAsia="仿宋" w:cs="仿宋"/>
                <w:kern w:val="0"/>
                <w:sz w:val="24"/>
              </w:rPr>
              <w:t>四、结转下年度继续办理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hint="eastAsia" w:ascii="仿宋" w:hAnsi="仿宋" w:eastAsia="仿宋" w:cs="仿宋"/>
                <w:sz w:val="24"/>
                <w:lang w:val="en-US" w:eastAsia="zh-CN"/>
              </w:rPr>
            </w:pPr>
            <w:r>
              <w:rPr>
                <w:rFonts w:hint="eastAsia" w:ascii="仿宋" w:hAnsi="仿宋" w:eastAsia="仿宋" w:cs="仿宋"/>
                <w:sz w:val="24"/>
                <w:lang w:val="en-US" w:eastAsia="zh-CN"/>
              </w:rPr>
              <w:t>0</w:t>
            </w:r>
          </w:p>
        </w:tc>
      </w:tr>
    </w:tbl>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643" w:firstLineChars="200"/>
        <w:jc w:val="both"/>
        <w:textAlignment w:val="auto"/>
        <w:outlineLvl w:val="9"/>
        <w:rPr>
          <w:rFonts w:hint="eastAsia" w:ascii="黑体" w:hAnsi="黑体" w:eastAsia="黑体" w:cs="黑体"/>
          <w:b/>
          <w:sz w:val="32"/>
          <w:szCs w:val="32"/>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643" w:firstLineChars="200"/>
        <w:jc w:val="both"/>
        <w:textAlignment w:val="auto"/>
        <w:outlineLvl w:val="9"/>
        <w:rPr>
          <w:rFonts w:hint="eastAsia" w:ascii="黑体" w:hAnsi="黑体" w:eastAsia="黑体" w:cs="黑体"/>
          <w:b/>
          <w:sz w:val="32"/>
          <w:szCs w:val="32"/>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643" w:firstLineChars="200"/>
        <w:jc w:val="both"/>
        <w:textAlignment w:val="auto"/>
        <w:outlineLvl w:val="9"/>
        <w:rPr>
          <w:rFonts w:hint="eastAsia" w:ascii="黑体" w:hAnsi="黑体" w:eastAsia="黑体" w:cs="黑体"/>
          <w:b/>
          <w:sz w:val="32"/>
          <w:szCs w:val="32"/>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643" w:firstLineChars="200"/>
        <w:jc w:val="both"/>
        <w:textAlignment w:val="auto"/>
        <w:outlineLvl w:val="9"/>
        <w:rPr>
          <w:rFonts w:hint="eastAsia" w:ascii="黑体" w:hAnsi="黑体" w:eastAsia="黑体" w:cs="黑体"/>
          <w:b/>
          <w:sz w:val="32"/>
          <w:szCs w:val="32"/>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643" w:firstLineChars="200"/>
        <w:jc w:val="both"/>
        <w:textAlignment w:val="auto"/>
        <w:outlineLvl w:val="9"/>
        <w:rPr>
          <w:rFonts w:hint="eastAsia" w:ascii="黑体" w:hAnsi="黑体" w:eastAsia="黑体" w:cs="黑体"/>
          <w:b/>
          <w:sz w:val="32"/>
          <w:szCs w:val="32"/>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643" w:firstLineChars="200"/>
        <w:jc w:val="both"/>
        <w:textAlignment w:val="auto"/>
        <w:outlineLvl w:val="9"/>
        <w:rPr>
          <w:rFonts w:hint="eastAsia" w:ascii="黑体" w:hAnsi="黑体" w:eastAsia="黑体" w:cs="黑体"/>
          <w:b/>
          <w:sz w:val="32"/>
          <w:szCs w:val="32"/>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643" w:firstLineChars="200"/>
        <w:jc w:val="both"/>
        <w:textAlignment w:val="auto"/>
        <w:outlineLvl w:val="9"/>
        <w:rPr>
          <w:rFonts w:hint="eastAsia" w:ascii="黑体" w:hAnsi="黑体" w:eastAsia="黑体" w:cs="黑体"/>
          <w:b/>
          <w:sz w:val="32"/>
          <w:szCs w:val="32"/>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640" w:firstLineChars="200"/>
        <w:jc w:val="both"/>
        <w:textAlignment w:val="auto"/>
        <w:outlineLvl w:val="9"/>
        <w:rPr>
          <w:rFonts w:ascii="仿宋" w:hAnsi="仿宋" w:eastAsia="仿宋" w:cs="仿宋"/>
          <w:b w:val="0"/>
          <w:bCs/>
          <w:sz w:val="32"/>
          <w:szCs w:val="32"/>
        </w:rPr>
      </w:pPr>
      <w:r>
        <w:rPr>
          <w:rFonts w:hint="eastAsia" w:ascii="黑体" w:hAnsi="黑体" w:eastAsia="黑体" w:cs="黑体"/>
          <w:b w:val="0"/>
          <w:bCs/>
          <w:sz w:val="32"/>
          <w:szCs w:val="32"/>
        </w:rPr>
        <w:t>四、政府信息公开行政复议、行政诉讼情况</w:t>
      </w:r>
    </w:p>
    <w:tbl>
      <w:tblPr>
        <w:tblStyle w:val="5"/>
        <w:tblW w:w="9071" w:type="dxa"/>
        <w:jc w:val="center"/>
        <w:tblInd w:w="-274"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行政复议</w:t>
            </w:r>
          </w:p>
        </w:tc>
        <w:tc>
          <w:tcPr>
            <w:tcW w:w="5997" w:type="dxa"/>
            <w:gridSpan w:val="10"/>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结果维持</w:t>
            </w:r>
          </w:p>
        </w:tc>
        <w:tc>
          <w:tcPr>
            <w:tcW w:w="60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结果纠正</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其他结果</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尚未审结</w:t>
            </w:r>
          </w:p>
        </w:tc>
        <w:tc>
          <w:tcPr>
            <w:tcW w:w="658"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总计</w:t>
            </w:r>
          </w:p>
        </w:tc>
        <w:tc>
          <w:tcPr>
            <w:tcW w:w="2970"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60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658"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ascii="仿宋" w:hAnsi="仿宋" w:eastAsia="仿宋" w:cs="仿宋"/>
                <w:sz w:val="24"/>
              </w:rPr>
            </w:pP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结果维持</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其他结果</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尚未审结</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总计</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结果维持</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其他结果</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尚未审结</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PrEx>
        <w:trPr>
          <w:jc w:val="center"/>
        </w:trPr>
        <w:tc>
          <w:tcPr>
            <w:tcW w:w="604"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58"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1</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1</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lang w:val="en-US" w:eastAsia="zh-CN"/>
              </w:rPr>
              <w:t>2</w:t>
            </w:r>
            <w:r>
              <w:rPr>
                <w:rFonts w:hint="eastAsia" w:ascii="仿宋" w:hAnsi="仿宋" w:eastAsia="仿宋" w:cs="仿宋"/>
                <w:kern w:val="0"/>
                <w:sz w:val="24"/>
              </w:rPr>
              <w:t> </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both"/>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center"/>
              <w:textAlignment w:val="auto"/>
              <w:outlineLvl w:val="9"/>
              <w:rPr>
                <w:rFonts w:ascii="仿宋" w:hAnsi="仿宋" w:eastAsia="仿宋" w:cs="仿宋"/>
                <w:sz w:val="24"/>
              </w:rPr>
            </w:pPr>
            <w:r>
              <w:rPr>
                <w:rFonts w:hint="eastAsia" w:ascii="仿宋" w:hAnsi="仿宋" w:eastAsia="仿宋" w:cs="仿宋"/>
                <w:kern w:val="0"/>
                <w:sz w:val="24"/>
              </w:rPr>
              <w:t> </w:t>
            </w:r>
            <w:r>
              <w:rPr>
                <w:rFonts w:hint="eastAsia" w:ascii="仿宋" w:hAnsi="仿宋" w:eastAsia="仿宋" w:cs="仿宋"/>
                <w:kern w:val="0"/>
                <w:sz w:val="24"/>
                <w:lang w:val="en-US" w:eastAsia="zh-CN"/>
              </w:rPr>
              <w:t>0</w:t>
            </w: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rPr>
                <w:rFonts w:hint="eastAsia" w:ascii="仿宋" w:hAnsi="仿宋" w:eastAsia="仿宋" w:cs="仿宋"/>
                <w:sz w:val="24"/>
                <w:lang w:val="en-US" w:eastAsia="zh-CN"/>
              </w:rPr>
            </w:pPr>
            <w:r>
              <w:rPr>
                <w:rFonts w:hint="eastAsia" w:ascii="仿宋" w:hAnsi="仿宋" w:eastAsia="仿宋" w:cs="仿宋"/>
                <w:sz w:val="24"/>
                <w:lang w:val="en-US" w:eastAsia="zh-CN"/>
              </w:rPr>
              <w:t>0</w:t>
            </w:r>
          </w:p>
        </w:tc>
      </w:tr>
    </w:tbl>
    <w:p>
      <w:pPr>
        <w:keepNext w:val="0"/>
        <w:keepLines w:val="0"/>
        <w:pageBreakBefore w:val="0"/>
        <w:widowControl/>
        <w:kinsoku/>
        <w:wordWrap/>
        <w:overflowPunct/>
        <w:topLinePunct w:val="0"/>
        <w:autoSpaceDE/>
        <w:autoSpaceDN/>
        <w:bidi w:val="0"/>
        <w:adjustRightInd/>
        <w:snapToGrid/>
        <w:spacing w:line="578" w:lineRule="exact"/>
        <w:ind w:left="0" w:leftChars="0" w:right="0" w:rightChars="0"/>
        <w:jc w:val="both"/>
        <w:textAlignment w:val="auto"/>
        <w:outlineLvl w:val="9"/>
        <w:rPr>
          <w:rFonts w:ascii="仿宋" w:hAnsi="仿宋" w:eastAsia="仿宋" w:cs="仿宋"/>
          <w:sz w:val="32"/>
          <w:szCs w:val="32"/>
        </w:rPr>
      </w:pP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20"/>
        <w:jc w:val="both"/>
        <w:textAlignment w:val="auto"/>
        <w:outlineLvl w:val="9"/>
        <w:rPr>
          <w:rFonts w:ascii="黑体" w:hAnsi="黑体" w:eastAsia="黑体" w:cs="黑体"/>
          <w:b w:val="0"/>
          <w:bCs/>
          <w:color w:val="000000"/>
          <w:sz w:val="32"/>
          <w:szCs w:val="32"/>
        </w:rPr>
      </w:pPr>
      <w:r>
        <w:rPr>
          <w:rFonts w:hint="eastAsia" w:ascii="黑体" w:hAnsi="黑体" w:eastAsia="黑体" w:cs="黑体"/>
          <w:b w:val="0"/>
          <w:bCs/>
          <w:color w:val="000000"/>
          <w:sz w:val="32"/>
          <w:szCs w:val="32"/>
        </w:rPr>
        <w:t>五、存在的主要问题及改进情况</w:t>
      </w: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2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信息公开相关制度、程序还不够完善；</w:t>
      </w: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2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eastAsia="仿宋_GB2312"/>
          <w:sz w:val="32"/>
          <w:szCs w:val="32"/>
          <w:shd w:val="clear" w:color="auto" w:fill="FFFFFF"/>
        </w:rPr>
        <w:t>信息公开的时效性有待进一步提高，公开的形式还不够丰富</w:t>
      </w:r>
      <w:r>
        <w:rPr>
          <w:rFonts w:hint="eastAsia" w:ascii="仿宋_GB2312" w:hAnsi="仿宋_GB2312" w:eastAsia="仿宋_GB2312" w:cs="仿宋_GB2312"/>
          <w:sz w:val="32"/>
          <w:szCs w:val="32"/>
        </w:rPr>
        <w:t>。</w:t>
      </w: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20"/>
        <w:jc w:val="both"/>
        <w:textAlignment w:val="auto"/>
        <w:outlineLvl w:val="9"/>
        <w:rPr>
          <w:rFonts w:ascii="黑体" w:hAnsi="黑体" w:eastAsia="黑体" w:cs="黑体"/>
          <w:b w:val="0"/>
          <w:bCs/>
          <w:color w:val="000000"/>
          <w:sz w:val="32"/>
          <w:szCs w:val="32"/>
        </w:rPr>
      </w:pPr>
      <w:r>
        <w:rPr>
          <w:rFonts w:hint="eastAsia" w:ascii="黑体" w:hAnsi="黑体" w:eastAsia="黑体" w:cs="黑体"/>
          <w:b w:val="0"/>
          <w:bCs/>
          <w:color w:val="000000"/>
          <w:sz w:val="32"/>
          <w:szCs w:val="32"/>
        </w:rPr>
        <w:t>六、其他需要报告的事项</w:t>
      </w:r>
    </w:p>
    <w:p>
      <w:pPr>
        <w:pStyle w:val="3"/>
        <w:keepNext w:val="0"/>
        <w:keepLines w:val="0"/>
        <w:pageBreakBefore w:val="0"/>
        <w:widowControl/>
        <w:kinsoku/>
        <w:wordWrap/>
        <w:overflowPunct/>
        <w:topLinePunct w:val="0"/>
        <w:autoSpaceDE/>
        <w:autoSpaceDN/>
        <w:bidi w:val="0"/>
        <w:adjustRightInd/>
        <w:snapToGrid/>
        <w:spacing w:beforeAutospacing="0" w:afterAutospacing="0" w:line="578" w:lineRule="exact"/>
        <w:ind w:left="0" w:leftChars="0" w:right="0" w:rightChars="0" w:firstLine="420"/>
        <w:jc w:val="both"/>
        <w:textAlignment w:val="auto"/>
        <w:outlineLvl w:val="9"/>
        <w:rPr>
          <w:rFonts w:hint="eastAsia" w:ascii="仿宋" w:hAnsi="仿宋" w:eastAsia="仿宋" w:cs="仿宋"/>
          <w:sz w:val="32"/>
          <w:szCs w:val="32"/>
          <w:lang w:eastAsia="zh-CN"/>
        </w:rPr>
      </w:pPr>
      <w:r>
        <w:rPr>
          <w:rFonts w:hint="eastAsia" w:ascii="仿宋" w:hAnsi="仿宋" w:eastAsia="仿宋" w:cs="仿宋"/>
          <w:color w:val="000000"/>
          <w:sz w:val="32"/>
          <w:szCs w:val="32"/>
          <w:lang w:eastAsia="zh-CN"/>
        </w:rPr>
        <w:t>无</w:t>
      </w:r>
    </w:p>
    <w:p>
      <w:pPr>
        <w:keepNext w:val="0"/>
        <w:keepLines w:val="0"/>
        <w:pageBreakBefore w:val="0"/>
        <w:kinsoku/>
        <w:wordWrap/>
        <w:overflowPunct/>
        <w:topLinePunct w:val="0"/>
        <w:autoSpaceDE/>
        <w:autoSpaceDN/>
        <w:bidi w:val="0"/>
        <w:adjustRightInd/>
        <w:snapToGrid/>
        <w:spacing w:line="578" w:lineRule="exact"/>
        <w:ind w:left="0" w:leftChars="0" w:right="0" w:rightChars="0"/>
        <w:textAlignment w:val="auto"/>
        <w:outlineLvl w:val="9"/>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Calibri Light">
    <w:altName w:val="Calibri"/>
    <w:panose1 w:val="020F0302020204030204"/>
    <w:charset w:val="00"/>
    <w:family w:val="swiss"/>
    <w:pitch w:val="default"/>
    <w:sig w:usb0="00000000" w:usb1="00000000" w:usb2="00000000" w:usb3="00000000" w:csb0="2000019F" w:csb1="00000000"/>
  </w:font>
  <w:font w:name="Arial">
    <w:panose1 w:val="020B0604020202020204"/>
    <w:charset w:val="00"/>
    <w:family w:val="auto"/>
    <w:pitch w:val="default"/>
    <w:sig w:usb0="E0002AFF" w:usb1="C0007843" w:usb2="00000009" w:usb3="00000000" w:csb0="4000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叶根友毛笔行书2.0版">
    <w:altName w:val="宋体"/>
    <w:panose1 w:val="02010601030101010101"/>
    <w:charset w:val="86"/>
    <w:family w:val="auto"/>
    <w:pitch w:val="default"/>
    <w:sig w:usb0="00000000" w:usb1="00000000" w:usb2="00000000" w:usb3="00000000" w:csb0="00040000" w:csb1="00000000"/>
  </w:font>
  <w:font w:name="Gabriola">
    <w:panose1 w:val="04040605051002020D02"/>
    <w:charset w:val="00"/>
    <w:family w:val="auto"/>
    <w:pitch w:val="default"/>
    <w:sig w:usb0="E00002EF" w:usb1="50002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
                          </w:pPr>
                          <w:r>
                            <w:rPr>
                              <w:rFonts w:hint="eastAsia"/>
                            </w:rPr>
                            <w:fldChar w:fldCharType="begin"/>
                          </w:r>
                          <w:r>
                            <w:rPr>
                              <w:rFonts w:hint="eastAsia"/>
                            </w:rPr>
                            <w:instrText xml:space="preserve"> PAGE  \* MERGEFORMAT </w:instrText>
                          </w:r>
                          <w:r>
                            <w:rPr>
                              <w:rFonts w:hint="eastAsia"/>
                            </w:rPr>
                            <w:fldChar w:fldCharType="separate"/>
                          </w:r>
                          <w:r>
                            <w:t>9</w:t>
                          </w:r>
                          <w:r>
                            <w:rPr>
                              <w:rFonts w:hint="eastAsi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uo6nIZAgAAIQQAAA4AAABkcnMvZTJvRG9jLnhtbK1Ty47TMBTdI/EP&#10;lvc0aRGjqmo6KjMqQqqYkQpi7TpOE8kv2W6T8gHwB6zYsOe7+h0cO0kHASvExr72fZ977vK2U5Kc&#10;hPON0QWdTnJKhOambPShoB/eb17MKfGB6ZJJo0VBz8LT29XzZ8vWLsTM1EaWwhEE0X7R2oLWIdhF&#10;lnleC8X8xFihoayMUyzg6Q5Z6ViL6Epmszy/yVrjSusMF97j975X0lWKX1WCh4eq8iIQWVDUFtLp&#10;0rmPZ7ZassXBMVs3fCiD/UMVijUaSa+h7llg5OiaP0KphjvjTRUm3KjMVFXDReoB3Uzz37rZ1cyK&#10;1AvA8fYKk/9/Yfm706MjTYnZUaKZwoguX79cvv24fP9MphGe1voFrHYWdqF7bbpoOvx7fMauu8qp&#10;eKMfAj2APl/BFV0gPDrNZ/N5DhWHbnwgTvbkbp0Pb4RRJAoFdZheApWdtj70pqNJzKbNppES/2wh&#10;NWkLevPyVZ4crhoElzoaiMSFIUxsqS89SqHbd0M/e1Oe0aYzPU+85ZsGpWyZD4/MgRgoH2QPDzgq&#10;aZDSDBIltXGf/vYf7TEvaClpQbSCamwCJfKtxhwjJ0fBjcJ+FPRR3RkwF7NBLUmEgwtyFCtn1Eds&#10;wDrmgIppjkwFDaN4F3qyY4O4WK+T0dG65lD3DmChZWGrd5bHNBEqb9fHAGgT4hGgHhVMKj7AwzSz&#10;YWci0X99J6unzV79B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LNJWO7QAAAABQEAAA8AAAAAAAAA&#10;AQAgAAAAIgAAAGRycy9kb3ducmV2LnhtbFBLAQIUABQAAAAIAIdO4kArqOpyGQIAACEEAAAOAAAA&#10;AAAAAAEAIAAAAB8BAABkcnMvZTJvRG9jLnhtbFBLBQYAAAAABgAGAFkBAACqBQAAAAA=&#10;">
              <v:fill on="f" focussize="0,0"/>
              <v:stroke on="f" weight="0.5pt"/>
              <v:imagedata o:title=""/>
              <o:lock v:ext="edit" aspectratio="f"/>
              <v:textbox inset="0mm,0mm,0mm,0mm" style="mso-fit-shape-to-text:t;">
                <w:txbxContent>
                  <w:p>
                    <w:pPr>
                      <w:pStyle w:val="2"/>
                    </w:pPr>
                    <w:r>
                      <w:rPr>
                        <w:rFonts w:hint="eastAsia"/>
                      </w:rPr>
                      <w:fldChar w:fldCharType="begin"/>
                    </w:r>
                    <w:r>
                      <w:rPr>
                        <w:rFonts w:hint="eastAsia"/>
                      </w:rPr>
                      <w:instrText xml:space="preserve"> PAGE  \* MERGEFORMAT </w:instrText>
                    </w:r>
                    <w:r>
                      <w:rPr>
                        <w:rFonts w:hint="eastAsia"/>
                      </w:rPr>
                      <w:fldChar w:fldCharType="separate"/>
                    </w:r>
                    <w:r>
                      <w:t>9</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FB9F53"/>
    <w:multiLevelType w:val="singleLevel"/>
    <w:tmpl w:val="5FFB9F53"/>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2333A03"/>
    <w:rsid w:val="12333A03"/>
    <w:rsid w:val="2614346F"/>
    <w:rsid w:val="2CC00FDF"/>
    <w:rsid w:val="3D3C6116"/>
    <w:rsid w:val="53755898"/>
    <w:rsid w:val="5A1806CE"/>
    <w:rsid w:val="666773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Normal (Web)"/>
    <w:basedOn w:val="1"/>
    <w:qFormat/>
    <w:uiPriority w:val="0"/>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2020-01-10T07:06:00Z</dcterms:created>
  <dc:creator>Administrator</dc:creator>
  <cp:lastModifiedBy>Administrator</cp:lastModifiedBy>
  <cp:lastPrinted>2021-01-11T01:06:00Z</cp:lastPrinted>
  <dcterms:modified xsi:type="dcterms:W3CDTF">2021-01-11T08:31:08Z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