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578" w:lineRule="exact"/>
        <w:jc w:val="center"/>
        <w:textAlignment w:val="auto"/>
        <w:rPr>
          <w:rFonts w:hint="eastAsia" w:ascii="宋体" w:hAnsi="宋体" w:eastAsia="宋体" w:cs="宋体"/>
          <w:b/>
          <w:bCs w:val="0"/>
          <w:i w:val="0"/>
          <w:caps w:val="0"/>
          <w:color w:val="000000"/>
          <w:spacing w:val="0"/>
          <w:kern w:val="0"/>
          <w:sz w:val="44"/>
          <w:szCs w:val="44"/>
          <w:lang w:val="en-US" w:eastAsia="zh-CN" w:bidi="ar"/>
        </w:rPr>
      </w:pPr>
      <w:r>
        <w:rPr>
          <w:rFonts w:hint="eastAsia" w:ascii="宋体" w:hAnsi="宋体" w:eastAsia="宋体" w:cs="宋体"/>
          <w:b/>
          <w:bCs w:val="0"/>
          <w:i w:val="0"/>
          <w:caps w:val="0"/>
          <w:color w:val="000000"/>
          <w:spacing w:val="0"/>
          <w:kern w:val="0"/>
          <w:sz w:val="44"/>
          <w:szCs w:val="44"/>
          <w:lang w:val="en-US" w:eastAsia="zh-CN" w:bidi="ar"/>
        </w:rPr>
        <w:t>白鹿泉乡人民政府</w:t>
      </w:r>
    </w:p>
    <w:p>
      <w:pPr>
        <w:keepNext w:val="0"/>
        <w:keepLines w:val="0"/>
        <w:pageBreakBefore w:val="0"/>
        <w:kinsoku/>
        <w:overflowPunct/>
        <w:topLinePunct w:val="0"/>
        <w:autoSpaceDE/>
        <w:autoSpaceDN/>
        <w:bidi w:val="0"/>
        <w:adjustRightInd/>
        <w:snapToGrid/>
        <w:spacing w:line="578" w:lineRule="exact"/>
        <w:jc w:val="center"/>
        <w:textAlignment w:val="auto"/>
        <w:rPr>
          <w:rFonts w:hint="eastAsia" w:ascii="宋体" w:hAnsi="宋体" w:eastAsia="宋体" w:cs="宋体"/>
          <w:b/>
          <w:bCs w:val="0"/>
          <w:i w:val="0"/>
          <w:caps w:val="0"/>
          <w:color w:val="000000"/>
          <w:spacing w:val="0"/>
          <w:kern w:val="0"/>
          <w:sz w:val="44"/>
          <w:szCs w:val="44"/>
          <w:lang w:val="en-US" w:eastAsia="zh-CN" w:bidi="ar"/>
        </w:rPr>
      </w:pPr>
      <w:r>
        <w:rPr>
          <w:rFonts w:hint="eastAsia" w:ascii="宋体" w:hAnsi="宋体" w:eastAsia="宋体" w:cs="宋体"/>
          <w:b/>
          <w:bCs w:val="0"/>
          <w:i w:val="0"/>
          <w:caps w:val="0"/>
          <w:color w:val="000000"/>
          <w:spacing w:val="0"/>
          <w:kern w:val="0"/>
          <w:sz w:val="44"/>
          <w:szCs w:val="44"/>
          <w:lang w:val="en-US" w:eastAsia="zh-CN" w:bidi="ar"/>
        </w:rPr>
        <w:t>2020年度政府信息公开工作年度报告</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宋体" w:eastAsia="仿宋_GB2312" w:cs="仿宋_GB2312"/>
          <w:color w:val="000000"/>
          <w:kern w:val="0"/>
          <w:sz w:val="32"/>
          <w:szCs w:val="32"/>
          <w:lang w:val="en-US" w:eastAsia="zh-CN" w:bidi="ar"/>
        </w:rPr>
      </w:pP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根据</w:t>
      </w:r>
      <w:r>
        <w:rPr>
          <w:rFonts w:hint="eastAsia" w:ascii="仿宋_GB2312" w:hAnsi="宋体" w:eastAsia="仿宋_GB2312" w:cs="仿宋_GB2312"/>
          <w:color w:val="000000"/>
          <w:kern w:val="0"/>
          <w:sz w:val="32"/>
          <w:szCs w:val="32"/>
          <w:lang w:val="en-US" w:eastAsia="zh-CN" w:bidi="ar"/>
        </w:rPr>
        <w:t>《中华人民共和国政府信息公开条例》的规定以及《石家庄市鹿泉区人民政府办公室关于做好政府信息公开工作年度报告有关事项的通知》要求，现公布白鹿泉乡2020年度政府信息公开工作年度报告。本报告包括总体情况、主动公开政府信息情况、收到和处理政府信息公开申请情况、政府信息公开行政复议、行政诉讼情况、存在的主要问题及改进情况、其他需要报告的事项六部分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一、总体情况</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2020年以来，白鹿泉乡认真贯彻落实《石家庄市鹿泉区人民政府办公室关于印发石家庄市鹿泉区2020年政务公开工作要点的通知》，把政务公开工作纳入重要议事日程，坚持围绕中心、服务大局，坚持改革创新、服务群众，坚持依法行政、高效有序，以“依法、便民、高效”为着力点，结合工作实际，不</w:t>
      </w:r>
      <w:r>
        <w:rPr>
          <w:rFonts w:hint="eastAsia" w:ascii="仿宋_GB2312" w:hAnsi="宋体" w:eastAsia="仿宋_GB2312" w:cs="仿宋_GB2312"/>
          <w:color w:val="000000"/>
          <w:kern w:val="0"/>
          <w:sz w:val="32"/>
          <w:szCs w:val="32"/>
          <w:lang w:val="en-US" w:eastAsia="zh-CN" w:bidi="ar"/>
        </w:rPr>
        <w:t>断规范政府信息公开内容，提升主动公开信息质量，以公开促落实、以公开促规范、以公开促发展，全年共公开发布政府信息78条。同时，扎实做好乡镇机构改革工作，14项工作任务清单均已按要求全部落实到位，</w:t>
      </w:r>
      <w:r>
        <w:rPr>
          <w:rFonts w:hint="eastAsia" w:ascii="仿宋_GB2312" w:hAnsi="仿宋_GB2312" w:eastAsia="仿宋_GB2312" w:cs="仿宋_GB2312"/>
          <w:sz w:val="32"/>
          <w:szCs w:val="32"/>
        </w:rPr>
        <w:t>权力清单、责任清单、事中事后监督管理制度、职责边界清单均已于2020年5月30日在石家庄市鹿泉区政府网站上进行了公开。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92" w:afterAutospacing="0" w:line="578" w:lineRule="exact"/>
        <w:ind w:right="0" w:firstLine="643" w:firstLineChars="200"/>
        <w:jc w:val="both"/>
        <w:textAlignment w:val="auto"/>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二、主动公开政府信息情况</w:t>
      </w:r>
    </w:p>
    <w:tbl>
      <w:tblPr>
        <w:tblStyle w:val="4"/>
        <w:tblW w:w="8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3"/>
        <w:gridCol w:w="1932"/>
        <w:gridCol w:w="1214"/>
        <w:gridCol w:w="18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本年新</w:t>
            </w:r>
            <w:r>
              <w:rPr>
                <w:rFonts w:hint="eastAsia" w:ascii="仿宋" w:hAnsi="仿宋" w:eastAsia="仿宋" w:cs="仿宋"/>
                <w:color w:val="auto"/>
                <w:kern w:val="0"/>
                <w:sz w:val="24"/>
                <w:szCs w:val="24"/>
                <w:shd w:val="clear" w:color="auto" w:fill="auto"/>
                <w:lang w:val="en-US" w:eastAsia="zh-CN" w:bidi="ar"/>
              </w:rPr>
              <w:br w:type="textWrapping"/>
            </w:r>
            <w:r>
              <w:rPr>
                <w:rFonts w:hint="eastAsia" w:ascii="仿宋" w:hAnsi="仿宋" w:eastAsia="仿宋" w:cs="仿宋"/>
                <w:color w:val="auto"/>
                <w:kern w:val="0"/>
                <w:sz w:val="24"/>
                <w:szCs w:val="24"/>
                <w:shd w:val="clear" w:color="auto" w:fill="auto"/>
                <w:lang w:val="en-US" w:eastAsia="zh-CN" w:bidi="ar"/>
              </w:rPr>
              <w:t>制作数量</w:t>
            </w:r>
          </w:p>
        </w:tc>
        <w:tc>
          <w:tcPr>
            <w:tcW w:w="121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本年新</w:t>
            </w:r>
            <w:r>
              <w:rPr>
                <w:rFonts w:hint="eastAsia" w:ascii="仿宋" w:hAnsi="仿宋" w:eastAsia="仿宋" w:cs="仿宋"/>
                <w:color w:val="auto"/>
                <w:kern w:val="0"/>
                <w:sz w:val="24"/>
                <w:szCs w:val="24"/>
                <w:shd w:val="clear" w:color="auto" w:fill="auto"/>
                <w:lang w:val="en-US" w:eastAsia="zh-CN" w:bidi="ar"/>
              </w:rPr>
              <w:br w:type="textWrapping"/>
            </w:r>
            <w:r>
              <w:rPr>
                <w:rFonts w:hint="eastAsia" w:ascii="仿宋" w:hAnsi="仿宋" w:eastAsia="仿宋" w:cs="仿宋"/>
                <w:color w:val="auto"/>
                <w:kern w:val="0"/>
                <w:sz w:val="24"/>
                <w:szCs w:val="24"/>
                <w:shd w:val="clear" w:color="auto" w:fill="auto"/>
                <w:lang w:val="en-US" w:eastAsia="zh-CN" w:bidi="ar"/>
              </w:rPr>
              <w:t>公开数量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规章</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规范性文件</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121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行政许可</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其他对外管理服务事项</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4"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121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0"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行政处罚</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9"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行政强制</w:t>
            </w:r>
          </w:p>
        </w:tc>
        <w:tc>
          <w:tcPr>
            <w:tcW w:w="1932" w:type="dxa"/>
            <w:tcBorders>
              <w:top w:val="single" w:color="auto" w:sz="8" w:space="0"/>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214"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1881"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4"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上一年项目数量</w:t>
            </w:r>
          </w:p>
        </w:tc>
        <w:tc>
          <w:tcPr>
            <w:tcW w:w="3095" w:type="dxa"/>
            <w:gridSpan w:val="2"/>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1" w:hRule="atLeast"/>
          <w:jc w:val="center"/>
        </w:trPr>
        <w:tc>
          <w:tcPr>
            <w:tcW w:w="3113"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行政事业性收费</w:t>
            </w:r>
          </w:p>
        </w:tc>
        <w:tc>
          <w:tcPr>
            <w:tcW w:w="1932" w:type="dxa"/>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c>
          <w:tcPr>
            <w:tcW w:w="3095" w:type="dxa"/>
            <w:gridSpan w:val="2"/>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6"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信息内容</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采购项目数量</w:t>
            </w:r>
          </w:p>
        </w:tc>
        <w:tc>
          <w:tcPr>
            <w:tcW w:w="3095" w:type="dxa"/>
            <w:gridSpan w:val="2"/>
            <w:tcBorders>
              <w:top w:val="single" w:color="auto" w:sz="8" w:space="0"/>
              <w:left w:val="nil"/>
              <w:bottom w:val="single" w:color="auto" w:sz="8" w:space="0"/>
              <w:right w:val="single" w:color="000000"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shd w:val="clear" w:color="auto" w:fill="auto"/>
              </w:rPr>
            </w:pPr>
            <w:r>
              <w:rPr>
                <w:rFonts w:hint="eastAsia" w:ascii="仿宋" w:hAnsi="仿宋" w:eastAsia="仿宋" w:cs="仿宋"/>
                <w:color w:val="auto"/>
                <w:kern w:val="0"/>
                <w:sz w:val="24"/>
                <w:szCs w:val="24"/>
                <w:shd w:val="clear" w:color="auto" w:fill="auto"/>
                <w:lang w:val="en-US" w:eastAsia="zh-CN" w:bidi="ar"/>
              </w:rPr>
              <w:t>政府集中采购</w:t>
            </w:r>
          </w:p>
        </w:tc>
        <w:tc>
          <w:tcPr>
            <w:tcW w:w="1932" w:type="dxa"/>
            <w:tcBorders>
              <w:top w:val="nil"/>
              <w:left w:val="nil"/>
              <w:bottom w:val="single" w:color="auto" w:sz="8" w:space="0"/>
              <w:right w:val="single" w:color="auto" w:sz="8" w:space="0"/>
            </w:tcBorders>
            <w:shd w:val="clear" w:color="auto" w:fill="auto"/>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shd w:val="clear" w:color="auto" w:fill="auto"/>
                <w:lang w:val="en-US" w:eastAsia="zh-CN"/>
              </w:rPr>
            </w:pPr>
          </w:p>
        </w:tc>
        <w:tc>
          <w:tcPr>
            <w:tcW w:w="3095" w:type="dxa"/>
            <w:gridSpan w:val="2"/>
            <w:tcBorders>
              <w:top w:val="nil"/>
              <w:left w:val="nil"/>
              <w:bottom w:val="single" w:color="auto" w:sz="8" w:space="0"/>
              <w:right w:val="single" w:color="000000" w:sz="8" w:space="0"/>
            </w:tcBorders>
            <w:shd w:val="clear" w:color="auto" w:fill="auto"/>
            <w:noWrap/>
            <w:tcMar>
              <w:top w:w="0" w:type="dxa"/>
              <w:left w:w="108" w:type="dxa"/>
              <w:bottom w:w="0" w:type="dxa"/>
              <w:right w:w="108" w:type="dxa"/>
            </w:tcMar>
            <w:vAlign w:val="center"/>
          </w:tcPr>
          <w:p>
            <w:pPr>
              <w:jc w:val="center"/>
              <w:rPr>
                <w:rFonts w:hint="eastAsia" w:ascii="仿宋" w:hAnsi="仿宋" w:eastAsia="仿宋" w:cs="仿宋"/>
                <w:color w:val="auto"/>
                <w:sz w:val="24"/>
                <w:szCs w:val="24"/>
                <w:shd w:val="clear" w:color="auto" w:fill="auto"/>
                <w:lang w:val="en-US" w:eastAsia="zh-CN"/>
              </w:rPr>
            </w:pPr>
            <w:r>
              <w:rPr>
                <w:rFonts w:hint="eastAsia" w:ascii="仿宋" w:hAnsi="仿宋" w:eastAsia="仿宋" w:cs="仿宋"/>
                <w:color w:val="auto"/>
                <w:sz w:val="24"/>
                <w:szCs w:val="24"/>
                <w:shd w:val="clear" w:color="auto" w:fill="auto"/>
                <w:lang w:val="en-US" w:eastAsia="zh-CN"/>
              </w:rPr>
              <w:t>53.94万元</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92" w:afterAutospacing="0"/>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三、收到和处理政府信息公开申请情况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自然人</w:t>
            </w:r>
          </w:p>
        </w:tc>
        <w:tc>
          <w:tcPr>
            <w:tcW w:w="3818"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商业企业</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科研机构</w:t>
            </w:r>
          </w:p>
        </w:tc>
        <w:tc>
          <w:tcPr>
            <w:tcW w:w="77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社会公益组织</w:t>
            </w:r>
          </w:p>
        </w:tc>
        <w:tc>
          <w:tcPr>
            <w:tcW w:w="90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法律服务机构</w:t>
            </w:r>
          </w:p>
        </w:tc>
        <w:tc>
          <w:tcPr>
            <w:tcW w:w="68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w:t>
            </w:r>
          </w:p>
        </w:tc>
        <w:tc>
          <w:tcPr>
            <w:tcW w:w="543"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一、本年新收政府信息公开申请数量</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二、上年结转政府信息公开申请数量</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三、本年度办理结果</w:t>
            </w: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（一）予以公开</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（三）不予公开</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1.属于国家秘密</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2.其他法律行政法规禁止公开</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3.危及“三安全一稳定”</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4.保护第三方合法权益</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5.属于三类内部事务信息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6.属于四类过程性信息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7.属于行政执法案卷</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8.属于行政查询事项</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（四）无法提供</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1.本机关不掌握相关政府信息</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2.没有现成信息需要另行制作</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3.补正后申请内容仍不明确</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（五）不予处理</w:t>
            </w: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1.信访举报投诉类申请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2.重复申请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3.要求提供公开出版物</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4.无正当理由大量反复申请</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5.要求行政机关确认或重新出具已获取信息</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（六）其他处理</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（七）总计</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四、结转下年度继续办理</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2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774"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909"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687"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c>
          <w:tcPr>
            <w:tcW w:w="543"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5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55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五、存在的主要问题及改进情况</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sz w:val="32"/>
          <w:szCs w:val="32"/>
          <w:lang w:val="en-US" w:eastAsia="zh-CN"/>
        </w:rPr>
      </w:pPr>
      <w:r>
        <w:rPr>
          <w:rFonts w:hint="eastAsia" w:ascii="仿宋_GB2312" w:hAnsi="宋体" w:eastAsia="仿宋_GB2312" w:cs="仿宋_GB2312"/>
          <w:color w:val="000000"/>
          <w:sz w:val="32"/>
          <w:szCs w:val="32"/>
          <w:lang w:val="en-US" w:eastAsia="zh-CN"/>
        </w:rPr>
        <w:t>2020年，虽然白鹿泉乡的政府信息公开工作更加认真和规范，但是与《条例》有关规定和省、市、区有关要求相比，与社会公众的需求相比，仍有差距。主要体现在：对信息公开工作的广度和深度有待进一步延伸和拓展；政府信息公开的主动性和创新力有待进一步提高等。</w:t>
      </w:r>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default" w:ascii="仿宋_GB2312" w:hAnsi="宋体" w:eastAsia="仿宋_GB2312"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2021年，我乡将紧紧围绕区委、区政府重点工作部署和工作重点，进一步增强公开意识，保证政务公开工作的经常化、制度化、规范化，确保政务公开工作高质量、高标准、严要求地进行，做到全面公开、及时公开。一是进一步提高认真，加大培训力度。加强对《中华人民共和国政府信息公开条例》的学习，进一步提升全乡广大干部职工对政府信息公开政策的认识，牢固树立政府信息公开的责任意识，增强政府信息公开的主动性；二是不断完善政务服务工作内容，增强公开的时效性、准确性和有效性。及时发布和更新依法应主动公开的政府信息，并以大众视角组织信息公开内容，让政府信息公开内容和形式都更加接地气，更体现政府部门的公信力；三是进一步加强保密审查工作，严格执行区委保密制度，强化责任落实，在通过各种发布渠道公布的同时，确保公开信息的安全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43" w:firstLineChars="200"/>
        <w:jc w:val="both"/>
        <w:textAlignment w:val="auto"/>
        <w:rPr>
          <w:rFonts w:hint="eastAsia" w:ascii="黑体" w:hAnsi="黑体" w:eastAsia="黑体" w:cs="黑体"/>
          <w:b/>
          <w:i w:val="0"/>
          <w:caps w:val="0"/>
          <w:color w:val="000000"/>
          <w:spacing w:val="0"/>
          <w:sz w:val="32"/>
          <w:szCs w:val="32"/>
        </w:rPr>
      </w:pPr>
      <w:r>
        <w:rPr>
          <w:rFonts w:hint="eastAsia" w:ascii="黑体" w:hAnsi="黑体" w:eastAsia="黑体" w:cs="黑体"/>
          <w:b/>
          <w:i w:val="0"/>
          <w:caps w:val="0"/>
          <w:color w:val="000000"/>
          <w:spacing w:val="0"/>
          <w:sz w:val="32"/>
          <w:szCs w:val="32"/>
        </w:rPr>
        <w:t>六、其他需要报告的事项</w:t>
      </w:r>
      <w:bookmarkStart w:id="0" w:name="_GoBack"/>
      <w:bookmarkEnd w:id="0"/>
    </w:p>
    <w:p>
      <w:pPr>
        <w:keepNext w:val="0"/>
        <w:keepLines w:val="0"/>
        <w:pageBreakBefore w:val="0"/>
        <w:widowControl/>
        <w:numPr>
          <w:ilvl w:val="0"/>
          <w:numId w:val="0"/>
        </w:numPr>
        <w:suppressLineNumbers w:val="0"/>
        <w:kinsoku/>
        <w:wordWrap w:val="0"/>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宋体" w:eastAsia="仿宋_GB2312" w:cs="仿宋_GB2312"/>
          <w:color w:val="000000"/>
          <w:sz w:val="32"/>
          <w:szCs w:val="32"/>
          <w:lang w:val="en-US" w:eastAsia="zh-CN"/>
        </w:rPr>
      </w:pPr>
      <w:r>
        <w:rPr>
          <w:rFonts w:hint="eastAsia" w:ascii="仿宋_GB2312" w:hAnsi="宋体" w:eastAsia="仿宋_GB2312" w:cs="仿宋_GB2312"/>
          <w:color w:val="000000"/>
          <w:sz w:val="32"/>
          <w:szCs w:val="32"/>
          <w:lang w:val="en-US" w:eastAsia="zh-CN"/>
        </w:rPr>
        <w:t>无其他需要报告的事项。</w:t>
      </w:r>
    </w:p>
    <w:p>
      <w:pPr>
        <w:keepNext w:val="0"/>
        <w:keepLines w:val="0"/>
        <w:pageBreakBefore w:val="0"/>
        <w:kinsoku/>
        <w:overflowPunct/>
        <w:topLinePunct w:val="0"/>
        <w:autoSpaceDE/>
        <w:autoSpaceDN/>
        <w:bidi w:val="0"/>
        <w:adjustRightInd/>
        <w:snapToGrid/>
        <w:spacing w:line="578" w:lineRule="exact"/>
        <w:textAlignment w:val="auto"/>
        <w:rPr>
          <w:rFonts w:hint="eastAsia"/>
          <w:lang w:val="en-US" w:eastAsia="zh-CN"/>
        </w:rPr>
      </w:pPr>
    </w:p>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626D7D"/>
    <w:rsid w:val="05EA5B7B"/>
    <w:rsid w:val="1FEC2560"/>
    <w:rsid w:val="22702A90"/>
    <w:rsid w:val="29626D7D"/>
    <w:rsid w:val="5F81244A"/>
    <w:rsid w:val="69200759"/>
    <w:rsid w:val="6FE951AE"/>
    <w:rsid w:val="78CE65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2021-01-11T08:07:00Z</dcterms:created>
  <dc:creator>Administrator</dc:creator>
  <cp:lastModifiedBy>Administrator</cp:lastModifiedBy>
  <dcterms:modified xsi:type="dcterms:W3CDTF">2021-01-11T09:00:53Z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