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032AC">
      <w:pPr>
        <w:adjustRightInd w:val="0"/>
        <w:snapToGrid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14:paraId="18722145">
      <w:pPr>
        <w:spacing w:line="560" w:lineRule="exact"/>
        <w:jc w:val="center"/>
        <w:rPr>
          <w:rFonts w:ascii="宋体" w:hAnsi="宋体" w:cs="宋体"/>
          <w:b/>
          <w:bCs/>
          <w:sz w:val="44"/>
          <w:szCs w:val="44"/>
        </w:rPr>
      </w:pPr>
    </w:p>
    <w:p w14:paraId="22F171F4">
      <w:pPr>
        <w:spacing w:line="560" w:lineRule="exact"/>
        <w:jc w:val="center"/>
        <w:rPr>
          <w:rFonts w:hint="eastAsia" w:ascii="宋体" w:hAnsi="宋体" w:cs="宋体"/>
          <w:b/>
          <w:bCs/>
          <w:sz w:val="44"/>
          <w:szCs w:val="44"/>
        </w:rPr>
      </w:pPr>
      <w:r>
        <w:rPr>
          <w:rFonts w:hint="eastAsia" w:ascii="宋体" w:hAnsi="宋体" w:cs="宋体"/>
          <w:b/>
          <w:bCs/>
          <w:sz w:val="44"/>
          <w:szCs w:val="44"/>
        </w:rPr>
        <w:t>中共石家庄市鹿泉区委办公室</w:t>
      </w:r>
    </w:p>
    <w:p w14:paraId="6A370654">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3</w:t>
      </w:r>
      <w:r>
        <w:rPr>
          <w:rFonts w:hint="eastAsia" w:ascii="宋体" w:hAnsi="宋体" w:cs="宋体"/>
          <w:b/>
          <w:bCs/>
          <w:sz w:val="44"/>
          <w:szCs w:val="44"/>
        </w:rPr>
        <w:t>年度整体支出绩效自评报告</w:t>
      </w:r>
    </w:p>
    <w:p w14:paraId="553AE4D3">
      <w:pPr>
        <w:spacing w:line="560" w:lineRule="exact"/>
        <w:jc w:val="center"/>
        <w:rPr>
          <w:rFonts w:ascii="华文楷体" w:eastAsia="华文楷体"/>
          <w:sz w:val="32"/>
          <w:szCs w:val="32"/>
        </w:rPr>
      </w:pPr>
    </w:p>
    <w:p w14:paraId="63764E11">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w:t>
      </w:r>
      <w:r>
        <w:rPr>
          <w:rFonts w:hint="eastAsia" w:ascii="仿宋_GB2312" w:hAnsi="仿宋_GB2312" w:eastAsia="仿宋_GB2312" w:cs="仿宋_GB2312"/>
          <w:sz w:val="32"/>
          <w:szCs w:val="32"/>
          <w:lang w:eastAsia="zh-CN"/>
        </w:rPr>
        <w:t>石家庄市鹿泉区人民政府《关于全面实施预算绩效管理的实施意见》（鹿发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8号</w:t>
      </w:r>
      <w:r>
        <w:rPr>
          <w:rFonts w:hint="eastAsia" w:ascii="仿宋_GB2312" w:hAnsi="仿宋_GB2312" w:eastAsia="仿宋_GB2312" w:cs="仿宋_GB2312"/>
          <w:sz w:val="32"/>
          <w:szCs w:val="32"/>
          <w:lang w:eastAsia="zh-CN"/>
        </w:rPr>
        <w:t>）</w:t>
      </w:r>
      <w:r>
        <w:rPr>
          <w:rFonts w:hint="eastAsia" w:ascii="仿宋" w:hAnsi="仿宋" w:eastAsia="仿宋"/>
          <w:sz w:val="32"/>
          <w:szCs w:val="32"/>
        </w:rPr>
        <w:t>文件精神，遵循“科学性、规范性、客观性和公正性”的原则，对中共石家庄市鹿泉区委办公室202</w:t>
      </w:r>
      <w:r>
        <w:rPr>
          <w:rFonts w:hint="eastAsia" w:ascii="仿宋" w:hAnsi="仿宋" w:eastAsia="仿宋"/>
          <w:sz w:val="32"/>
          <w:szCs w:val="32"/>
          <w:lang w:val="en-US" w:eastAsia="zh-CN"/>
        </w:rPr>
        <w:t>3</w:t>
      </w:r>
      <w:r>
        <w:rPr>
          <w:rFonts w:hint="eastAsia" w:ascii="仿宋" w:hAnsi="仿宋" w:eastAsia="仿宋"/>
          <w:sz w:val="32"/>
          <w:szCs w:val="32"/>
        </w:rPr>
        <w:t>年整体支出情况实施了财政支出绩效自评价，形成本评价报告。</w:t>
      </w:r>
    </w:p>
    <w:p w14:paraId="3730CBF5">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6DD70902">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26D7CD73">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1.负责推动党中央和省、市、区委决策部署的落实，按照区委要求协调有关方面开展工作，承担区委运行保障具体事务。</w:t>
      </w:r>
    </w:p>
    <w:p w14:paraId="3E5A0011">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2.负责区委和区委办公室文件、区委领导讲话的起草、修改等工作；负责对全区文秘干部职工的教育培训工作。</w:t>
      </w:r>
    </w:p>
    <w:p w14:paraId="1F2C6AB5">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3.围绕党中央和省、市、区委总体工作部署开展调查研究，手机和处理信息，反映动态；负责社情民意的搜集、整理和编报工作。</w:t>
      </w:r>
    </w:p>
    <w:p w14:paraId="62561E6C">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4.负责区委全会、区委常委会会议和区委其他重要会议的会务工作；负责区委领导参加重大活动和日常工作活动的组织安排；承担区委值班工作；负责编写区委大事记。</w:t>
      </w:r>
    </w:p>
    <w:p w14:paraId="752CFA0D">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5.承担区委履行全面从严治党主体责任相关工作的谋划、部署、督导、推动和落实；负责统筹协调和督促指导全区党务公开工作。</w:t>
      </w:r>
    </w:p>
    <w:p w14:paraId="41A046A2">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6.负责区委日常文书处理：负责区委文件和区委办公室代区委行文的审核工作；负责区委制定规范性文件的服务工作；负责为区委领导提供法律方面的工作。</w:t>
      </w:r>
    </w:p>
    <w:p w14:paraId="29F26C80">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7.围绕区委中心工作，组织力量对经济建设、政治建设、文化建设、社会建设、生态文明建设和党的建设等方面的重大问题进行调查研究，提出意见和建议，供区委决策参考；负责组织、协调、指导全区的调查研究工作。</w:t>
      </w:r>
    </w:p>
    <w:p w14:paraId="471E8C79">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8.负责协调提出全区中长期改革规划建议和年度工作要点，对拟出台的涉及重大改革事项的政策性文件进行审核；负责区委全面深化改革委员会决策部署的推动落实；负责全区改革工作的统筹、协调、督促、检查、推动、考核；承担区委全面深化改革委员会的日常工作。</w:t>
      </w:r>
    </w:p>
    <w:p w14:paraId="6B40E82F">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9.贯彻落实党中央和省、市、区委关于国家安全</w:t>
      </w:r>
      <w:bookmarkStart w:id="0" w:name="_GoBack"/>
      <w:bookmarkEnd w:id="0"/>
      <w:r>
        <w:rPr>
          <w:rFonts w:hint="eastAsia" w:ascii="仿宋" w:hAnsi="仿宋" w:eastAsia="仿宋"/>
          <w:sz w:val="32"/>
          <w:szCs w:val="32"/>
          <w:lang w:val="en-US" w:eastAsia="zh-CN"/>
        </w:rPr>
        <w:t>工作的各项决策部署，负责研究提出区委国家安全委员会重点工作安排，收集汇总、整理分析并上报涉及国家安全的情报信息，指导协调有关方面开展国家安全风险排查，组织全区国家安全工作督查检查、考考评核工作；承担区委国家安全委员会日常工作。</w:t>
      </w:r>
    </w:p>
    <w:p w14:paraId="2E28983B">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10.负责上级和全区党政军领导机关及要害部门核心机密的传递工作；拟定全区保密、密码工作发展规划并组织实施；对全区保密机要工作实施业务领导；负责全区机关事业单位及经济、科学等领域保密管理，通信和计算机网络的保密管理，全区核心密码、普通密码的装备、使用和管理工作；负责失泄密事件的查处工作。 </w:t>
      </w:r>
    </w:p>
    <w:p w14:paraId="103B910F">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11.负责全区机关事业单位和驻区有关单位的密码电报、内部明电和密传件的传输管理工作；负责全区电子政务内网、党委系统信息化等建设和管理工作；负责全区密码通信网络的管理工作；负责全区党政专用通信二级网的管理、维护工作；承担区委保密委员会和区密码工作领导小组的日常工作。</w:t>
      </w:r>
    </w:p>
    <w:p w14:paraId="2E76A7A5">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12.负责党中央和省、市区委重大决策、重要工作部署和市委、区委重要会议议定事项以及党委领导批示指示交办事项的督办落实及反馈工作；负责统筹协调全区督查检查考核工作；负责区委重点工作落实情况的跟踪督办考评工作。</w:t>
      </w:r>
    </w:p>
    <w:p w14:paraId="231862E4">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13.负责全区机关事业单位机关事务的管理工作；负责研究拟订机关事务管理制度，推动机关后勤服务的改革与发展；负责研究机关事务工作中带有普遍性的问题，对机关后勤工作进行业务指导；对全区机关事业单位办公用房、公务用车、公共机构节能降耗等进行管理、指导、协调、监督、负责全区政务接待业务指导工作。</w:t>
      </w:r>
    </w:p>
    <w:p w14:paraId="57FC879C">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14.负责全区档案事业宏观管理和监督指导等工作。</w:t>
      </w:r>
    </w:p>
    <w:p w14:paraId="0E63705E">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15.负责组织指导、督促检查全区地方志工作。</w:t>
      </w:r>
    </w:p>
    <w:p w14:paraId="31304A78">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16.完成区委交办的其他任务。</w:t>
      </w:r>
    </w:p>
    <w:p w14:paraId="077CBF59">
      <w:p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（二）部门收支预决算情况</w:t>
      </w:r>
    </w:p>
    <w:p w14:paraId="5585D7A0">
      <w:pPr>
        <w:widowControl w:val="0"/>
        <w:wordWrap/>
        <w:adjustRightInd/>
        <w:snapToGrid w:val="0"/>
        <w:spacing w:line="560" w:lineRule="exact"/>
        <w:ind w:left="0" w:leftChars="0" w:right="0" w:firstLine="640" w:firstLineChars="200"/>
        <w:textAlignment w:val="auto"/>
        <w:outlineLvl w:val="9"/>
        <w:rPr>
          <w:rFonts w:hint="eastAsia" w:ascii="仿宋" w:hAnsi="仿宋" w:eastAsia="仿宋" w:cs="仿宋"/>
          <w:b w:val="0"/>
          <w:bCs w:val="0"/>
          <w:sz w:val="32"/>
          <w:szCs w:val="32"/>
          <w:highlight w:val="none"/>
          <w:lang w:val="en-US" w:eastAsia="zh-CN"/>
        </w:rPr>
      </w:pPr>
      <w:r>
        <w:rPr>
          <w:rFonts w:hint="eastAsia" w:ascii="仿宋" w:hAnsi="仿宋" w:eastAsia="仿宋" w:cs="仿宋"/>
          <w:sz w:val="32"/>
          <w:szCs w:val="32"/>
          <w:lang w:val="en-US" w:eastAsia="zh-CN"/>
        </w:rPr>
        <w:t>1、收入说明</w:t>
      </w:r>
    </w:p>
    <w:p w14:paraId="520982E2">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2023年本</w:t>
      </w:r>
      <w:r>
        <w:rPr>
          <w:rFonts w:hint="eastAsia" w:ascii="仿宋" w:hAnsi="仿宋" w:eastAsia="仿宋" w:cs="仿宋"/>
          <w:b w:val="0"/>
          <w:bCs w:val="0"/>
          <w:sz w:val="32"/>
          <w:szCs w:val="32"/>
          <w:highlight w:val="none"/>
        </w:rPr>
        <w:t>部门年初预算</w:t>
      </w:r>
      <w:r>
        <w:rPr>
          <w:rFonts w:hint="eastAsia" w:ascii="仿宋" w:hAnsi="仿宋" w:eastAsia="仿宋" w:cs="仿宋"/>
          <w:b w:val="0"/>
          <w:bCs w:val="0"/>
          <w:sz w:val="32"/>
          <w:szCs w:val="32"/>
          <w:highlight w:val="none"/>
          <w:lang w:eastAsia="zh-CN"/>
        </w:rPr>
        <w:t>收入为</w:t>
      </w:r>
      <w:r>
        <w:rPr>
          <w:rFonts w:hint="eastAsia" w:ascii="仿宋" w:hAnsi="仿宋" w:eastAsia="仿宋" w:cs="仿宋"/>
          <w:b w:val="0"/>
          <w:bCs w:val="0"/>
          <w:sz w:val="32"/>
          <w:szCs w:val="32"/>
          <w:highlight w:val="none"/>
          <w:lang w:val="en-US" w:eastAsia="zh-CN"/>
        </w:rPr>
        <w:t>966.57万元</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CN"/>
        </w:rPr>
        <w:t>均为一般公共预算拨款。</w:t>
      </w:r>
    </w:p>
    <w:p w14:paraId="23132BEF">
      <w:pPr>
        <w:widowControl w:val="0"/>
        <w:wordWrap/>
        <w:adjustRightInd/>
        <w:snapToGrid w:val="0"/>
        <w:spacing w:line="560" w:lineRule="exact"/>
        <w:ind w:left="0" w:leftChars="0" w:right="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2、支出说明</w:t>
      </w:r>
    </w:p>
    <w:p w14:paraId="0FDD2EDD">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楷体" w:hAnsi="楷体" w:eastAsia="楷体" w:cs="楷体_GB2312"/>
          <w:bCs/>
          <w:sz w:val="32"/>
          <w:szCs w:val="32"/>
        </w:rPr>
      </w:pPr>
      <w:r>
        <w:rPr>
          <w:rFonts w:hint="eastAsia" w:ascii="仿宋" w:hAnsi="仿宋" w:eastAsia="仿宋" w:cs="仿宋"/>
          <w:b w:val="0"/>
          <w:bCs w:val="0"/>
          <w:sz w:val="32"/>
          <w:szCs w:val="32"/>
          <w:highlight w:val="none"/>
          <w:lang w:eastAsia="zh-CN"/>
        </w:rPr>
        <w:t>本年度预算支出为</w:t>
      </w:r>
      <w:r>
        <w:rPr>
          <w:rFonts w:hint="eastAsia" w:ascii="仿宋" w:hAnsi="仿宋" w:eastAsia="仿宋" w:cs="仿宋"/>
          <w:b w:val="0"/>
          <w:bCs w:val="0"/>
          <w:sz w:val="32"/>
          <w:szCs w:val="32"/>
          <w:highlight w:val="none"/>
          <w:lang w:val="en-US" w:eastAsia="zh-CN"/>
        </w:rPr>
        <w:t>966.57万元，基本支出757.79万元（包括人员经费617.87万元；日常公用经费139.92万元）；项目支出228.04万元。较上年相比，减少5.52万元。</w:t>
      </w:r>
    </w:p>
    <w:p w14:paraId="0D97A17D">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5431051D">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cs="仿宋"/>
          <w:sz w:val="32"/>
          <w:szCs w:val="32"/>
          <w:lang w:val="en-US" w:eastAsia="zh-CN"/>
        </w:rPr>
        <w:t>1、</w:t>
      </w:r>
      <w:r>
        <w:rPr>
          <w:rFonts w:hint="eastAsia" w:ascii="仿宋" w:hAnsi="仿宋" w:eastAsia="仿宋"/>
          <w:sz w:val="32"/>
          <w:szCs w:val="32"/>
        </w:rPr>
        <w:t>总体绩效目标</w:t>
      </w:r>
    </w:p>
    <w:p w14:paraId="15219BC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sz w:val="32"/>
          <w:szCs w:val="32"/>
        </w:rPr>
        <w:t>）当好参谋助手，加强以文辅政作用。把出主意、当参谋作为办公室的首要职责，切实当好区委的智囊团和思想库。一是高标准起草文稿。以表述准确、领导满意、受众认可为标准，认真起草工作报告、汇报材料、领导讲话、署名文章和各类会议纪要等文稿。二是高质量开展调研。根据区委阶段性工作目标和重点任务，围绕区委中心工作和事关全局问题深入基层调研，真正把情况摸准摸实，形成高质量的调研报告，为区委主要领导决策提供依据。三是高效率灵通信息。围绕区委领导关注的大事、要事进行信息反馈，认真做好《鹿泉快报》《要情快报》、《观点摘要》等，认真办理省、市社情民意办公室的交办件，力争办结率达到100%。四是高力度对外宣传。积极向省、市委信息中心上报互联网信息、长篇信息、短篇信息等各类信息；积极向省、市刊物投送调研文章、经验材料、署名文章；认真做好区委大事记整理和区委主要领导批示件登记、交转工作并对重要事项进行跟踪问效、及时反馈，保证区委决策得到贯彻落实。</w:t>
      </w:r>
    </w:p>
    <w:p w14:paraId="3D5E38C1">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搞好协调服务，充分发挥指挥中枢作用。充分发挥办公室统筹协调的职能，为区委总揽全局、协调各方当好有力助手。一是做好重点工作的协调。加强对项目建设、信访稳定、省委巡视工作等重点工作的协调服务，特别是认真履行改革办职责，加强与上级改革办、本级部门的协调，强力推进全区改革工作。二是做好重大会议的协调。本着精心组织、周密安排的原则，坚持会议通知、会场布置、交通安保、会议签到等各个环节提前介入，确保会议完满召开。三是做好重要活动的协调。认真做好上级领导调研和其他县（市）考察活动，确保国家、省、市到鹿泉的调研等活动圆满完成。</w:t>
      </w:r>
    </w:p>
    <w:p w14:paraId="3D115E0E">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3</w:t>
      </w:r>
      <w:r>
        <w:rPr>
          <w:rFonts w:hint="eastAsia" w:ascii="仿宋" w:hAnsi="仿宋" w:eastAsia="仿宋"/>
          <w:sz w:val="32"/>
          <w:szCs w:val="32"/>
        </w:rPr>
        <w:t>）狠抓督导指导，严格落实区委决策部署。坚持“钉钉子精神”，不断改进督查方式，有效推动全区重大决策部署和重点工作的落实。一是围绕区委重大决策部署进行督查。对区委各项重点工作责任分解、省市涉及我区重点工作等工作开展督查，及时发现问题并督促解决，确保区委重大决策部署落到实处。二是围绕区委重点工作进行督查。对“两个环境”建设情况、重点项目观摩拉练活动、生态绿化工程建设情况、四路一湖一河一广场工程、信访维稳、大气污染防治、农村环境卫生整治等领导关注、群众关心的重点工作，进行持续督查；对防火、防汛、护路、供暖等阶段性工作，进行了重点督查，有力地推动工作落实。三是围绕区委领导批示件和交办事项进行督查。针对领导批办事项，限定期限、迅速转办、定期催结，坚决把每一件领导批办事项作为上为领导分忧、下为群众解难的工作抓紧抓好。</w:t>
      </w:r>
    </w:p>
    <w:p w14:paraId="1C99707C">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4</w:t>
      </w:r>
      <w:r>
        <w:rPr>
          <w:rFonts w:hint="eastAsia" w:ascii="仿宋" w:hAnsi="仿宋" w:eastAsia="仿宋"/>
          <w:sz w:val="32"/>
          <w:szCs w:val="32"/>
        </w:rPr>
        <w:t>）坚持规范管理，确保机关运转畅通高效。积极推进规范化、标准化管理，确保办公室工作各个细节有章可循，各个环节紧密衔接。在公文流转方面，继续健全文件审签制度，确保不发生拖压、丢失和泄密事件；认真做好文件印刷和档案管理工作；加强党政信息网络管理应用，不发生网络泄密事件。在日常值班方面，坚持24小时领导干部带班和干部值班，认真做好值班文件的登记、传阅、存档工作；认真做好政府门前信访工作，做到及时快速处置；加强对各部门值班、带班情况的检查，指导各单位规范值班工作制度。在公车管理方面，严格执行节假日公车封存规定，对外出公车发放派车单，对维修车辆出具维修单，并每日登记车辆出入库时间，实现公车规范化管理。</w:t>
      </w:r>
    </w:p>
    <w:p w14:paraId="36C9BA5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5</w:t>
      </w:r>
      <w:r>
        <w:rPr>
          <w:rFonts w:hint="eastAsia" w:ascii="仿宋" w:hAnsi="仿宋" w:eastAsia="仿宋"/>
          <w:sz w:val="32"/>
          <w:szCs w:val="32"/>
        </w:rPr>
        <w:t>）加强自身建设，切实整顿机关工作作风。根据省、市、区委的统一部署，扎实开展机关作风整顿活动，办公室领导班子率先垂范，领导干部以身作则，用“以上率下、行胜于言”的榜样力量发挥示范作用。一是坚持每周四集中学习，认真学习党的十九大精神以及习近平总书记系列重要讲话精神，坚定广大党员干部党性修养和理想信念。二是以“忠诚、缜密、效率、担当”专题教育活动为载体，切实增强机关干部的忠诚意识、责任意识、效率意识、担当意识，达到“促运转、提效率、提素质”的目标要求。三是认真落实党风廉政建设有关规定，从小事入手、向细节发力，从严管理干部，以实际行动树立起为民务实清廉的良好形象。</w:t>
      </w:r>
    </w:p>
    <w:p w14:paraId="6A88B3BB">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cs="仿宋"/>
          <w:sz w:val="32"/>
          <w:szCs w:val="32"/>
          <w:lang w:val="en-US" w:eastAsia="zh-CN"/>
        </w:rPr>
        <w:t>2、</w:t>
      </w:r>
      <w:r>
        <w:rPr>
          <w:rFonts w:hint="eastAsia" w:ascii="仿宋" w:hAnsi="仿宋" w:eastAsia="仿宋"/>
          <w:sz w:val="32"/>
          <w:szCs w:val="32"/>
        </w:rPr>
        <w:t>分项绩效目标</w:t>
      </w:r>
    </w:p>
    <w:p w14:paraId="0A1A0FFB">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sz w:val="32"/>
          <w:szCs w:val="32"/>
        </w:rPr>
        <w:t>）全会经费</w:t>
      </w:r>
    </w:p>
    <w:p w14:paraId="346C6BFB">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绩效目标：将区委一年的工作报告给广大党员代表，并通过党员代表向全区党员传达当前和今后区委的主要工作，凝聚共识，齐心发展。</w:t>
      </w:r>
    </w:p>
    <w:p w14:paraId="6929E1E4">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绩效指标：2023年1月份完成每年一次的全区党代会，计划租一个场地，参会人数1000人，制作证件1000份，统计调查参会人员到场率95%以上。</w:t>
      </w:r>
    </w:p>
    <w:p w14:paraId="60205097">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）专项公用经费</w:t>
      </w:r>
    </w:p>
    <w:p w14:paraId="6CC7FCCC">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绩效目标：用于全区委全面深化改革委员会、区委国家安全委员日常办公教育培训等保障两个区委议事协调机构日常运转。</w:t>
      </w:r>
    </w:p>
    <w:p w14:paraId="51B834A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各局乡镇文件下发印刷15次，组织全区改革办培训5次，区委办值班业务培训3次，计划建设党政公开栏及信息建设，保障相关业务、工作能力更好的开展，能够长期较好的宣传中央党务条例的各项规定。</w:t>
      </w:r>
    </w:p>
    <w:p w14:paraId="4250081F">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3</w:t>
      </w:r>
      <w:r>
        <w:rPr>
          <w:rFonts w:hint="eastAsia" w:ascii="仿宋" w:hAnsi="仿宋" w:eastAsia="仿宋"/>
          <w:sz w:val="32"/>
          <w:szCs w:val="32"/>
        </w:rPr>
        <w:t>）视联网视频调度系统服务费</w:t>
      </w:r>
    </w:p>
    <w:p w14:paraId="098A84FB">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绩效目标：按照市委《关于贯彻落实&lt;河北省党委办公厅（室）系统信息化支撑平台及应用系统建设工作推荐方案&gt;的通知》精神，2019年10月1日前设备互联网互通后期每年服务费。</w:t>
      </w:r>
    </w:p>
    <w:p w14:paraId="74DF8DC0">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绩效指标：确保设备能正常有序的使用。</w:t>
      </w:r>
    </w:p>
    <w:p w14:paraId="5BCE49CD">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4</w:t>
      </w:r>
      <w:r>
        <w:rPr>
          <w:rFonts w:hint="eastAsia" w:ascii="仿宋" w:hAnsi="仿宋" w:eastAsia="仿宋"/>
          <w:sz w:val="32"/>
          <w:szCs w:val="32"/>
        </w:rPr>
        <w:t>）宣传推介费</w:t>
      </w:r>
    </w:p>
    <w:p w14:paraId="3E980AF0">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绩效目标：在中央、省、市级别相关报刊杂志上宣传推介鹿泉形象的相关费用，以期推广鹿泉优质形象，吸引更多的外商前来鹿泉学习考察，对鹿泉的建设招揽商机和资金有所帮助。</w:t>
      </w:r>
    </w:p>
    <w:p w14:paraId="2B304682">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绩效指标：组织宣传活动，计划制作鹿泉宣传册，反应我区知名度和美誉度，吸引更多客商来我区投资。</w:t>
      </w:r>
    </w:p>
    <w:p w14:paraId="5300E8F1">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5</w:t>
      </w:r>
      <w:r>
        <w:rPr>
          <w:rFonts w:hint="eastAsia" w:ascii="仿宋" w:hAnsi="仿宋" w:eastAsia="仿宋"/>
          <w:sz w:val="32"/>
          <w:szCs w:val="32"/>
        </w:rPr>
        <w:t>）报刊征订</w:t>
      </w:r>
    </w:p>
    <w:p w14:paraId="0698CE5D">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绩效目标：用于区委刊登文件、会议纪要代订期刊等费用。订阅一年12个月月报以党报党刊、行业为重点；巩固工费订阅市场。</w:t>
      </w:r>
    </w:p>
    <w:p w14:paraId="4F83AD20">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绩效指标：每月报刊订阅量不少于12份，每季度刊登报纸读物数量不少于3次，会议纪要刊登量每月10次，刊登完成率98%。</w:t>
      </w:r>
    </w:p>
    <w:p w14:paraId="2FC7AA7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6</w:t>
      </w:r>
      <w:r>
        <w:rPr>
          <w:rFonts w:hint="eastAsia" w:ascii="仿宋" w:hAnsi="仿宋" w:eastAsia="仿宋"/>
          <w:sz w:val="32"/>
          <w:szCs w:val="32"/>
        </w:rPr>
        <w:t>）会议接待费</w:t>
      </w:r>
    </w:p>
    <w:p w14:paraId="1253231A">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绩效目标：各项会议举办及中央省、市周边县区的考察接待工作，为加强重要会议活动的统筹安排协调，精心谋划组织好大型会议活动，特别是区委主要领导参加重要会议活动。</w:t>
      </w:r>
    </w:p>
    <w:p w14:paraId="4A817889">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绩效指标：加强重要会议活动的统筹安排协调，精心谋划组织好大型会议活动，特别是区委主要领导参加的重要会议活动。</w:t>
      </w:r>
    </w:p>
    <w:p w14:paraId="5E42F639">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7</w:t>
      </w:r>
      <w:r>
        <w:rPr>
          <w:rFonts w:hint="eastAsia" w:ascii="仿宋" w:hAnsi="仿宋" w:eastAsia="仿宋"/>
          <w:sz w:val="32"/>
          <w:szCs w:val="32"/>
        </w:rPr>
        <w:t>）公务内网网络设备维护及采购</w:t>
      </w:r>
    </w:p>
    <w:p w14:paraId="20F2C1F9">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各级机关的办公、信息报送、管理、协调、监督和决策等内部工作业务普遍依托内网平台开展，主要业务信息化覆盖率达到50%以上，跨地区跨部门重要政务信息系统按照需事先相互通，重要信息资源安全事先共享利用。</w:t>
      </w:r>
    </w:p>
    <w:p w14:paraId="64690602">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绩效指标：重要信息共享率70%建设公务内网平台覆盖率50%，购买正版软件10个，购买交换机3台，购买投影仪1台及党政内网网络维护线1根。100%保障网络信息运行情况。调查公务内网信息满意率95%。</w:t>
      </w:r>
    </w:p>
    <w:p w14:paraId="4592DECE">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8</w:t>
      </w:r>
      <w:r>
        <w:rPr>
          <w:rFonts w:hint="eastAsia" w:ascii="仿宋" w:hAnsi="仿宋" w:eastAsia="仿宋"/>
          <w:sz w:val="32"/>
          <w:szCs w:val="32"/>
        </w:rPr>
        <w:t>）因公出国</w:t>
      </w:r>
    </w:p>
    <w:p w14:paraId="17B14F09">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该项目用于澳大利亚、新西兰、两个国家，办理出国（境）审批手续及走访2个知名企业，学习国外先进的创新经验，引进高端专家人才，促进共同发展。以达到推介鹿泉经济开发区，引进国家知名企业的效果。</w:t>
      </w:r>
    </w:p>
    <w:p w14:paraId="31D11E27">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绩效指标：严格审批干部出国（境）手续标准，走访2家知名企业学习国外先进的创新经验，引进高端专家人才，促进共同发展</w:t>
      </w:r>
      <w:r>
        <w:rPr>
          <w:rFonts w:hint="eastAsia" w:ascii="仿宋" w:hAnsi="仿宋" w:eastAsia="仿宋"/>
          <w:sz w:val="32"/>
          <w:szCs w:val="32"/>
          <w:lang w:val="en-US" w:eastAsia="zh-CN"/>
        </w:rPr>
        <w:t>,</w:t>
      </w:r>
      <w:r>
        <w:rPr>
          <w:rFonts w:hint="eastAsia" w:ascii="仿宋" w:hAnsi="仿宋" w:eastAsia="仿宋"/>
          <w:sz w:val="32"/>
          <w:szCs w:val="32"/>
        </w:rPr>
        <w:t>以达到推介鹿泉经济开发区，引进国家知名企业的效果。</w:t>
      </w:r>
    </w:p>
    <w:p w14:paraId="7F90F443">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cs="仿宋"/>
          <w:sz w:val="32"/>
          <w:szCs w:val="32"/>
          <w:lang w:val="en-US" w:eastAsia="zh-CN"/>
        </w:rPr>
        <w:t>3、</w:t>
      </w:r>
      <w:r>
        <w:rPr>
          <w:rFonts w:hint="eastAsia" w:ascii="仿宋" w:hAnsi="仿宋" w:eastAsia="仿宋"/>
          <w:sz w:val="32"/>
          <w:szCs w:val="32"/>
        </w:rPr>
        <w:t>工作保障措施</w:t>
      </w:r>
    </w:p>
    <w:p w14:paraId="15656A72">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sz w:val="32"/>
          <w:szCs w:val="32"/>
        </w:rPr>
        <w:t>）完善制度建设</w:t>
      </w:r>
    </w:p>
    <w:p w14:paraId="768FAA47">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我办坚持把制度建设作为抓管理促规范的基础性工作，建立健全了业务管理和后勤管理制度。业务管理制度主要包括工作制度、会议制度、公文办理制度等；后勤官渡制度主要包括：财务制度、档案管理制度、车辆管理制度等。强化工作人员值班、文电处理等管理流程，建立了一套科学的管理方式和工作手段，进行规范化运作，切实做到用制度管人，按制度办事，人人责任分明，处处有章可循，缩短办事流程，简化中间环节，加快工作节奏，确保办公室日常运转高效有序。为全年预算绩效目标的实现奠定制度基础。</w:t>
      </w:r>
    </w:p>
    <w:p w14:paraId="2D87299B">
      <w:pPr>
        <w:numPr>
          <w:ilvl w:val="0"/>
          <w:numId w:val="1"/>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加强支出管理</w:t>
      </w:r>
    </w:p>
    <w:p w14:paraId="161EE889">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办公室工作注重效率、效果和效能，必须要严格要求、快节奏、高效率、高质量、因此通过优化支出结构、编细编实预算、尽快启动项目、及时支付资金、6月底前细化代编预算、按预算指标计划支出资金，确保支出进度达标。</w:t>
      </w:r>
    </w:p>
    <w:p w14:paraId="3B8400CF">
      <w:pPr>
        <w:numPr>
          <w:ilvl w:val="0"/>
          <w:numId w:val="1"/>
        </w:numPr>
        <w:adjustRightInd w:val="0"/>
        <w:snapToGrid w:val="0"/>
        <w:spacing w:line="560" w:lineRule="exact"/>
        <w:ind w:left="0" w:leftChars="0" w:firstLine="640" w:firstLineChars="200"/>
        <w:rPr>
          <w:rFonts w:hint="eastAsia" w:ascii="仿宋" w:hAnsi="仿宋" w:eastAsia="仿宋"/>
          <w:sz w:val="32"/>
          <w:szCs w:val="32"/>
        </w:rPr>
      </w:pPr>
      <w:r>
        <w:rPr>
          <w:rFonts w:hint="eastAsia" w:ascii="仿宋" w:hAnsi="仿宋" w:eastAsia="仿宋"/>
          <w:sz w:val="32"/>
          <w:szCs w:val="32"/>
        </w:rPr>
        <w:t>加强绩效运行监控</w:t>
      </w:r>
    </w:p>
    <w:p w14:paraId="47437639">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按要求开展绩效运行监控，发现问题及时采取措施，确保绩效目标如期保质实现。</w:t>
      </w:r>
    </w:p>
    <w:p w14:paraId="35D69EA7">
      <w:pPr>
        <w:numPr>
          <w:ilvl w:val="0"/>
          <w:numId w:val="1"/>
        </w:numPr>
        <w:adjustRightInd w:val="0"/>
        <w:snapToGrid w:val="0"/>
        <w:spacing w:line="560" w:lineRule="exact"/>
        <w:ind w:left="0" w:leftChars="0" w:firstLine="640" w:firstLineChars="200"/>
        <w:rPr>
          <w:rFonts w:hint="eastAsia" w:ascii="仿宋" w:hAnsi="仿宋" w:eastAsia="仿宋"/>
          <w:sz w:val="32"/>
          <w:szCs w:val="32"/>
        </w:rPr>
      </w:pPr>
      <w:r>
        <w:rPr>
          <w:rFonts w:hint="eastAsia" w:ascii="仿宋" w:hAnsi="仿宋" w:eastAsia="仿宋"/>
          <w:sz w:val="32"/>
          <w:szCs w:val="32"/>
        </w:rPr>
        <w:t>做好绩效自评</w:t>
      </w:r>
    </w:p>
    <w:p w14:paraId="14DF0BC6">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按要求开展上年度部门预算绩效自评和重点评价工作，对评价中发现的问题及时整改，调整优化支出结构，提高财政资金使用效益。</w:t>
      </w:r>
    </w:p>
    <w:p w14:paraId="794D7242">
      <w:pPr>
        <w:numPr>
          <w:ilvl w:val="0"/>
          <w:numId w:val="1"/>
        </w:numPr>
        <w:adjustRightInd w:val="0"/>
        <w:snapToGrid w:val="0"/>
        <w:spacing w:line="560" w:lineRule="exact"/>
        <w:ind w:left="0" w:leftChars="0" w:firstLine="640" w:firstLineChars="200"/>
        <w:rPr>
          <w:rFonts w:hint="eastAsia" w:ascii="仿宋" w:hAnsi="仿宋" w:eastAsia="仿宋"/>
          <w:sz w:val="32"/>
          <w:szCs w:val="32"/>
        </w:rPr>
      </w:pPr>
      <w:r>
        <w:rPr>
          <w:rFonts w:hint="eastAsia" w:ascii="仿宋" w:hAnsi="仿宋" w:eastAsia="仿宋"/>
          <w:sz w:val="32"/>
          <w:szCs w:val="32"/>
        </w:rPr>
        <w:t>规范财务资产管理</w:t>
      </w:r>
    </w:p>
    <w:p w14:paraId="11FB28FE">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完善财务管理制度，严格审批程序，加强固定资产登记、使用和报废处置管理，做到支出合理，物尽其用。</w:t>
      </w:r>
    </w:p>
    <w:p w14:paraId="411944DC">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42AF7A60">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421AC2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640" w:firstLineChars="200"/>
        <w:rPr>
          <w:rFonts w:ascii="仿宋" w:hAnsi="仿宋" w:eastAsia="仿宋"/>
          <w:sz w:val="32"/>
          <w:szCs w:val="32"/>
        </w:rPr>
      </w:pPr>
      <w:r>
        <w:rPr>
          <w:rFonts w:hint="eastAsia" w:ascii="仿宋" w:hAnsi="仿宋" w:eastAsia="仿宋" w:cs="黑体"/>
          <w:kern w:val="2"/>
          <w:sz w:val="32"/>
          <w:szCs w:val="32"/>
          <w:lang w:val="en-US" w:eastAsia="zh-CN" w:bidi="ar-SA"/>
        </w:rPr>
        <w:t>我单位组织绩效评价工作组成员及相关人员进行了培训，熟悉相关政策规定，领会绩效评价的文件精神，重新修订了该项目的绩效评价指标体系。</w:t>
      </w:r>
      <w:r>
        <w:rPr>
          <w:rFonts w:hint="eastAsia" w:ascii="仿宋" w:hAnsi="仿宋" w:eastAsia="仿宋" w:cs="仿宋"/>
          <w:b w:val="0"/>
          <w:i w:val="0"/>
          <w:caps w:val="0"/>
          <w:color w:val="000000"/>
          <w:spacing w:val="0"/>
          <w:sz w:val="31"/>
          <w:szCs w:val="31"/>
          <w:shd w:val="clear" w:fill="FFFFFF"/>
        </w:rPr>
        <w:t>为确保绩效评价工作落到实处，</w:t>
      </w:r>
      <w:r>
        <w:rPr>
          <w:rFonts w:hint="eastAsia" w:ascii="仿宋" w:hAnsi="仿宋" w:eastAsia="仿宋" w:cs="仿宋"/>
          <w:b w:val="0"/>
          <w:i w:val="0"/>
          <w:caps w:val="0"/>
          <w:color w:val="000000"/>
          <w:spacing w:val="0"/>
          <w:sz w:val="31"/>
          <w:szCs w:val="31"/>
          <w:shd w:val="clear" w:fill="FFFFFF"/>
          <w:lang w:val="en-US" w:eastAsia="zh-CN"/>
        </w:rPr>
        <w:t>工作组根据绩效评价指标收集了该项目的相关文件资料</w:t>
      </w:r>
      <w:r>
        <w:rPr>
          <w:rFonts w:hint="eastAsia" w:ascii="仿宋" w:hAnsi="仿宋" w:eastAsia="仿宋" w:cs="仿宋"/>
          <w:b w:val="0"/>
          <w:i w:val="0"/>
          <w:caps w:val="0"/>
          <w:color w:val="000000"/>
          <w:spacing w:val="0"/>
          <w:sz w:val="31"/>
          <w:szCs w:val="31"/>
          <w:shd w:val="clear" w:fill="FFFFFF"/>
        </w:rPr>
        <w:t>，</w:t>
      </w:r>
      <w:r>
        <w:rPr>
          <w:rFonts w:hint="eastAsia" w:ascii="仿宋" w:hAnsi="仿宋" w:eastAsia="仿宋" w:cs="仿宋"/>
          <w:b w:val="0"/>
          <w:i w:val="0"/>
          <w:caps w:val="0"/>
          <w:color w:val="000000"/>
          <w:spacing w:val="0"/>
          <w:sz w:val="31"/>
          <w:szCs w:val="31"/>
          <w:shd w:val="clear" w:fill="FFFFFF"/>
          <w:lang w:val="en-US" w:eastAsia="zh-CN"/>
        </w:rPr>
        <w:t>并对各项</w:t>
      </w:r>
      <w:r>
        <w:rPr>
          <w:rFonts w:hint="eastAsia" w:ascii="仿宋" w:hAnsi="仿宋" w:eastAsia="仿宋" w:cs="仿宋"/>
          <w:b w:val="0"/>
          <w:i w:val="0"/>
          <w:caps w:val="0"/>
          <w:color w:val="000000"/>
          <w:spacing w:val="0"/>
          <w:sz w:val="31"/>
          <w:szCs w:val="31"/>
          <w:shd w:val="clear" w:fill="FFFFFF"/>
        </w:rPr>
        <w:t>数据</w:t>
      </w:r>
      <w:r>
        <w:rPr>
          <w:rFonts w:hint="eastAsia" w:ascii="仿宋" w:hAnsi="仿宋" w:eastAsia="仿宋" w:cs="仿宋"/>
          <w:b w:val="0"/>
          <w:i w:val="0"/>
          <w:caps w:val="0"/>
          <w:color w:val="000000"/>
          <w:spacing w:val="0"/>
          <w:sz w:val="31"/>
          <w:szCs w:val="31"/>
          <w:shd w:val="clear" w:fill="FFFFFF"/>
          <w:lang w:val="en-US" w:eastAsia="zh-CN"/>
        </w:rPr>
        <w:t>进行分析</w:t>
      </w:r>
      <w:r>
        <w:rPr>
          <w:rFonts w:hint="eastAsia" w:ascii="仿宋" w:hAnsi="仿宋" w:eastAsia="仿宋" w:cs="仿宋"/>
          <w:b w:val="0"/>
          <w:i w:val="0"/>
          <w:caps w:val="0"/>
          <w:color w:val="000000"/>
          <w:spacing w:val="0"/>
          <w:sz w:val="31"/>
          <w:szCs w:val="31"/>
          <w:shd w:val="clear" w:fill="FFFFFF"/>
        </w:rPr>
        <w:t>，</w:t>
      </w:r>
      <w:r>
        <w:rPr>
          <w:rFonts w:hint="eastAsia" w:ascii="仿宋" w:hAnsi="仿宋" w:eastAsia="仿宋" w:cs="仿宋"/>
          <w:b w:val="0"/>
          <w:i w:val="0"/>
          <w:caps w:val="0"/>
          <w:color w:val="000000"/>
          <w:spacing w:val="0"/>
          <w:sz w:val="31"/>
          <w:szCs w:val="31"/>
          <w:shd w:val="clear" w:fill="FFFFFF"/>
          <w:lang w:val="en-US" w:eastAsia="zh-CN"/>
        </w:rPr>
        <w:t>根据分析结果对</w:t>
      </w:r>
      <w:r>
        <w:rPr>
          <w:rFonts w:hint="eastAsia" w:ascii="仿宋" w:hAnsi="仿宋" w:eastAsia="仿宋" w:cs="仿宋"/>
          <w:b w:val="0"/>
          <w:i w:val="0"/>
          <w:caps w:val="0"/>
          <w:color w:val="000000"/>
          <w:spacing w:val="0"/>
          <w:sz w:val="31"/>
          <w:szCs w:val="31"/>
          <w:shd w:val="clear" w:fill="FFFFFF"/>
        </w:rPr>
        <w:t>项目绩效</w:t>
      </w:r>
      <w:r>
        <w:rPr>
          <w:rFonts w:hint="eastAsia" w:ascii="仿宋" w:hAnsi="仿宋" w:eastAsia="仿宋" w:cs="仿宋"/>
          <w:b w:val="0"/>
          <w:i w:val="0"/>
          <w:caps w:val="0"/>
          <w:color w:val="000000"/>
          <w:spacing w:val="0"/>
          <w:sz w:val="31"/>
          <w:szCs w:val="31"/>
          <w:shd w:val="clear" w:fill="FFFFFF"/>
          <w:lang w:val="en-US" w:eastAsia="zh-CN"/>
        </w:rPr>
        <w:t>情况进行了</w:t>
      </w:r>
      <w:r>
        <w:rPr>
          <w:rFonts w:hint="eastAsia" w:ascii="仿宋" w:hAnsi="仿宋" w:eastAsia="仿宋" w:cs="仿宋"/>
          <w:b w:val="0"/>
          <w:i w:val="0"/>
          <w:caps w:val="0"/>
          <w:color w:val="000000"/>
          <w:spacing w:val="0"/>
          <w:sz w:val="31"/>
          <w:szCs w:val="31"/>
          <w:shd w:val="clear" w:fill="FFFFFF"/>
        </w:rPr>
        <w:t>评分</w:t>
      </w:r>
      <w:r>
        <w:rPr>
          <w:rFonts w:hint="eastAsia" w:ascii="仿宋" w:hAnsi="仿宋" w:eastAsia="仿宋" w:cs="仿宋"/>
          <w:b w:val="0"/>
          <w:i w:val="0"/>
          <w:caps w:val="0"/>
          <w:color w:val="000000"/>
          <w:spacing w:val="0"/>
          <w:sz w:val="31"/>
          <w:szCs w:val="31"/>
          <w:shd w:val="clear" w:fill="FFFFFF"/>
          <w:lang w:eastAsia="zh-CN"/>
        </w:rPr>
        <w:t>，</w:t>
      </w:r>
      <w:r>
        <w:rPr>
          <w:rFonts w:hint="eastAsia" w:ascii="仿宋" w:hAnsi="仿宋" w:eastAsia="仿宋" w:cs="仿宋"/>
          <w:b w:val="0"/>
          <w:i w:val="0"/>
          <w:caps w:val="0"/>
          <w:color w:val="000000"/>
          <w:spacing w:val="0"/>
          <w:sz w:val="31"/>
          <w:szCs w:val="31"/>
          <w:shd w:val="clear" w:fill="FFFFFF"/>
          <w:lang w:val="en-US" w:eastAsia="zh-CN"/>
        </w:rPr>
        <w:t>评分完成后又进行了检查和核实工作。</w:t>
      </w:r>
      <w:r>
        <w:rPr>
          <w:rFonts w:hint="eastAsia" w:ascii="仿宋" w:hAnsi="仿宋" w:eastAsia="仿宋"/>
          <w:sz w:val="32"/>
          <w:szCs w:val="32"/>
        </w:rPr>
        <w:t>。</w:t>
      </w:r>
    </w:p>
    <w:p w14:paraId="4B4C95AB">
      <w:pPr>
        <w:numPr>
          <w:ilvl w:val="0"/>
          <w:numId w:val="2"/>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352E7B3E">
      <w:pPr>
        <w:ind w:firstLine="640" w:firstLineChars="200"/>
        <w:rPr>
          <w:rFonts w:hint="eastAsia" w:ascii="仿宋_GB2312" w:eastAsia="仿宋_GB2312"/>
          <w:sz w:val="32"/>
          <w:szCs w:val="32"/>
        </w:rPr>
      </w:pPr>
      <w:r>
        <w:rPr>
          <w:rFonts w:hint="eastAsia" w:ascii="仿宋_GB2312" w:eastAsia="仿宋_GB2312"/>
          <w:sz w:val="32"/>
          <w:szCs w:val="32"/>
        </w:rPr>
        <w:t>本次评价工作坚持“客观、公正、科学、规范”的原则，采用</w:t>
      </w:r>
      <w:r>
        <w:rPr>
          <w:rFonts w:hint="eastAsia" w:ascii="仿宋_GB2312" w:eastAsia="仿宋_GB2312"/>
          <w:sz w:val="32"/>
          <w:szCs w:val="32"/>
          <w:lang w:val="en-US" w:eastAsia="zh-CN"/>
        </w:rPr>
        <w:t>业务处室</w:t>
      </w:r>
      <w:r>
        <w:rPr>
          <w:rFonts w:hint="eastAsia" w:ascii="仿宋_GB2312" w:eastAsia="仿宋_GB2312"/>
          <w:sz w:val="32"/>
          <w:szCs w:val="32"/>
        </w:rPr>
        <w:t>自评与</w:t>
      </w:r>
      <w:r>
        <w:rPr>
          <w:rFonts w:hint="eastAsia" w:ascii="仿宋_GB2312" w:eastAsia="仿宋_GB2312"/>
          <w:sz w:val="32"/>
          <w:szCs w:val="32"/>
          <w:lang w:val="en-US" w:eastAsia="zh-CN"/>
        </w:rPr>
        <w:t>工作组复评</w:t>
      </w:r>
      <w:r>
        <w:rPr>
          <w:rFonts w:hint="eastAsia" w:ascii="仿宋_GB2312" w:eastAsia="仿宋_GB2312"/>
          <w:sz w:val="32"/>
          <w:szCs w:val="32"/>
        </w:rPr>
        <w:t>相结合的方式进行。在自评的基础上，通过</w:t>
      </w:r>
      <w:r>
        <w:rPr>
          <w:rFonts w:hint="eastAsia" w:ascii="仿宋_GB2312" w:eastAsia="仿宋_GB2312"/>
          <w:sz w:val="32"/>
          <w:szCs w:val="32"/>
          <w:lang w:eastAsia="zh-CN"/>
        </w:rPr>
        <w:t>多种</w:t>
      </w:r>
      <w:r>
        <w:rPr>
          <w:rFonts w:hint="eastAsia" w:ascii="仿宋_GB2312" w:eastAsia="仿宋_GB2312"/>
          <w:sz w:val="32"/>
          <w:szCs w:val="32"/>
        </w:rPr>
        <w:t>方式，搜集并审核相关绩效材料，运用比较分析、因素分析、成本效益分析等方法，综合评价</w:t>
      </w:r>
      <w:r>
        <w:rPr>
          <w:rFonts w:hint="eastAsia" w:ascii="仿宋_GB2312" w:eastAsia="仿宋_GB2312"/>
          <w:sz w:val="32"/>
          <w:szCs w:val="32"/>
          <w:lang w:val="en-US" w:eastAsia="zh-CN"/>
        </w:rPr>
        <w:t>该项目</w:t>
      </w:r>
      <w:r>
        <w:rPr>
          <w:rFonts w:hint="eastAsia" w:ascii="仿宋_GB2312" w:eastAsia="仿宋_GB2312"/>
          <w:sz w:val="32"/>
          <w:szCs w:val="32"/>
        </w:rPr>
        <w:t>绩效。</w:t>
      </w:r>
    </w:p>
    <w:p w14:paraId="3DC3A4F7">
      <w:pPr>
        <w:numPr>
          <w:ilvl w:val="0"/>
          <w:numId w:val="0"/>
        </w:numPr>
        <w:spacing w:line="560" w:lineRule="exact"/>
        <w:ind w:left="642" w:leftChars="0"/>
        <w:rPr>
          <w:rFonts w:ascii="楷体" w:hAnsi="楷体" w:eastAsia="楷体" w:cs="楷体_GB2312"/>
          <w:bCs/>
          <w:sz w:val="32"/>
          <w:szCs w:val="32"/>
        </w:rPr>
      </w:pPr>
    </w:p>
    <w:p w14:paraId="06C814A6">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503F49C9">
      <w:pPr>
        <w:numPr>
          <w:ilvl w:val="0"/>
          <w:numId w:val="3"/>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0A119980">
      <w:pPr>
        <w:pStyle w:val="3"/>
        <w:keepNext w:val="0"/>
        <w:keepLines w:val="0"/>
        <w:pageBreakBefore w:val="0"/>
        <w:widowControl w:val="0"/>
        <w:kinsoku/>
        <w:wordWrap/>
        <w:overflowPunct/>
        <w:topLinePunct w:val="0"/>
        <w:autoSpaceDE w:val="0"/>
        <w:autoSpaceDN w:val="0"/>
        <w:bidi w:val="0"/>
        <w:adjustRightInd/>
        <w:snapToGrid/>
        <w:spacing w:before="28" w:beforeLines="0" w:line="560" w:lineRule="exact"/>
        <w:ind w:left="111" w:right="118"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年度专项工作经费管理规范，按计划基本完成，确保了各项工作正常运转和圆满完成，各科室对该项工作总体较为满意。对各项职能指标完成情况进行了自检自查,各项工作均已基本完成，专项资金绩效评价自评为优秀。</w:t>
      </w:r>
    </w:p>
    <w:p w14:paraId="398A6E3C">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0E61104A">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）专项公用经费</w:t>
      </w:r>
    </w:p>
    <w:p w14:paraId="5B75317E">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绩效目标：用于全区委全面深化改革委员会、区委国家安全委员日常办公教育培训等保障两个区委议事协调机构日常运转。</w:t>
      </w:r>
    </w:p>
    <w:p w14:paraId="68B00259">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绩效指标：各局乡镇文件下发印刷20次，组织全区改革办培训5次，区委办值班业务培训3次，计划建设党政公开栏及信息建设，保障相关业务、工作能力更好的开展，能够长期较好的宣传中央党务条例的各项规定。</w:t>
      </w:r>
    </w:p>
    <w:p w14:paraId="499AE0A7">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）视联网视频调度系统服务费</w:t>
      </w:r>
    </w:p>
    <w:p w14:paraId="13E7F3B9">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绩效目标：按照市委《关于贯彻落实&lt;河北省党委办公厅（室）系统信息化支撑平台及应用系统建设工作推荐方案&gt;的通知》精神，2019年10月1日前设备互联网互通后期每年服务费。</w:t>
      </w:r>
    </w:p>
    <w:p w14:paraId="7D9CFEED">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绩效指标：确保设备能正常有序的使用。</w:t>
      </w:r>
    </w:p>
    <w:p w14:paraId="207DC7E5">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）报刊征订</w:t>
      </w:r>
    </w:p>
    <w:p w14:paraId="7392C595">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绩效目标：用于区委刊登文件、会议纪要代订期刊等费用。订阅一年12个月月报以党报党刊、行业为重点；巩固工费订阅市场。</w:t>
      </w:r>
    </w:p>
    <w:p w14:paraId="770E312A">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绩效指标：每月报刊订阅量不少于12份，每季度刊登报纸读物数量不少于3次，会议纪要刊登量每月10次，刊登完成率98%。</w:t>
      </w:r>
    </w:p>
    <w:p w14:paraId="6612F631">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lang w:eastAsia="zh-CN"/>
        </w:rPr>
        <w:t>）公务内网网络设备维护及采购</w:t>
      </w:r>
    </w:p>
    <w:p w14:paraId="1E5A384B">
      <w:pPr>
        <w:widowControl w:val="0"/>
        <w:wordWrap/>
        <w:adjustRightInd w:val="0"/>
        <w:snapToGrid w:val="0"/>
        <w:spacing w:line="560" w:lineRule="exact"/>
        <w:ind w:left="0" w:leftChars="0" w:right="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绩效目标：电子政务内网运维费、密码通信系统维护、电子政务内网二期的建设。</w:t>
      </w:r>
    </w:p>
    <w:p w14:paraId="7D0D6A84">
      <w:pPr>
        <w:widowControl w:val="0"/>
        <w:wordWrap/>
        <w:adjustRightInd w:val="0"/>
        <w:snapToGrid w:val="0"/>
        <w:spacing w:line="560" w:lineRule="exact"/>
        <w:ind w:left="0" w:leftChars="0" w:right="0" w:firstLine="640" w:firstLineChars="200"/>
        <w:textAlignment w:val="auto"/>
        <w:outlineLvl w:val="9"/>
        <w:rPr>
          <w:rFonts w:hint="default" w:ascii="仿宋" w:hAnsi="仿宋" w:eastAsia="仿宋"/>
          <w:sz w:val="32"/>
          <w:szCs w:val="32"/>
          <w:lang w:val="en-US" w:eastAsia="zh-CN"/>
        </w:rPr>
      </w:pPr>
      <w:r>
        <w:rPr>
          <w:rFonts w:hint="eastAsia" w:ascii="仿宋" w:hAnsi="仿宋" w:eastAsia="仿宋"/>
          <w:sz w:val="32"/>
          <w:szCs w:val="32"/>
          <w:lang w:eastAsia="zh-CN"/>
        </w:rPr>
        <w:t>绩效指标：保障政务内网运行畅通，系统正常运行年限</w:t>
      </w:r>
      <w:r>
        <w:rPr>
          <w:rFonts w:hint="eastAsia" w:ascii="仿宋" w:hAnsi="仿宋" w:eastAsia="仿宋"/>
          <w:sz w:val="32"/>
          <w:szCs w:val="32"/>
          <w:lang w:val="en-US" w:eastAsia="zh-CN"/>
        </w:rPr>
        <w:t>1年，运行成本26万元以内。</w:t>
      </w:r>
    </w:p>
    <w:p w14:paraId="60B88B3A">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tbl>
      <w:tblPr>
        <w:tblStyle w:val="7"/>
        <w:tblW w:w="88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45"/>
        <w:gridCol w:w="1794"/>
        <w:gridCol w:w="2505"/>
      </w:tblGrid>
      <w:tr w14:paraId="05274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F3A2">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42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自评得分</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6F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评价等级</w:t>
            </w:r>
          </w:p>
        </w:tc>
      </w:tr>
      <w:tr w14:paraId="2978E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8D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涉军工资</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6A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99.5</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E8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w:t>
            </w:r>
          </w:p>
        </w:tc>
      </w:tr>
      <w:tr w14:paraId="74A0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F28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党政专用电视会议系统建设</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5F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99.7</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6A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w:t>
            </w:r>
          </w:p>
        </w:tc>
      </w:tr>
      <w:tr w14:paraId="74958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ACB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报刊征订费</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96B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97.9</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64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w:t>
            </w:r>
          </w:p>
        </w:tc>
      </w:tr>
      <w:tr w14:paraId="35316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top"/>
          </w:tcPr>
          <w:p w14:paraId="1063B99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党政密码通信系统运维费</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95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1A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w:t>
            </w:r>
          </w:p>
        </w:tc>
      </w:tr>
      <w:tr w14:paraId="497FE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44B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党政密码通信系统运维费</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F3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C4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w:t>
            </w:r>
          </w:p>
        </w:tc>
      </w:tr>
      <w:tr w14:paraId="6F93A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401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电子政务内网纵向网络密码设备经费</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D44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CA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w:t>
            </w:r>
          </w:p>
        </w:tc>
      </w:tr>
      <w:tr w14:paraId="527C7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FB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会议接待费</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114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74</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E3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良好</w:t>
            </w:r>
          </w:p>
        </w:tc>
      </w:tr>
      <w:tr w14:paraId="1E476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9D4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购置公务用车的费用</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644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99</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29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w:t>
            </w:r>
          </w:p>
        </w:tc>
      </w:tr>
      <w:tr w14:paraId="5435A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328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电子政务内网二期工程</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2F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5F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优秀</w:t>
            </w:r>
          </w:p>
        </w:tc>
      </w:tr>
      <w:tr w14:paraId="5E7C9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053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专项公用经费</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05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0FD8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优秀</w:t>
            </w:r>
          </w:p>
        </w:tc>
      </w:tr>
      <w:tr w14:paraId="22995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847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视联网视频调度系统服务费</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B2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97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优秀</w:t>
            </w:r>
          </w:p>
        </w:tc>
      </w:tr>
      <w:tr w14:paraId="5CA24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3D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疫情防控领导小组指挥中心场地租赁费用</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A7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93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优秀</w:t>
            </w:r>
          </w:p>
        </w:tc>
      </w:tr>
      <w:tr w14:paraId="2818F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8FB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"056"平台检测器采购费用</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661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7E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优秀</w:t>
            </w:r>
          </w:p>
        </w:tc>
      </w:tr>
      <w:tr w14:paraId="71DDA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BF8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微信群实时监管系统</w:t>
            </w:r>
          </w:p>
        </w:tc>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53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79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优秀</w:t>
            </w:r>
          </w:p>
        </w:tc>
      </w:tr>
    </w:tbl>
    <w:p w14:paraId="1EE5CC71">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717DA77D">
      <w:pPr>
        <w:spacing w:line="560" w:lineRule="exact"/>
        <w:ind w:firstLine="640" w:firstLineChars="200"/>
        <w:rPr>
          <w:rFonts w:hint="eastAsia" w:ascii="楷体" w:hAnsi="楷体" w:eastAsia="楷体"/>
          <w:bCs/>
          <w:sz w:val="32"/>
          <w:szCs w:val="32"/>
        </w:rPr>
      </w:pPr>
      <w:r>
        <w:rPr>
          <w:rFonts w:hint="eastAsia" w:ascii="楷体" w:hAnsi="楷体" w:eastAsia="楷体"/>
          <w:bCs/>
          <w:sz w:val="32"/>
          <w:szCs w:val="32"/>
        </w:rPr>
        <w:t>（一）存在的主要问题</w:t>
      </w:r>
    </w:p>
    <w:p w14:paraId="5C39AFBB">
      <w:pPr>
        <w:ind w:firstLine="480" w:firstLineChars="15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通过对该项目的绩效自评，我单位发现该项目主要存在以下几个方面的问题：</w:t>
      </w:r>
    </w:p>
    <w:p w14:paraId="6396A51A">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1、预算编制工作不够完善，考虑问题不够周全。</w:t>
      </w:r>
    </w:p>
    <w:p w14:paraId="539691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2、绩效目标有待精细化、合理化。</w:t>
      </w:r>
    </w:p>
    <w:p w14:paraId="79612F73">
      <w:pPr>
        <w:numPr>
          <w:ilvl w:val="0"/>
          <w:numId w:val="0"/>
        </w:numPr>
        <w:ind w:firstLine="640" w:firstLineChars="200"/>
        <w:rPr>
          <w:rFonts w:hint="eastAsia" w:ascii="楷体" w:hAnsi="楷体" w:eastAsia="楷体"/>
          <w:bCs/>
          <w:sz w:val="32"/>
          <w:szCs w:val="32"/>
        </w:rPr>
      </w:pPr>
      <w:r>
        <w:rPr>
          <w:rFonts w:hint="eastAsia" w:ascii="仿宋" w:hAnsi="仿宋" w:eastAsia="仿宋" w:cs="仿宋"/>
          <w:sz w:val="32"/>
          <w:szCs w:val="32"/>
          <w:lang w:val="en-US" w:eastAsia="zh-CN"/>
        </w:rPr>
        <w:t>3、资金支出进度较慢。</w:t>
      </w:r>
    </w:p>
    <w:p w14:paraId="18F89562">
      <w:pPr>
        <w:numPr>
          <w:ilvl w:val="0"/>
          <w:numId w:val="3"/>
        </w:numPr>
        <w:spacing w:line="560" w:lineRule="exact"/>
        <w:ind w:left="0" w:leftChars="0" w:firstLine="640" w:firstLineChars="200"/>
        <w:rPr>
          <w:rFonts w:hint="eastAsia" w:ascii="楷体" w:hAnsi="楷体" w:eastAsia="楷体"/>
          <w:bCs/>
          <w:sz w:val="32"/>
          <w:szCs w:val="32"/>
        </w:rPr>
      </w:pPr>
      <w:r>
        <w:rPr>
          <w:rFonts w:hint="eastAsia" w:ascii="楷体" w:hAnsi="楷体" w:eastAsia="楷体"/>
          <w:bCs/>
          <w:sz w:val="32"/>
          <w:szCs w:val="32"/>
        </w:rPr>
        <w:t>针对问题提出具体的改进措施或建议</w:t>
      </w:r>
    </w:p>
    <w:p w14:paraId="65AB5529">
      <w:pPr>
        <w:numPr>
          <w:ilvl w:val="0"/>
          <w:numId w:val="0"/>
        </w:numPr>
        <w:spacing w:line="560" w:lineRule="exact"/>
        <w:ind w:left="420" w:leftChars="200" w:firstLine="420" w:firstLineChars="0"/>
        <w:rPr>
          <w:rFonts w:hint="eastAsia" w:ascii="楷体" w:hAnsi="楷体" w:eastAsia="楷体"/>
          <w:bCs/>
          <w:sz w:val="32"/>
          <w:szCs w:val="32"/>
        </w:rPr>
      </w:pPr>
      <w:r>
        <w:rPr>
          <w:rFonts w:hint="eastAsia" w:ascii="仿宋" w:hAnsi="仿宋" w:eastAsia="仿宋" w:cs="仿宋"/>
          <w:b w:val="0"/>
          <w:kern w:val="2"/>
          <w:sz w:val="32"/>
          <w:szCs w:val="32"/>
          <w:lang w:val="en-US" w:eastAsia="zh-CN" w:bidi="ar-SA"/>
        </w:rPr>
        <w:t>在今后年度的预算编制过程中要做到提前谋划，明确任务，考虑周全，应编尽编。进一步加强预算绩效管理意识，从源头上提高预算编制的科学性和精准性，科学设定绩效指标和指标值，确保绩效目标符合规定要求，项目实施过程中加强绩效指标的追踪分析，让绩效指标的切实起到项目监控的功能。做好项目预算执行的各项前期准备工作，做到预算一经批复或下达，项目即可落实，资金即可使用。</w:t>
      </w:r>
    </w:p>
    <w:p w14:paraId="2AD93670">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六、评价工作组人员名单及签字（姓名、工作单位、职务、职称）</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3870"/>
        <w:gridCol w:w="1683"/>
        <w:gridCol w:w="1700"/>
      </w:tblGrid>
      <w:tr w14:paraId="5C75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26A5DF86">
            <w:pPr>
              <w:numPr>
                <w:ilvl w:val="0"/>
                <w:numId w:val="0"/>
              </w:num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姓  名</w:t>
            </w:r>
          </w:p>
        </w:tc>
        <w:tc>
          <w:tcPr>
            <w:tcW w:w="3870" w:type="dxa"/>
          </w:tcPr>
          <w:p w14:paraId="511218EB">
            <w:pPr>
              <w:numPr>
                <w:ilvl w:val="0"/>
                <w:numId w:val="0"/>
              </w:num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工作单位</w:t>
            </w:r>
          </w:p>
        </w:tc>
        <w:tc>
          <w:tcPr>
            <w:tcW w:w="1683" w:type="dxa"/>
          </w:tcPr>
          <w:p w14:paraId="17C75B46">
            <w:pPr>
              <w:numPr>
                <w:ilvl w:val="0"/>
                <w:numId w:val="0"/>
              </w:num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职  务</w:t>
            </w:r>
          </w:p>
        </w:tc>
        <w:tc>
          <w:tcPr>
            <w:tcW w:w="1700" w:type="dxa"/>
          </w:tcPr>
          <w:p w14:paraId="5862763D">
            <w:pPr>
              <w:numPr>
                <w:ilvl w:val="0"/>
                <w:numId w:val="0"/>
              </w:num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签  名</w:t>
            </w:r>
          </w:p>
        </w:tc>
      </w:tr>
      <w:tr w14:paraId="4CCF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689FC6C">
            <w:pPr>
              <w:numPr>
                <w:ilvl w:val="0"/>
                <w:numId w:val="0"/>
              </w:numPr>
              <w:jc w:val="center"/>
              <w:rPr>
                <w:rFonts w:hint="default"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毕军辉</w:t>
            </w:r>
          </w:p>
        </w:tc>
        <w:tc>
          <w:tcPr>
            <w:tcW w:w="3870" w:type="dxa"/>
          </w:tcPr>
          <w:p w14:paraId="3B3AABD0">
            <w:pPr>
              <w:numPr>
                <w:ilvl w:val="0"/>
                <w:numId w:val="0"/>
              </w:numPr>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中共石家庄市鹿泉区委办公室</w:t>
            </w:r>
          </w:p>
        </w:tc>
        <w:tc>
          <w:tcPr>
            <w:tcW w:w="1683" w:type="dxa"/>
          </w:tcPr>
          <w:p w14:paraId="571B2B38">
            <w:pPr>
              <w:numPr>
                <w:ilvl w:val="0"/>
                <w:numId w:val="0"/>
              </w:numPr>
              <w:jc w:val="both"/>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区委办常务副主任</w:t>
            </w:r>
          </w:p>
        </w:tc>
        <w:tc>
          <w:tcPr>
            <w:tcW w:w="1700" w:type="dxa"/>
          </w:tcPr>
          <w:p w14:paraId="5F222434">
            <w:pPr>
              <w:numPr>
                <w:ilvl w:val="0"/>
                <w:numId w:val="0"/>
              </w:numPr>
              <w:rPr>
                <w:rFonts w:hint="eastAsia" w:ascii="仿宋" w:hAnsi="仿宋" w:eastAsia="仿宋" w:cs="仿宋"/>
                <w:sz w:val="32"/>
                <w:szCs w:val="32"/>
                <w:vertAlign w:val="baseline"/>
              </w:rPr>
            </w:pPr>
          </w:p>
        </w:tc>
      </w:tr>
      <w:tr w14:paraId="4FD7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6D3358DF">
            <w:pPr>
              <w:numPr>
                <w:ilvl w:val="0"/>
                <w:numId w:val="0"/>
              </w:numPr>
              <w:jc w:val="both"/>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盖浩磊</w:t>
            </w:r>
          </w:p>
        </w:tc>
        <w:tc>
          <w:tcPr>
            <w:tcW w:w="3870" w:type="dxa"/>
          </w:tcPr>
          <w:p w14:paraId="641773CB">
            <w:pPr>
              <w:numPr>
                <w:ilvl w:val="0"/>
                <w:numId w:val="0"/>
              </w:numPr>
              <w:rPr>
                <w:rFonts w:hint="eastAsia" w:ascii="仿宋" w:hAnsi="仿宋" w:eastAsia="仿宋" w:cs="仿宋"/>
                <w:sz w:val="32"/>
                <w:szCs w:val="32"/>
                <w:vertAlign w:val="baseline"/>
              </w:rPr>
            </w:pPr>
            <w:r>
              <w:rPr>
                <w:rFonts w:hint="eastAsia" w:ascii="仿宋" w:hAnsi="仿宋" w:eastAsia="仿宋" w:cs="仿宋"/>
                <w:b w:val="0"/>
                <w:kern w:val="2"/>
                <w:sz w:val="32"/>
                <w:szCs w:val="32"/>
                <w:lang w:val="en-US" w:eastAsia="zh-CN" w:bidi="ar-SA"/>
              </w:rPr>
              <w:t>中共石家庄市鹿泉区委办公室</w:t>
            </w:r>
          </w:p>
        </w:tc>
        <w:tc>
          <w:tcPr>
            <w:tcW w:w="1683" w:type="dxa"/>
          </w:tcPr>
          <w:p w14:paraId="08EC4788">
            <w:pPr>
              <w:numPr>
                <w:ilvl w:val="0"/>
                <w:numId w:val="0"/>
              </w:numPr>
              <w:jc w:val="both"/>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区委信息中心主任</w:t>
            </w:r>
          </w:p>
        </w:tc>
        <w:tc>
          <w:tcPr>
            <w:tcW w:w="1700" w:type="dxa"/>
          </w:tcPr>
          <w:p w14:paraId="34D55460">
            <w:pPr>
              <w:numPr>
                <w:ilvl w:val="0"/>
                <w:numId w:val="0"/>
              </w:numPr>
              <w:rPr>
                <w:rFonts w:hint="eastAsia" w:ascii="仿宋" w:hAnsi="仿宋" w:eastAsia="仿宋" w:cs="仿宋"/>
                <w:sz w:val="32"/>
                <w:szCs w:val="32"/>
                <w:vertAlign w:val="baseline"/>
              </w:rPr>
            </w:pPr>
          </w:p>
        </w:tc>
      </w:tr>
      <w:tr w14:paraId="5B0A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32BB4AD">
            <w:pPr>
              <w:numPr>
                <w:ilvl w:val="0"/>
                <w:numId w:val="0"/>
              </w:numPr>
              <w:jc w:val="both"/>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葛亚安</w:t>
            </w:r>
          </w:p>
        </w:tc>
        <w:tc>
          <w:tcPr>
            <w:tcW w:w="3870" w:type="dxa"/>
          </w:tcPr>
          <w:p w14:paraId="779840D8">
            <w:pPr>
              <w:numPr>
                <w:ilvl w:val="0"/>
                <w:numId w:val="0"/>
              </w:numPr>
              <w:rPr>
                <w:rFonts w:hint="eastAsia" w:ascii="仿宋" w:hAnsi="仿宋" w:eastAsia="仿宋" w:cs="仿宋"/>
                <w:sz w:val="32"/>
                <w:szCs w:val="32"/>
                <w:vertAlign w:val="baseline"/>
              </w:rPr>
            </w:pPr>
            <w:r>
              <w:rPr>
                <w:rFonts w:hint="eastAsia" w:ascii="仿宋" w:hAnsi="仿宋" w:eastAsia="仿宋" w:cs="仿宋"/>
                <w:b w:val="0"/>
                <w:kern w:val="2"/>
                <w:sz w:val="32"/>
                <w:szCs w:val="32"/>
                <w:lang w:val="en-US" w:eastAsia="zh-CN" w:bidi="ar-SA"/>
              </w:rPr>
              <w:t>中共石家庄市鹿泉区委办公室</w:t>
            </w:r>
          </w:p>
        </w:tc>
        <w:tc>
          <w:tcPr>
            <w:tcW w:w="1683" w:type="dxa"/>
          </w:tcPr>
          <w:p w14:paraId="11497526">
            <w:pPr>
              <w:numPr>
                <w:ilvl w:val="0"/>
                <w:numId w:val="0"/>
              </w:numPr>
              <w:jc w:val="both"/>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区委办行政股负责人</w:t>
            </w:r>
          </w:p>
        </w:tc>
        <w:tc>
          <w:tcPr>
            <w:tcW w:w="1700" w:type="dxa"/>
          </w:tcPr>
          <w:p w14:paraId="1177C572">
            <w:pPr>
              <w:numPr>
                <w:ilvl w:val="0"/>
                <w:numId w:val="0"/>
              </w:numPr>
              <w:rPr>
                <w:rFonts w:hint="eastAsia" w:ascii="仿宋" w:hAnsi="仿宋" w:eastAsia="仿宋" w:cs="仿宋"/>
                <w:sz w:val="32"/>
                <w:szCs w:val="32"/>
                <w:vertAlign w:val="baseline"/>
              </w:rPr>
            </w:pPr>
          </w:p>
        </w:tc>
      </w:tr>
    </w:tbl>
    <w:p w14:paraId="15DFBD7D">
      <w:pPr>
        <w:spacing w:line="560" w:lineRule="exact"/>
        <w:rPr>
          <w:rFonts w:ascii="仿宋" w:hAnsi="仿宋" w:eastAsia="仿宋"/>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Mono CJK JP Bold">
    <w:altName w:val="微软雅黑"/>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31CEA">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12C75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DLZp0PwAEAAJ0DAAAOAAAAAAAAAAEAIAAAAB4BAABkcnMvZTJvRG9jLnhtbFBLBQYA&#10;AAAABgAGAFkBAABQBQAAAAA=&#10;">
              <v:fill on="f" focussize="0,0"/>
              <v:stroke on="f"/>
              <v:imagedata o:title=""/>
              <o:lock v:ext="edit" aspectratio="f"/>
              <v:textbox inset="0mm,0mm,0mm,0mm" style="mso-fit-shape-to-text:t;">
                <w:txbxContent>
                  <w:p w14:paraId="3612C75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19E65EEC"/>
    <w:multiLevelType w:val="singleLevel"/>
    <w:tmpl w:val="19E65EEC"/>
    <w:lvl w:ilvl="0" w:tentative="0">
      <w:start w:val="2"/>
      <w:numFmt w:val="decimal"/>
      <w:suff w:val="nothing"/>
      <w:lvlText w:val="（%1）"/>
      <w:lvlJc w:val="left"/>
    </w:lvl>
  </w:abstractNum>
  <w:abstractNum w:abstractNumId="2">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zOGYxMTJkZmZiMWViNDFjN2NhYTUxNGY5NzhmNTkifQ=="/>
  </w:docVars>
  <w:rsids>
    <w:rsidRoot w:val="0EBD2122"/>
    <w:rsid w:val="000B0260"/>
    <w:rsid w:val="007E6C1F"/>
    <w:rsid w:val="00956A93"/>
    <w:rsid w:val="009E575C"/>
    <w:rsid w:val="00AF167E"/>
    <w:rsid w:val="00AF566A"/>
    <w:rsid w:val="00B478EA"/>
    <w:rsid w:val="00B6553A"/>
    <w:rsid w:val="00BC6576"/>
    <w:rsid w:val="00CE06BA"/>
    <w:rsid w:val="00F441CC"/>
    <w:rsid w:val="01B104CA"/>
    <w:rsid w:val="02106AB0"/>
    <w:rsid w:val="02B43A28"/>
    <w:rsid w:val="03AD3C2E"/>
    <w:rsid w:val="046F331E"/>
    <w:rsid w:val="07956271"/>
    <w:rsid w:val="09721397"/>
    <w:rsid w:val="0BB63BED"/>
    <w:rsid w:val="0EB97A43"/>
    <w:rsid w:val="0EBD2122"/>
    <w:rsid w:val="0F214EAE"/>
    <w:rsid w:val="11B71E6A"/>
    <w:rsid w:val="15F6642F"/>
    <w:rsid w:val="1AAF0063"/>
    <w:rsid w:val="1BE140DE"/>
    <w:rsid w:val="248C197D"/>
    <w:rsid w:val="24DA4D7E"/>
    <w:rsid w:val="252959AF"/>
    <w:rsid w:val="277A6671"/>
    <w:rsid w:val="286E7140"/>
    <w:rsid w:val="292D35B7"/>
    <w:rsid w:val="30A47560"/>
    <w:rsid w:val="32817910"/>
    <w:rsid w:val="33EB6CFF"/>
    <w:rsid w:val="35A12947"/>
    <w:rsid w:val="37387040"/>
    <w:rsid w:val="39A866D5"/>
    <w:rsid w:val="3B625C0A"/>
    <w:rsid w:val="3CEE1963"/>
    <w:rsid w:val="436B78D3"/>
    <w:rsid w:val="444F6738"/>
    <w:rsid w:val="469460D0"/>
    <w:rsid w:val="4C9C27FE"/>
    <w:rsid w:val="508521FA"/>
    <w:rsid w:val="512260B4"/>
    <w:rsid w:val="52235202"/>
    <w:rsid w:val="52BD6ACB"/>
    <w:rsid w:val="55537534"/>
    <w:rsid w:val="561A74F1"/>
    <w:rsid w:val="597244E8"/>
    <w:rsid w:val="5B6065F6"/>
    <w:rsid w:val="5CD2459A"/>
    <w:rsid w:val="5EB71C30"/>
    <w:rsid w:val="5FC058B5"/>
    <w:rsid w:val="66AF0CE5"/>
    <w:rsid w:val="6AC537CF"/>
    <w:rsid w:val="6AD40467"/>
    <w:rsid w:val="6B136660"/>
    <w:rsid w:val="6C4F6270"/>
    <w:rsid w:val="6E5B14A6"/>
    <w:rsid w:val="6F41270D"/>
    <w:rsid w:val="6F5E0A96"/>
    <w:rsid w:val="711B255E"/>
    <w:rsid w:val="7851150C"/>
    <w:rsid w:val="7BB51E06"/>
    <w:rsid w:val="7C387F7C"/>
    <w:rsid w:val="7EC040AE"/>
    <w:rsid w:val="7FE83423"/>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rPr>
      <w:rFonts w:ascii="Noto Sans Mono CJK JP Bold" w:hAnsi="Noto Sans Mono CJK JP Bold" w:eastAsia="Noto Sans Mono CJK JP Bold" w:cs="Noto Sans Mono CJK JP Bold"/>
      <w:sz w:val="32"/>
      <w:szCs w:val="32"/>
      <w:lang w:val="en-US" w:eastAsia="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无间隔1"/>
    <w:qFormat/>
    <w:uiPriority w:val="0"/>
    <w:pPr>
      <w:widowControl w:val="0"/>
      <w:jc w:val="both"/>
    </w:pPr>
    <w:rPr>
      <w:rFonts w:ascii="宋体" w:hAnsi="宋体"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6410</Words>
  <Characters>6559</Characters>
  <Lines>4</Lines>
  <Paragraphs>1</Paragraphs>
  <TotalTime>3</TotalTime>
  <ScaleCrop>false</ScaleCrop>
  <LinksUpToDate>false</LinksUpToDate>
  <CharactersWithSpaces>6583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动心</cp:lastModifiedBy>
  <cp:lastPrinted>2024-03-06T07:40:00Z</cp:lastPrinted>
  <dcterms:modified xsi:type="dcterms:W3CDTF">2026-10-22T06:09:27Z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D2B1E2B9C86F4BF4891D68F4746E585A_13</vt:lpwstr>
  </property>
  <property fmtid="{D5CDD505-2E9C-101B-9397-08002B2CF9AE}" pid="4" name="KSOTemplateDocerSaveRecord">
    <vt:lpwstr>eyJoZGlkIjoiOTM2OTA3NTc0MWJhNWUxMTExMTc0MTlkYTY3OGJlYjUiLCJ1c2VySWQiOiI2NDI4NjI3NTgifQ==</vt:lpwstr>
  </property>
</Properties>
</file>