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F8D86">
      <w:pPr>
        <w:ind w:firstLine="880" w:firstLineChars="200"/>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eastAsia="zh-CN"/>
        </w:rPr>
        <w:t>石家庄市鹿泉区医疗保障局</w:t>
      </w:r>
      <w:r>
        <w:rPr>
          <w:rFonts w:ascii="Times New Roman" w:hAnsi="Times New Roman" w:eastAsia="方正小标宋_GBK" w:cs="Times New Roman"/>
          <w:sz w:val="44"/>
          <w:szCs w:val="44"/>
        </w:rPr>
        <w:t>201</w:t>
      </w:r>
      <w:r>
        <w:rPr>
          <w:rFonts w:hint="eastAsia" w:ascii="Times New Roman" w:hAnsi="Times New Roman" w:eastAsia="方正小标宋_GBK" w:cs="Times New Roman"/>
          <w:sz w:val="44"/>
          <w:szCs w:val="44"/>
        </w:rPr>
        <w:t>9</w:t>
      </w:r>
      <w:r>
        <w:rPr>
          <w:rFonts w:ascii="Times New Roman" w:hAnsi="Times New Roman" w:eastAsia="方正小标宋_GBK" w:cs="Times New Roman"/>
          <w:sz w:val="44"/>
          <w:szCs w:val="44"/>
        </w:rPr>
        <w:t>年部门预算信息公开</w:t>
      </w:r>
      <w:r>
        <w:rPr>
          <w:rFonts w:hint="eastAsia" w:ascii="Times New Roman" w:hAnsi="Times New Roman" w:eastAsia="方正小标宋_GBK" w:cs="Times New Roman"/>
          <w:sz w:val="44"/>
          <w:szCs w:val="44"/>
        </w:rPr>
        <w:t>情况说明</w:t>
      </w:r>
    </w:p>
    <w:p w14:paraId="0B5F6168">
      <w:pPr>
        <w:ind w:firstLine="640" w:firstLineChars="200"/>
        <w:rPr>
          <w:rFonts w:hint="eastAsia"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w:t>
      </w:r>
      <w:r>
        <w:rPr>
          <w:rFonts w:hint="eastAsia" w:ascii="仿宋" w:hAnsi="仿宋" w:eastAsia="仿宋" w:cs="仿宋"/>
          <w:sz w:val="32"/>
          <w:szCs w:val="32"/>
          <w:lang w:eastAsia="zh-CN"/>
        </w:rPr>
        <w:t>，</w:t>
      </w:r>
      <w:r>
        <w:rPr>
          <w:rFonts w:hint="eastAsia" w:ascii="仿宋" w:hAnsi="仿宋" w:eastAsia="仿宋" w:cs="仿宋"/>
          <w:sz w:val="32"/>
          <w:szCs w:val="32"/>
        </w:rPr>
        <w:t>现将</w:t>
      </w:r>
      <w:r>
        <w:rPr>
          <w:rFonts w:hint="eastAsia" w:ascii="仿宋" w:hAnsi="仿宋" w:eastAsia="仿宋" w:cs="仿宋"/>
          <w:sz w:val="32"/>
          <w:szCs w:val="32"/>
          <w:lang w:eastAsia="zh-CN"/>
        </w:rPr>
        <w:t>石家庄市鹿泉区医疗保障局</w:t>
      </w:r>
      <w:r>
        <w:rPr>
          <w:rFonts w:hint="eastAsia" w:ascii="仿宋" w:hAnsi="仿宋" w:eastAsia="仿宋" w:cs="仿宋"/>
          <w:sz w:val="32"/>
          <w:szCs w:val="32"/>
        </w:rPr>
        <w:t>2019年部门预算公开如下：</w:t>
      </w:r>
    </w:p>
    <w:p w14:paraId="2A9EB638">
      <w:pPr>
        <w:ind w:firstLine="640"/>
        <w:rPr>
          <w:rFonts w:ascii="黑体" w:hAnsi="黑体" w:eastAsia="黑体" w:cs="Times New Roman"/>
          <w:sz w:val="32"/>
          <w:szCs w:val="32"/>
        </w:rPr>
      </w:pPr>
      <w:r>
        <w:rPr>
          <w:rFonts w:hint="eastAsia" w:ascii="黑体" w:hAnsi="黑体" w:eastAsia="黑体" w:cs="Times New Roman"/>
          <w:sz w:val="32"/>
          <w:szCs w:val="32"/>
        </w:rPr>
        <w:t>一、部门职责及机构设置情况</w:t>
      </w:r>
    </w:p>
    <w:p w14:paraId="5F47D5CC">
      <w:pPr>
        <w:ind w:firstLine="643" w:firstLineChars="200"/>
        <w:rPr>
          <w:rFonts w:ascii="方正仿宋_GBK" w:eastAsia="方正仿宋_GBK"/>
          <w:sz w:val="28"/>
        </w:rPr>
      </w:pPr>
      <w:r>
        <w:rPr>
          <w:rFonts w:hint="eastAsia" w:ascii="Times New Roman" w:hAnsi="Times New Roman" w:eastAsia="方正仿宋_GBK" w:cs="Times New Roman"/>
          <w:b/>
          <w:sz w:val="32"/>
          <w:szCs w:val="32"/>
        </w:rPr>
        <w:t>部门</w:t>
      </w:r>
      <w:r>
        <w:rPr>
          <w:rFonts w:ascii="Times New Roman" w:hAnsi="Times New Roman" w:eastAsia="方正仿宋_GBK" w:cs="Times New Roman"/>
          <w:b/>
          <w:sz w:val="32"/>
          <w:szCs w:val="32"/>
        </w:rPr>
        <w:t>职责：</w:t>
      </w:r>
    </w:p>
    <w:p w14:paraId="765A6B57">
      <w:pPr>
        <w:spacing w:line="500" w:lineRule="exact"/>
        <w:ind w:firstLine="560"/>
        <w:rPr>
          <w:rFonts w:hint="eastAsia" w:ascii="仿宋" w:hAnsi="仿宋" w:eastAsia="仿宋" w:cs="仿宋"/>
          <w:b w:val="0"/>
          <w:bCs w:val="0"/>
          <w:sz w:val="32"/>
          <w:szCs w:val="32"/>
        </w:rPr>
      </w:pPr>
      <w:r>
        <w:rPr>
          <w:rFonts w:ascii="方正仿宋_GBK" w:eastAsia="方正仿宋_GBK"/>
          <w:sz w:val="28"/>
        </w:rPr>
        <w:t xml:space="preserve">  </w:t>
      </w:r>
      <w:r>
        <w:rPr>
          <w:rFonts w:hint="eastAsia" w:ascii="仿宋" w:hAnsi="仿宋" w:eastAsia="仿宋" w:cs="仿宋"/>
          <w:b w:val="0"/>
          <w:bCs w:val="0"/>
          <w:sz w:val="32"/>
          <w:szCs w:val="32"/>
        </w:rPr>
        <w:t xml:space="preserve">  （一）拟订全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城镇职工和城乡居民医疗保险、生育保险、长期护理保险、医疗救助等医疗保障地方性法规、政府规章草案以及政策、制度、规划和标准。</w:t>
      </w:r>
    </w:p>
    <w:p w14:paraId="2412E7A7">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（二）拟定完善全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医疗保障基金监督管理办法，建立健全医疗保障基金安全防控机制，组织建设网络信息和智能监控平台，推进医疗保障基金支付方式改革，并组织实施。</w:t>
      </w:r>
    </w:p>
    <w:p w14:paraId="0B90E58D">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（三）组织制定全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城镇职工、城乡居民参保筹资和保障待遇政策，统筹城乡医疗保障政策标准，建立健全与筹资水平相适应的待遇调整机制。拟订长期护理保险制度方案及政策标准并组织实施。</w:t>
      </w:r>
    </w:p>
    <w:p w14:paraId="2636B99E">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（四）组织制定全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城乡统一的药品、医用耗材、医疗服务项目、医疗服务设施等医保支付标准，建立动态调整机制，并组织实施。</w:t>
      </w:r>
    </w:p>
    <w:p w14:paraId="2B460379">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（五）组织制定全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14:paraId="3FFE433A">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（六）制定全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药品、医用耗材的招标采购政策并监督实施，指导药品、医用耗材招标采购平台建设。</w:t>
      </w:r>
    </w:p>
    <w:p w14:paraId="54C2389E">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（七）制定全</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定点医药机构协议和支付管理办法并组织实施。建立健全医疗保障信用评价体系和信息披露制度，监督管理定点医药机构的医疗服务行为、医疗费用和医药价格，依法查处医疗保障领域违法违规行为。</w:t>
      </w:r>
    </w:p>
    <w:p w14:paraId="32EE0D88">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（八）负责医疗保障经办管理、公共服务体系和信息化建设。组织制定和完善异地就医管理和费用结算政策并组织实施。建立健全医疗保障关系转移接续制度。</w:t>
      </w:r>
    </w:p>
    <w:p w14:paraId="42BF7568">
      <w:pPr>
        <w:spacing w:line="500" w:lineRule="exact"/>
        <w:ind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（九）完成</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委、</w:t>
      </w:r>
      <w:r>
        <w:rPr>
          <w:rFonts w:hint="eastAsia" w:ascii="仿宋" w:hAnsi="仿宋" w:eastAsia="仿宋" w:cs="仿宋"/>
          <w:b w:val="0"/>
          <w:bCs w:val="0"/>
          <w:sz w:val="32"/>
          <w:szCs w:val="32"/>
          <w:lang w:eastAsia="zh-CN"/>
        </w:rPr>
        <w:t>区</w:t>
      </w:r>
      <w:r>
        <w:rPr>
          <w:rFonts w:hint="eastAsia" w:ascii="仿宋" w:hAnsi="仿宋" w:eastAsia="仿宋" w:cs="仿宋"/>
          <w:b w:val="0"/>
          <w:bCs w:val="0"/>
          <w:sz w:val="32"/>
          <w:szCs w:val="32"/>
        </w:rPr>
        <w:t>政府交办的其他任务。</w:t>
      </w:r>
    </w:p>
    <w:p w14:paraId="5431C625">
      <w:pPr>
        <w:autoSpaceDE w:val="0"/>
        <w:autoSpaceDN w:val="0"/>
        <w:adjustRightInd w:val="0"/>
        <w:ind w:left="198" w:firstLine="643" w:firstLineChars="200"/>
        <w:jc w:val="left"/>
        <w:rPr>
          <w:rFonts w:ascii="方正仿宋_GBK" w:hAnsi="Times New Roman" w:eastAsia="方正仿宋_GBK" w:cs="Times New Roman"/>
          <w:b/>
          <w:sz w:val="32"/>
          <w:szCs w:val="32"/>
        </w:rPr>
      </w:pPr>
    </w:p>
    <w:p w14:paraId="228D1E30">
      <w:pPr>
        <w:ind w:firstLine="640" w:firstLineChars="200"/>
        <w:rPr>
          <w:rFonts w:ascii="仿宋" w:hAnsi="仿宋" w:eastAsia="仿宋" w:cs="Times New Roman"/>
          <w:sz w:val="32"/>
          <w:szCs w:val="32"/>
        </w:rPr>
      </w:pPr>
      <w:r>
        <w:rPr>
          <w:rFonts w:hint="eastAsia" w:ascii="仿宋" w:hAnsi="仿宋" w:eastAsia="仿宋" w:cs="Times New Roman"/>
          <w:sz w:val="32"/>
          <w:szCs w:val="32"/>
          <w:lang w:eastAsia="zh-CN"/>
        </w:rPr>
        <w:t>石家庄市鹿泉区医疗保障局</w:t>
      </w:r>
      <w:r>
        <w:rPr>
          <w:rFonts w:hint="eastAsia" w:ascii="仿宋" w:hAnsi="仿宋" w:eastAsia="仿宋" w:cs="Times New Roman"/>
          <w:sz w:val="32"/>
          <w:szCs w:val="32"/>
        </w:rPr>
        <w:t>根据工作需要，设有</w:t>
      </w:r>
      <w:r>
        <w:rPr>
          <w:rFonts w:hint="eastAsia" w:ascii="仿宋" w:hAnsi="仿宋" w:eastAsia="仿宋" w:cs="Times New Roman"/>
          <w:sz w:val="32"/>
          <w:szCs w:val="32"/>
          <w:lang w:eastAsia="zh-CN"/>
        </w:rPr>
        <w:t>石家庄市鹿泉区医疗保险管理中心</w:t>
      </w:r>
      <w:r>
        <w:rPr>
          <w:rFonts w:hint="eastAsia" w:ascii="仿宋" w:hAnsi="仿宋" w:eastAsia="仿宋" w:cs="Times New Roman"/>
          <w:sz w:val="32"/>
          <w:szCs w:val="32"/>
        </w:rPr>
        <w:t>等办事机构和工作机构。</w:t>
      </w:r>
    </w:p>
    <w:p w14:paraId="0E424E5F">
      <w:pPr>
        <w:autoSpaceDE w:val="0"/>
        <w:autoSpaceDN w:val="0"/>
        <w:adjustRightInd w:val="0"/>
        <w:jc w:val="left"/>
        <w:rPr>
          <w:rFonts w:hint="eastAsia" w:ascii="方正仿宋_GBK" w:hAnsi="Times New Roman" w:eastAsia="方正仿宋_GBK" w:cs="Times New Roman"/>
          <w:b/>
          <w:sz w:val="32"/>
          <w:szCs w:val="32"/>
        </w:rPr>
      </w:pPr>
    </w:p>
    <w:p w14:paraId="7CE7436E">
      <w:pPr>
        <w:autoSpaceDE w:val="0"/>
        <w:autoSpaceDN w:val="0"/>
        <w:adjustRightInd w:val="0"/>
        <w:ind w:left="198" w:firstLine="643" w:firstLineChars="200"/>
        <w:jc w:val="left"/>
        <w:rPr>
          <w:rFonts w:ascii="方正仿宋_GBK" w:hAnsi="Times New Roman" w:eastAsia="方正仿宋_GBK" w:cs="Times New Roman"/>
          <w:b/>
          <w:sz w:val="32"/>
          <w:szCs w:val="32"/>
        </w:rPr>
      </w:pPr>
      <w:r>
        <w:rPr>
          <w:rFonts w:hint="eastAsia" w:ascii="方正仿宋_GBK" w:hAnsi="Times New Roman" w:eastAsia="方正仿宋_GBK" w:cs="Times New Roman"/>
          <w:b/>
          <w:sz w:val="32"/>
          <w:szCs w:val="32"/>
        </w:rPr>
        <w:t>机构设置：</w:t>
      </w:r>
    </w:p>
    <w:p w14:paraId="025F3C1A">
      <w:pPr>
        <w:jc w:val="center"/>
        <w:outlineLvl w:val="0"/>
        <w:rPr>
          <w:rFonts w:ascii="Times New Roman" w:hAnsi="Times New Roman" w:eastAsia="方正小标宋_GBK" w:cs="Times New Roman"/>
          <w:sz w:val="32"/>
          <w:szCs w:val="24"/>
        </w:rPr>
      </w:pPr>
      <w:r>
        <w:rPr>
          <w:rFonts w:ascii="Times New Roman" w:hAnsi="Times New Roman" w:eastAsia="方正小标宋_GBK" w:cs="Times New Roman"/>
          <w:sz w:val="32"/>
          <w:szCs w:val="24"/>
        </w:rPr>
        <w:t>部门</w:t>
      </w:r>
      <w:r>
        <w:rPr>
          <w:rFonts w:hint="eastAsia" w:ascii="Times New Roman" w:hAnsi="Times New Roman" w:eastAsia="方正小标宋_GBK" w:cs="Times New Roman"/>
          <w:sz w:val="32"/>
          <w:szCs w:val="24"/>
        </w:rPr>
        <w:t>机构设置情况</w:t>
      </w:r>
    </w:p>
    <w:tbl>
      <w:tblPr>
        <w:tblStyle w:val="8"/>
        <w:tblW w:w="978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59"/>
        <w:gridCol w:w="1134"/>
        <w:gridCol w:w="1276"/>
        <w:gridCol w:w="3013"/>
      </w:tblGrid>
      <w:tr w14:paraId="7C2B3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359" w:type="dxa"/>
            <w:vMerge w:val="restart"/>
            <w:shd w:val="clear" w:color="auto" w:fill="auto"/>
            <w:vAlign w:val="center"/>
          </w:tcPr>
          <w:p w14:paraId="7A62290F">
            <w:pPr>
              <w:spacing w:line="300" w:lineRule="exact"/>
              <w:jc w:val="center"/>
              <w:rPr>
                <w:rFonts w:ascii="方正书宋_GBK" w:eastAsia="方正书宋_GBK"/>
                <w:b/>
              </w:rPr>
            </w:pPr>
            <w:r>
              <w:rPr>
                <w:rFonts w:hint="eastAsia" w:ascii="方正书宋_GBK" w:eastAsia="方正书宋_GBK"/>
                <w:b/>
              </w:rPr>
              <w:t>单位名称</w:t>
            </w:r>
          </w:p>
        </w:tc>
        <w:tc>
          <w:tcPr>
            <w:tcW w:w="1134" w:type="dxa"/>
            <w:vMerge w:val="restart"/>
            <w:shd w:val="clear" w:color="auto" w:fill="auto"/>
            <w:vAlign w:val="center"/>
          </w:tcPr>
          <w:p w14:paraId="1EBFEEDC">
            <w:pPr>
              <w:spacing w:line="300" w:lineRule="exact"/>
              <w:jc w:val="center"/>
              <w:rPr>
                <w:rFonts w:ascii="方正书宋_GBK" w:eastAsia="方正书宋_GBK"/>
                <w:b/>
              </w:rPr>
            </w:pPr>
            <w:r>
              <w:rPr>
                <w:rFonts w:hint="eastAsia" w:ascii="方正书宋_GBK" w:eastAsia="方正书宋_GBK"/>
                <w:b/>
              </w:rPr>
              <w:t>单位性质</w:t>
            </w:r>
          </w:p>
        </w:tc>
        <w:tc>
          <w:tcPr>
            <w:tcW w:w="1276" w:type="dxa"/>
            <w:vMerge w:val="restart"/>
            <w:shd w:val="clear" w:color="auto" w:fill="auto"/>
            <w:vAlign w:val="center"/>
          </w:tcPr>
          <w:p w14:paraId="13EF787B">
            <w:pPr>
              <w:spacing w:line="300" w:lineRule="exact"/>
              <w:jc w:val="center"/>
              <w:rPr>
                <w:rFonts w:ascii="方正书宋_GBK" w:eastAsia="方正书宋_GBK"/>
                <w:b/>
              </w:rPr>
            </w:pPr>
            <w:r>
              <w:rPr>
                <w:rFonts w:hint="eastAsia" w:ascii="方正书宋_GBK" w:eastAsia="方正书宋_GBK"/>
                <w:b/>
              </w:rPr>
              <w:t>单位规格</w:t>
            </w:r>
          </w:p>
        </w:tc>
        <w:tc>
          <w:tcPr>
            <w:tcW w:w="3013" w:type="dxa"/>
            <w:vMerge w:val="restart"/>
            <w:shd w:val="clear" w:color="auto" w:fill="auto"/>
            <w:vAlign w:val="center"/>
          </w:tcPr>
          <w:p w14:paraId="39774751">
            <w:pPr>
              <w:spacing w:line="300" w:lineRule="exact"/>
              <w:jc w:val="center"/>
              <w:rPr>
                <w:rFonts w:ascii="方正书宋_GBK" w:eastAsia="方正书宋_GBK"/>
                <w:b/>
              </w:rPr>
            </w:pPr>
            <w:r>
              <w:rPr>
                <w:rFonts w:hint="eastAsia" w:ascii="方正书宋_GBK" w:eastAsia="方正书宋_GBK"/>
                <w:b/>
              </w:rPr>
              <w:t>经费保障形式</w:t>
            </w:r>
          </w:p>
        </w:tc>
      </w:tr>
      <w:tr w14:paraId="55FF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359" w:type="dxa"/>
            <w:vMerge w:val="continue"/>
            <w:shd w:val="clear" w:color="auto" w:fill="auto"/>
            <w:vAlign w:val="center"/>
          </w:tcPr>
          <w:p w14:paraId="5973F180">
            <w:pPr>
              <w:spacing w:line="300" w:lineRule="exact"/>
              <w:jc w:val="left"/>
              <w:outlineLvl w:val="0"/>
            </w:pPr>
          </w:p>
        </w:tc>
        <w:tc>
          <w:tcPr>
            <w:tcW w:w="1134" w:type="dxa"/>
            <w:vMerge w:val="continue"/>
            <w:shd w:val="clear" w:color="auto" w:fill="auto"/>
            <w:vAlign w:val="center"/>
          </w:tcPr>
          <w:p w14:paraId="5CC84485">
            <w:pPr>
              <w:spacing w:line="300" w:lineRule="exact"/>
              <w:jc w:val="left"/>
              <w:outlineLvl w:val="0"/>
            </w:pPr>
          </w:p>
        </w:tc>
        <w:tc>
          <w:tcPr>
            <w:tcW w:w="1276" w:type="dxa"/>
            <w:vMerge w:val="continue"/>
            <w:shd w:val="clear" w:color="auto" w:fill="auto"/>
            <w:vAlign w:val="center"/>
          </w:tcPr>
          <w:p w14:paraId="4EFA8BB1">
            <w:pPr>
              <w:spacing w:line="300" w:lineRule="exact"/>
              <w:jc w:val="left"/>
              <w:outlineLvl w:val="0"/>
            </w:pPr>
          </w:p>
        </w:tc>
        <w:tc>
          <w:tcPr>
            <w:tcW w:w="3013" w:type="dxa"/>
            <w:vMerge w:val="continue"/>
            <w:shd w:val="clear" w:color="auto" w:fill="auto"/>
            <w:vAlign w:val="center"/>
          </w:tcPr>
          <w:p w14:paraId="65144BC1">
            <w:pPr>
              <w:spacing w:line="300" w:lineRule="exact"/>
              <w:jc w:val="left"/>
              <w:outlineLvl w:val="0"/>
            </w:pPr>
          </w:p>
        </w:tc>
      </w:tr>
      <w:tr w14:paraId="21889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359" w:type="dxa"/>
            <w:shd w:val="clear" w:color="auto" w:fill="auto"/>
            <w:vAlign w:val="center"/>
          </w:tcPr>
          <w:p w14:paraId="10D753DD">
            <w:pPr>
              <w:spacing w:line="300" w:lineRule="exact"/>
              <w:jc w:val="center"/>
              <w:rPr>
                <w:rFonts w:ascii="方正书宋_GBK" w:eastAsia="方正书宋_GBK"/>
                <w:b/>
              </w:rPr>
            </w:pPr>
            <w:r>
              <w:rPr>
                <w:rFonts w:hint="eastAsia" w:ascii="方正书宋_GBK" w:eastAsia="方正书宋_GBK"/>
                <w:b/>
              </w:rPr>
              <w:t>合    计</w:t>
            </w:r>
          </w:p>
        </w:tc>
        <w:tc>
          <w:tcPr>
            <w:tcW w:w="1134" w:type="dxa"/>
            <w:shd w:val="clear" w:color="auto" w:fill="auto"/>
            <w:vAlign w:val="center"/>
          </w:tcPr>
          <w:p w14:paraId="2126E4CA">
            <w:pPr>
              <w:spacing w:line="300" w:lineRule="exact"/>
              <w:jc w:val="center"/>
              <w:rPr>
                <w:rFonts w:ascii="方正书宋_GBK" w:eastAsia="方正书宋_GBK"/>
                <w:b/>
              </w:rPr>
            </w:pPr>
          </w:p>
        </w:tc>
        <w:tc>
          <w:tcPr>
            <w:tcW w:w="1276" w:type="dxa"/>
            <w:shd w:val="clear" w:color="auto" w:fill="auto"/>
            <w:vAlign w:val="center"/>
          </w:tcPr>
          <w:p w14:paraId="451D721C">
            <w:pPr>
              <w:spacing w:line="300" w:lineRule="exact"/>
              <w:jc w:val="center"/>
              <w:rPr>
                <w:rFonts w:ascii="方正书宋_GBK" w:eastAsia="方正书宋_GBK"/>
                <w:b/>
              </w:rPr>
            </w:pPr>
          </w:p>
        </w:tc>
        <w:tc>
          <w:tcPr>
            <w:tcW w:w="3013" w:type="dxa"/>
            <w:shd w:val="clear" w:color="auto" w:fill="auto"/>
            <w:vAlign w:val="center"/>
          </w:tcPr>
          <w:p w14:paraId="3CF27FFA">
            <w:pPr>
              <w:spacing w:line="300" w:lineRule="exact"/>
              <w:jc w:val="center"/>
              <w:rPr>
                <w:rFonts w:ascii="方正书宋_GBK" w:eastAsia="方正书宋_GBK"/>
                <w:b/>
              </w:rPr>
            </w:pPr>
          </w:p>
        </w:tc>
      </w:tr>
      <w:tr w14:paraId="6445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359" w:type="dxa"/>
            <w:shd w:val="clear" w:color="auto" w:fill="auto"/>
            <w:vAlign w:val="center"/>
          </w:tcPr>
          <w:p w14:paraId="546BD740">
            <w:pPr>
              <w:spacing w:line="300" w:lineRule="exact"/>
              <w:jc w:val="left"/>
              <w:rPr>
                <w:rFonts w:hint="eastAsia" w:ascii="方正书宋_GBK" w:eastAsia="方正书宋_GBK"/>
                <w:lang w:eastAsia="zh-CN"/>
              </w:rPr>
            </w:pPr>
            <w:r>
              <w:rPr>
                <w:rFonts w:hint="eastAsia" w:ascii="方正书宋_GBK" w:eastAsia="方正书宋_GBK"/>
                <w:lang w:eastAsia="zh-CN"/>
              </w:rPr>
              <w:t>石家庄市鹿泉区医疗保障局</w:t>
            </w:r>
          </w:p>
        </w:tc>
        <w:tc>
          <w:tcPr>
            <w:tcW w:w="1134" w:type="dxa"/>
            <w:shd w:val="clear" w:color="auto" w:fill="auto"/>
            <w:vAlign w:val="center"/>
          </w:tcPr>
          <w:p w14:paraId="1AC9394F">
            <w:pPr>
              <w:spacing w:line="300" w:lineRule="exact"/>
              <w:jc w:val="center"/>
              <w:rPr>
                <w:rFonts w:ascii="方正书宋_GBK" w:eastAsia="方正书宋_GBK"/>
              </w:rPr>
            </w:pPr>
            <w:r>
              <w:rPr>
                <w:rFonts w:hint="eastAsia" w:ascii="方正书宋_GBK" w:eastAsia="方正书宋_GBK"/>
              </w:rPr>
              <w:t>行政</w:t>
            </w:r>
          </w:p>
        </w:tc>
        <w:tc>
          <w:tcPr>
            <w:tcW w:w="1276" w:type="dxa"/>
            <w:shd w:val="clear" w:color="auto" w:fill="auto"/>
            <w:vAlign w:val="center"/>
          </w:tcPr>
          <w:p w14:paraId="61B73803">
            <w:pPr>
              <w:spacing w:line="300" w:lineRule="exact"/>
              <w:jc w:val="center"/>
              <w:rPr>
                <w:rFonts w:hint="eastAsia" w:ascii="方正书宋_GBK" w:eastAsia="方正书宋_GBK"/>
                <w:lang w:eastAsia="zh-CN"/>
              </w:rPr>
            </w:pPr>
            <w:r>
              <w:rPr>
                <w:rFonts w:hint="eastAsia" w:ascii="方正书宋_GBK" w:eastAsia="方正书宋_GBK"/>
                <w:lang w:eastAsia="zh-CN"/>
              </w:rPr>
              <w:t>正科级</w:t>
            </w:r>
          </w:p>
        </w:tc>
        <w:tc>
          <w:tcPr>
            <w:tcW w:w="3013" w:type="dxa"/>
            <w:shd w:val="clear" w:color="auto" w:fill="auto"/>
            <w:vAlign w:val="center"/>
          </w:tcPr>
          <w:p w14:paraId="5CAF265D">
            <w:pPr>
              <w:spacing w:line="300" w:lineRule="exact"/>
              <w:jc w:val="center"/>
              <w:rPr>
                <w:rFonts w:ascii="方正书宋_GBK" w:eastAsia="方正书宋_GBK"/>
              </w:rPr>
            </w:pPr>
            <w:r>
              <w:rPr>
                <w:rFonts w:hint="eastAsia" w:ascii="方正书宋_GBK" w:eastAsia="方正书宋_GBK"/>
              </w:rPr>
              <w:t>财政拨款</w:t>
            </w:r>
          </w:p>
        </w:tc>
      </w:tr>
      <w:tr w14:paraId="6ECF3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359" w:type="dxa"/>
            <w:shd w:val="clear" w:color="auto" w:fill="auto"/>
            <w:vAlign w:val="center"/>
          </w:tcPr>
          <w:p w14:paraId="7D300A13">
            <w:pPr>
              <w:spacing w:line="300" w:lineRule="exact"/>
              <w:jc w:val="left"/>
              <w:rPr>
                <w:rFonts w:hint="eastAsia" w:ascii="方正书宋_GBK" w:eastAsia="方正书宋_GBK"/>
                <w:lang w:eastAsia="zh-CN"/>
              </w:rPr>
            </w:pPr>
            <w:r>
              <w:rPr>
                <w:rFonts w:hint="eastAsia" w:ascii="方正书宋_GBK" w:eastAsia="方正书宋_GBK"/>
                <w:lang w:eastAsia="zh-CN"/>
              </w:rPr>
              <w:t>石家庄市鹿泉区医疗保险管理中心</w:t>
            </w:r>
          </w:p>
        </w:tc>
        <w:tc>
          <w:tcPr>
            <w:tcW w:w="1134" w:type="dxa"/>
            <w:shd w:val="clear" w:color="auto" w:fill="auto"/>
            <w:vAlign w:val="center"/>
          </w:tcPr>
          <w:p w14:paraId="002DE307">
            <w:pPr>
              <w:spacing w:line="300" w:lineRule="exact"/>
              <w:jc w:val="center"/>
              <w:rPr>
                <w:rFonts w:ascii="方正书宋_GBK" w:eastAsia="方正书宋_GBK"/>
              </w:rPr>
            </w:pPr>
            <w:r>
              <w:rPr>
                <w:rFonts w:hint="eastAsia" w:ascii="方正书宋_GBK" w:eastAsia="方正书宋_GBK"/>
              </w:rPr>
              <w:t>事业</w:t>
            </w:r>
          </w:p>
        </w:tc>
        <w:tc>
          <w:tcPr>
            <w:tcW w:w="1276" w:type="dxa"/>
            <w:shd w:val="clear" w:color="auto" w:fill="auto"/>
            <w:vAlign w:val="center"/>
          </w:tcPr>
          <w:p w14:paraId="3D68053F">
            <w:pPr>
              <w:spacing w:line="300" w:lineRule="exact"/>
              <w:jc w:val="center"/>
              <w:rPr>
                <w:rFonts w:hint="eastAsia" w:ascii="方正书宋_GBK" w:eastAsia="方正书宋_GBK"/>
                <w:lang w:eastAsia="zh-CN"/>
              </w:rPr>
            </w:pPr>
            <w:r>
              <w:rPr>
                <w:rFonts w:hint="eastAsia" w:ascii="方正书宋_GBK" w:eastAsia="方正书宋_GBK"/>
                <w:lang w:eastAsia="zh-CN"/>
              </w:rPr>
              <w:t>副科级</w:t>
            </w:r>
          </w:p>
        </w:tc>
        <w:tc>
          <w:tcPr>
            <w:tcW w:w="3013" w:type="dxa"/>
            <w:shd w:val="clear" w:color="auto" w:fill="auto"/>
            <w:vAlign w:val="center"/>
          </w:tcPr>
          <w:p w14:paraId="7903B82E">
            <w:pPr>
              <w:spacing w:line="300" w:lineRule="exact"/>
              <w:jc w:val="center"/>
              <w:rPr>
                <w:rFonts w:ascii="方正书宋_GBK" w:eastAsia="方正书宋_GBK"/>
              </w:rPr>
            </w:pPr>
            <w:r>
              <w:rPr>
                <w:rFonts w:hint="eastAsia" w:ascii="方正书宋_GBK" w:eastAsia="方正书宋_GBK"/>
              </w:rPr>
              <w:t>财政性资金基本保证</w:t>
            </w:r>
          </w:p>
        </w:tc>
      </w:tr>
    </w:tbl>
    <w:p w14:paraId="7388F9AB">
      <w:pPr>
        <w:ind w:firstLine="640"/>
        <w:rPr>
          <w:rFonts w:ascii="黑体" w:hAnsi="黑体" w:eastAsia="黑体" w:cs="Times New Roman"/>
          <w:sz w:val="32"/>
          <w:szCs w:val="32"/>
        </w:rPr>
      </w:pPr>
      <w:r>
        <w:rPr>
          <w:rFonts w:hint="eastAsia" w:ascii="黑体" w:hAnsi="黑体" w:eastAsia="黑体" w:cs="Times New Roman"/>
          <w:sz w:val="32"/>
          <w:szCs w:val="32"/>
        </w:rPr>
        <w:t>二、部门预算安排的总体情况</w:t>
      </w:r>
    </w:p>
    <w:p w14:paraId="03442DA8">
      <w:pPr>
        <w:ind w:firstLine="640" w:firstLineChars="200"/>
        <w:rPr>
          <w:rFonts w:hint="eastAsia" w:ascii="仿宋" w:hAnsi="仿宋" w:eastAsia="仿宋" w:cs="仿宋"/>
          <w:sz w:val="32"/>
          <w:szCs w:val="32"/>
        </w:rPr>
      </w:pPr>
      <w:r>
        <w:rPr>
          <w:rFonts w:hint="eastAsia" w:ascii="仿宋" w:hAnsi="仿宋" w:eastAsia="仿宋" w:cs="仿宋"/>
          <w:sz w:val="32"/>
          <w:szCs w:val="32"/>
        </w:rPr>
        <w:t>按照预算管理有关规定，目前我省部门预算的编制实行综合预算管理，即全部收入和支出都反映在预算中。</w:t>
      </w:r>
      <w:r>
        <w:rPr>
          <w:rFonts w:hint="eastAsia" w:ascii="仿宋" w:hAnsi="仿宋" w:eastAsia="仿宋" w:cs="仿宋"/>
          <w:sz w:val="32"/>
          <w:szCs w:val="32"/>
          <w:lang w:eastAsia="zh-CN"/>
        </w:rPr>
        <w:t>石家庄市鹿泉区医疗保障局</w:t>
      </w:r>
      <w:r>
        <w:rPr>
          <w:rFonts w:hint="eastAsia" w:ascii="仿宋" w:hAnsi="仿宋" w:eastAsia="仿宋" w:cs="仿宋"/>
          <w:sz w:val="32"/>
          <w:szCs w:val="32"/>
        </w:rPr>
        <w:t>及所属事业单位的收支包含在部门预算中。</w:t>
      </w:r>
    </w:p>
    <w:p w14:paraId="5F5FEBD9">
      <w:pPr>
        <w:ind w:firstLine="640" w:firstLineChars="200"/>
        <w:rPr>
          <w:rFonts w:hint="eastAsia" w:ascii="仿宋" w:hAnsi="仿宋" w:eastAsia="仿宋" w:cs="仿宋"/>
          <w:sz w:val="32"/>
          <w:szCs w:val="32"/>
        </w:rPr>
      </w:pPr>
      <w:r>
        <w:rPr>
          <w:rFonts w:hint="eastAsia" w:ascii="仿宋" w:hAnsi="仿宋" w:eastAsia="仿宋" w:cs="仿宋"/>
          <w:sz w:val="32"/>
          <w:szCs w:val="32"/>
        </w:rPr>
        <w:t>1、收入说明</w:t>
      </w:r>
    </w:p>
    <w:p w14:paraId="5D9F54B5">
      <w:pPr>
        <w:ind w:firstLine="640" w:firstLineChars="200"/>
        <w:rPr>
          <w:rFonts w:hint="eastAsia" w:ascii="仿宋" w:hAnsi="仿宋" w:eastAsia="仿宋" w:cs="仿宋"/>
          <w:sz w:val="32"/>
          <w:szCs w:val="32"/>
        </w:rPr>
      </w:pPr>
      <w:r>
        <w:rPr>
          <w:rFonts w:hint="eastAsia" w:ascii="仿宋" w:hAnsi="仿宋" w:eastAsia="仿宋" w:cs="仿宋"/>
          <w:sz w:val="32"/>
          <w:szCs w:val="32"/>
        </w:rPr>
        <w:t>反映本部门当年全部收入。2019年预算收入</w:t>
      </w:r>
      <w:r>
        <w:rPr>
          <w:rFonts w:hint="eastAsia" w:ascii="仿宋" w:hAnsi="仿宋" w:eastAsia="仿宋" w:cs="仿宋"/>
          <w:sz w:val="32"/>
          <w:szCs w:val="32"/>
          <w:lang w:val="en-US" w:eastAsia="zh-CN"/>
        </w:rPr>
        <w:t>6966.72</w:t>
      </w:r>
      <w:r>
        <w:rPr>
          <w:rFonts w:hint="eastAsia" w:ascii="仿宋" w:hAnsi="仿宋" w:eastAsia="仿宋" w:cs="仿宋"/>
          <w:sz w:val="32"/>
          <w:szCs w:val="32"/>
        </w:rPr>
        <w:t>万元，其中：一般公共预算收入</w:t>
      </w:r>
      <w:r>
        <w:rPr>
          <w:rFonts w:hint="eastAsia" w:ascii="仿宋" w:hAnsi="仿宋" w:eastAsia="仿宋" w:cs="仿宋"/>
          <w:sz w:val="32"/>
          <w:szCs w:val="32"/>
          <w:lang w:val="en-US" w:eastAsia="zh-CN"/>
        </w:rPr>
        <w:t>6966.72</w:t>
      </w:r>
      <w:r>
        <w:rPr>
          <w:rFonts w:hint="eastAsia" w:ascii="仿宋" w:hAnsi="仿宋" w:eastAsia="仿宋" w:cs="仿宋"/>
          <w:sz w:val="32"/>
          <w:szCs w:val="32"/>
        </w:rPr>
        <w:t>万元，基金预算收入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万元，财政专户核拨收入0万元，其他来源收入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739A6545">
      <w:pPr>
        <w:ind w:firstLine="640" w:firstLineChars="200"/>
        <w:rPr>
          <w:rFonts w:hint="eastAsia" w:ascii="仿宋" w:hAnsi="仿宋" w:eastAsia="仿宋" w:cs="仿宋"/>
          <w:sz w:val="32"/>
          <w:szCs w:val="32"/>
        </w:rPr>
      </w:pPr>
      <w:r>
        <w:rPr>
          <w:rFonts w:hint="eastAsia" w:ascii="仿宋" w:hAnsi="仿宋" w:eastAsia="仿宋" w:cs="仿宋"/>
          <w:sz w:val="32"/>
          <w:szCs w:val="32"/>
        </w:rPr>
        <w:t>2、支出说明</w:t>
      </w:r>
    </w:p>
    <w:p w14:paraId="58859E7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收支预算总表支出栏、基本支出表、项目支出表按经济分类和支出功能分类科目编制，反映</w:t>
      </w:r>
      <w:r>
        <w:rPr>
          <w:rFonts w:hint="eastAsia" w:ascii="仿宋" w:hAnsi="仿宋" w:eastAsia="仿宋" w:cs="仿宋"/>
          <w:sz w:val="32"/>
          <w:szCs w:val="32"/>
          <w:lang w:eastAsia="zh-CN"/>
        </w:rPr>
        <w:t>石家庄市鹿泉区医疗保障局</w:t>
      </w:r>
      <w:r>
        <w:rPr>
          <w:rFonts w:hint="eastAsia" w:ascii="仿宋" w:hAnsi="仿宋" w:eastAsia="仿宋" w:cs="仿宋"/>
          <w:sz w:val="32"/>
          <w:szCs w:val="32"/>
        </w:rPr>
        <w:t>年度部门预算中支出预算的总体情况。2019年支出预算</w:t>
      </w:r>
      <w:r>
        <w:rPr>
          <w:rFonts w:hint="eastAsia" w:ascii="仿宋" w:hAnsi="仿宋" w:eastAsia="仿宋" w:cs="仿宋"/>
          <w:sz w:val="32"/>
          <w:szCs w:val="32"/>
          <w:lang w:val="en-US" w:eastAsia="zh-CN"/>
        </w:rPr>
        <w:t>6966.72</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426.39</w:t>
      </w:r>
      <w:r>
        <w:rPr>
          <w:rFonts w:hint="eastAsia" w:ascii="仿宋" w:hAnsi="仿宋" w:eastAsia="仿宋" w:cs="仿宋"/>
          <w:sz w:val="32"/>
          <w:szCs w:val="32"/>
        </w:rPr>
        <w:t>万元，包括人员经费</w:t>
      </w:r>
      <w:r>
        <w:rPr>
          <w:rFonts w:hint="eastAsia" w:ascii="仿宋" w:hAnsi="仿宋" w:eastAsia="仿宋" w:cs="仿宋"/>
          <w:sz w:val="32"/>
          <w:szCs w:val="32"/>
          <w:lang w:val="en-US" w:eastAsia="zh-CN"/>
        </w:rPr>
        <w:t>354</w:t>
      </w:r>
      <w:r>
        <w:rPr>
          <w:rFonts w:hint="eastAsia" w:ascii="仿宋" w:hAnsi="仿宋" w:eastAsia="仿宋" w:cs="仿宋"/>
          <w:sz w:val="32"/>
          <w:szCs w:val="32"/>
        </w:rPr>
        <w:t>万元和日常公用经费</w:t>
      </w:r>
      <w:r>
        <w:rPr>
          <w:rFonts w:hint="eastAsia" w:ascii="仿宋" w:hAnsi="仿宋" w:eastAsia="仿宋" w:cs="仿宋"/>
          <w:sz w:val="32"/>
          <w:szCs w:val="32"/>
          <w:lang w:val="en-US" w:eastAsia="zh-CN"/>
        </w:rPr>
        <w:t>72.39</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6540.33</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3B119C71">
      <w:pPr>
        <w:numPr>
          <w:ilvl w:val="0"/>
          <w:numId w:val="1"/>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比上年增减情况</w:t>
      </w:r>
    </w:p>
    <w:p w14:paraId="60E4FEAD">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因石家庄市鹿泉区医疗保障局为机构改革完成后2019年新成立单位，故2018年无相关数据。</w:t>
      </w:r>
    </w:p>
    <w:p w14:paraId="1408DEFF">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三、机关运行经费安排情况</w:t>
      </w:r>
    </w:p>
    <w:p w14:paraId="16A08717">
      <w:pPr>
        <w:ind w:firstLine="640" w:firstLineChars="200"/>
        <w:rPr>
          <w:rFonts w:hint="eastAsia" w:ascii="仿宋" w:hAnsi="仿宋" w:eastAsia="仿宋" w:cs="仿宋"/>
          <w:sz w:val="32"/>
          <w:szCs w:val="32"/>
        </w:rPr>
      </w:pPr>
      <w:r>
        <w:rPr>
          <w:rFonts w:hint="eastAsia" w:ascii="仿宋" w:hAnsi="仿宋" w:eastAsia="仿宋" w:cs="仿宋"/>
          <w:sz w:val="32"/>
          <w:szCs w:val="32"/>
        </w:rPr>
        <w:t>2019年，</w:t>
      </w:r>
      <w:r>
        <w:rPr>
          <w:rFonts w:hint="eastAsia" w:ascii="仿宋" w:hAnsi="仿宋" w:eastAsia="仿宋" w:cs="仿宋"/>
          <w:sz w:val="32"/>
          <w:szCs w:val="32"/>
          <w:highlight w:val="none"/>
          <w:lang w:eastAsia="zh-CN"/>
        </w:rPr>
        <w:t>石家庄市鹿泉区医疗保障局</w:t>
      </w:r>
      <w:r>
        <w:rPr>
          <w:rFonts w:hint="eastAsia" w:ascii="仿宋" w:hAnsi="仿宋" w:eastAsia="仿宋" w:cs="仿宋"/>
          <w:sz w:val="32"/>
          <w:szCs w:val="32"/>
        </w:rPr>
        <w:t>运行经费共计安排</w:t>
      </w:r>
      <w:r>
        <w:rPr>
          <w:rFonts w:hint="eastAsia" w:ascii="仿宋" w:hAnsi="仿宋" w:eastAsia="仿宋" w:cs="仿宋"/>
          <w:sz w:val="32"/>
          <w:szCs w:val="32"/>
          <w:lang w:val="en-US" w:eastAsia="zh-CN"/>
        </w:rPr>
        <w:t>72.39</w:t>
      </w:r>
      <w:r>
        <w:rPr>
          <w:rFonts w:hint="eastAsia" w:ascii="仿宋" w:hAnsi="仿宋" w:eastAsia="仿宋" w:cs="仿宋"/>
          <w:sz w:val="32"/>
          <w:szCs w:val="32"/>
        </w:rPr>
        <w:t>万元，主要用于日常</w:t>
      </w:r>
      <w:r>
        <w:rPr>
          <w:rFonts w:hint="eastAsia" w:ascii="仿宋" w:hAnsi="仿宋" w:eastAsia="仿宋" w:cs="仿宋"/>
          <w:sz w:val="32"/>
          <w:szCs w:val="32"/>
          <w:lang w:eastAsia="zh-CN"/>
        </w:rPr>
        <w:t>办公</w:t>
      </w:r>
      <w:r>
        <w:rPr>
          <w:rFonts w:hint="eastAsia" w:ascii="仿宋" w:hAnsi="仿宋" w:eastAsia="仿宋" w:cs="仿宋"/>
          <w:sz w:val="32"/>
          <w:szCs w:val="32"/>
        </w:rPr>
        <w:t>、办公用房水电费、办公用房取暖费等日常运行支出。</w:t>
      </w:r>
    </w:p>
    <w:p w14:paraId="101D007F">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四、财政拨款</w:t>
      </w:r>
      <w:r>
        <w:rPr>
          <w:rFonts w:ascii="黑体" w:hAnsi="黑体" w:eastAsia="黑体" w:cs="Times New Roman"/>
          <w:sz w:val="32"/>
          <w:szCs w:val="32"/>
        </w:rPr>
        <w:t>“</w:t>
      </w:r>
      <w:r>
        <w:rPr>
          <w:rFonts w:hint="eastAsia" w:ascii="黑体" w:hAnsi="黑体" w:eastAsia="黑体" w:cs="Times New Roman"/>
          <w:sz w:val="32"/>
          <w:szCs w:val="32"/>
        </w:rPr>
        <w:t>三公</w:t>
      </w:r>
      <w:r>
        <w:rPr>
          <w:rFonts w:ascii="黑体" w:hAnsi="黑体" w:eastAsia="黑体" w:cs="Times New Roman"/>
          <w:sz w:val="32"/>
          <w:szCs w:val="32"/>
        </w:rPr>
        <w:t>”</w:t>
      </w:r>
      <w:r>
        <w:rPr>
          <w:rFonts w:hint="eastAsia" w:ascii="黑体" w:hAnsi="黑体" w:eastAsia="黑体" w:cs="Times New Roman"/>
          <w:sz w:val="32"/>
          <w:szCs w:val="32"/>
        </w:rPr>
        <w:t>经费预算情况及增减变化原因</w:t>
      </w:r>
    </w:p>
    <w:p w14:paraId="6A4D781B">
      <w:pPr>
        <w:ind w:firstLine="640" w:firstLineChars="200"/>
        <w:rPr>
          <w:rFonts w:hint="eastAsia" w:ascii="仿宋" w:hAnsi="仿宋" w:eastAsia="仿宋" w:cs="仿宋"/>
          <w:sz w:val="32"/>
          <w:szCs w:val="32"/>
        </w:rPr>
      </w:pPr>
      <w:r>
        <w:rPr>
          <w:rFonts w:hint="eastAsia" w:ascii="仿宋" w:hAnsi="仿宋" w:eastAsia="仿宋" w:cs="仿宋"/>
          <w:sz w:val="32"/>
          <w:szCs w:val="32"/>
        </w:rPr>
        <w:t>2019年，</w:t>
      </w:r>
      <w:r>
        <w:rPr>
          <w:rFonts w:hint="eastAsia" w:ascii="仿宋" w:hAnsi="仿宋" w:eastAsia="仿宋" w:cs="仿宋"/>
          <w:sz w:val="32"/>
          <w:szCs w:val="32"/>
          <w:highlight w:val="none"/>
          <w:lang w:eastAsia="zh-CN"/>
        </w:rPr>
        <w:t>石家庄市鹿泉区医疗保障局财政</w:t>
      </w:r>
      <w:r>
        <w:rPr>
          <w:rFonts w:hint="eastAsia" w:ascii="仿宋" w:hAnsi="仿宋" w:eastAsia="仿宋" w:cs="仿宋"/>
          <w:sz w:val="32"/>
          <w:szCs w:val="32"/>
        </w:rPr>
        <w:t>拨款“三公”经费预算安排</w:t>
      </w:r>
      <w:r>
        <w:rPr>
          <w:rFonts w:hint="eastAsia" w:ascii="仿宋" w:hAnsi="仿宋" w:eastAsia="仿宋" w:cs="仿宋"/>
          <w:sz w:val="32"/>
          <w:szCs w:val="32"/>
          <w:lang w:val="en-US" w:eastAsia="zh-CN"/>
        </w:rPr>
        <w:t>2.7</w:t>
      </w:r>
      <w:r>
        <w:rPr>
          <w:rFonts w:hint="eastAsia" w:ascii="仿宋" w:hAnsi="仿宋" w:eastAsia="仿宋" w:cs="仿宋"/>
          <w:sz w:val="32"/>
          <w:szCs w:val="32"/>
        </w:rPr>
        <w:t>万元，其中因公出国（境）费</w:t>
      </w:r>
      <w:r>
        <w:rPr>
          <w:rFonts w:hint="eastAsia" w:ascii="仿宋" w:hAnsi="仿宋" w:eastAsia="仿宋" w:cs="仿宋"/>
          <w:sz w:val="32"/>
          <w:szCs w:val="32"/>
          <w:lang w:val="en-US" w:eastAsia="zh-CN"/>
        </w:rPr>
        <w:t>0</w:t>
      </w:r>
      <w:r>
        <w:rPr>
          <w:rFonts w:hint="eastAsia" w:ascii="仿宋" w:hAnsi="仿宋" w:eastAsia="仿宋" w:cs="仿宋"/>
          <w:sz w:val="32"/>
          <w:szCs w:val="32"/>
        </w:rPr>
        <w:t>万元；公务用车购置及运维费</w:t>
      </w:r>
      <w:r>
        <w:rPr>
          <w:rFonts w:hint="eastAsia" w:ascii="仿宋" w:hAnsi="仿宋" w:eastAsia="仿宋" w:cs="仿宋"/>
          <w:sz w:val="32"/>
          <w:szCs w:val="32"/>
          <w:lang w:val="en-US" w:eastAsia="zh-CN"/>
        </w:rPr>
        <w:t>2.7</w:t>
      </w:r>
      <w:r>
        <w:rPr>
          <w:rFonts w:hint="eastAsia" w:ascii="仿宋" w:hAnsi="仿宋" w:eastAsia="仿宋" w:cs="仿宋"/>
          <w:sz w:val="32"/>
          <w:szCs w:val="32"/>
        </w:rPr>
        <w:t>万元（其中：公务用车购置费为</w:t>
      </w:r>
      <w:r>
        <w:rPr>
          <w:rFonts w:hint="eastAsia" w:ascii="仿宋" w:hAnsi="仿宋" w:eastAsia="仿宋" w:cs="仿宋"/>
          <w:sz w:val="32"/>
          <w:szCs w:val="32"/>
          <w:lang w:val="en-US" w:eastAsia="zh-CN"/>
        </w:rPr>
        <w:t>0</w:t>
      </w:r>
      <w:r>
        <w:rPr>
          <w:rFonts w:hint="eastAsia" w:ascii="仿宋" w:hAnsi="仿宋" w:eastAsia="仿宋" w:cs="仿宋"/>
          <w:sz w:val="32"/>
          <w:szCs w:val="32"/>
        </w:rPr>
        <w:t>万元，公务用车运维费</w:t>
      </w:r>
      <w:r>
        <w:rPr>
          <w:rFonts w:hint="eastAsia" w:ascii="仿宋" w:hAnsi="仿宋" w:eastAsia="仿宋" w:cs="仿宋"/>
          <w:sz w:val="32"/>
          <w:szCs w:val="32"/>
          <w:lang w:val="en-US" w:eastAsia="zh-CN"/>
        </w:rPr>
        <w:t>2.7</w:t>
      </w:r>
      <w:r>
        <w:rPr>
          <w:rFonts w:hint="eastAsia" w:ascii="仿宋" w:hAnsi="仿宋" w:eastAsia="仿宋" w:cs="仿宋"/>
          <w:sz w:val="32"/>
          <w:szCs w:val="32"/>
        </w:rPr>
        <w:t>万元)；公务接待费</w:t>
      </w:r>
      <w:r>
        <w:rPr>
          <w:rFonts w:hint="eastAsia" w:ascii="仿宋" w:hAnsi="仿宋" w:eastAsia="仿宋" w:cs="仿宋"/>
          <w:sz w:val="32"/>
          <w:szCs w:val="32"/>
          <w:lang w:val="en-US" w:eastAsia="zh-CN"/>
        </w:rPr>
        <w:t>0</w:t>
      </w:r>
      <w:r>
        <w:rPr>
          <w:rFonts w:hint="eastAsia" w:ascii="仿宋" w:hAnsi="仿宋" w:eastAsia="仿宋" w:cs="仿宋"/>
          <w:sz w:val="32"/>
          <w:szCs w:val="32"/>
        </w:rPr>
        <w:t>万元。与20</w:t>
      </w:r>
      <w:r>
        <w:rPr>
          <w:rFonts w:hint="eastAsia" w:ascii="仿宋" w:hAnsi="仿宋" w:eastAsia="仿宋" w:cs="仿宋"/>
          <w:sz w:val="32"/>
          <w:szCs w:val="32"/>
          <w:lang w:val="en-US" w:eastAsia="zh-CN"/>
        </w:rPr>
        <w:t>18</w:t>
      </w:r>
      <w:r>
        <w:rPr>
          <w:rFonts w:hint="eastAsia" w:ascii="仿宋" w:hAnsi="仿宋" w:eastAsia="仿宋" w:cs="仿宋"/>
          <w:sz w:val="32"/>
          <w:szCs w:val="32"/>
        </w:rPr>
        <w:t>年相比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0.2万元</w:t>
      </w:r>
      <w:r>
        <w:rPr>
          <w:rFonts w:hint="eastAsia" w:ascii="仿宋" w:hAnsi="仿宋" w:eastAsia="仿宋" w:cs="仿宋"/>
          <w:sz w:val="32"/>
          <w:szCs w:val="32"/>
        </w:rPr>
        <w:t>，</w:t>
      </w:r>
      <w:r>
        <w:rPr>
          <w:rFonts w:hint="eastAsia" w:ascii="仿宋" w:hAnsi="仿宋" w:eastAsia="仿宋" w:cs="仿宋"/>
          <w:sz w:val="32"/>
          <w:szCs w:val="32"/>
          <w:lang w:eastAsia="zh-CN"/>
        </w:rPr>
        <w:t>三公经费</w:t>
      </w:r>
      <w:r>
        <w:rPr>
          <w:rFonts w:hint="eastAsia" w:ascii="仿宋" w:hAnsi="仿宋" w:eastAsia="仿宋" w:cs="仿宋"/>
          <w:sz w:val="32"/>
          <w:szCs w:val="32"/>
        </w:rPr>
        <w:t>减少的主要原因是：</w:t>
      </w:r>
      <w:r>
        <w:rPr>
          <w:rFonts w:hint="eastAsia" w:ascii="仿宋" w:hAnsi="仿宋" w:eastAsia="仿宋" w:cs="仿宋"/>
          <w:sz w:val="32"/>
          <w:szCs w:val="32"/>
          <w:lang w:eastAsia="zh-CN"/>
        </w:rPr>
        <w:t>公务用车运行维护费减少，主要是认真贯彻落实市、区关于厉行节约的各项要求，进一步从严控制“三公”经费开支</w:t>
      </w:r>
      <w:r>
        <w:rPr>
          <w:rFonts w:hint="eastAsia" w:ascii="仿宋" w:hAnsi="仿宋" w:eastAsia="仿宋" w:cs="仿宋"/>
          <w:sz w:val="32"/>
          <w:szCs w:val="32"/>
        </w:rPr>
        <w:t>。</w:t>
      </w:r>
    </w:p>
    <w:p w14:paraId="50BC5101">
      <w:pPr>
        <w:ind w:firstLine="640"/>
        <w:rPr>
          <w:rFonts w:ascii="黑体" w:hAnsi="黑体" w:eastAsia="黑体" w:cs="Times New Roman"/>
          <w:sz w:val="32"/>
          <w:szCs w:val="32"/>
        </w:rPr>
      </w:pPr>
      <w:r>
        <w:rPr>
          <w:rFonts w:hint="eastAsia" w:ascii="黑体" w:hAnsi="黑体" w:eastAsia="黑体" w:cs="Times New Roman"/>
          <w:sz w:val="32"/>
          <w:szCs w:val="32"/>
        </w:rPr>
        <w:t>五、绩效预算信息</w:t>
      </w:r>
    </w:p>
    <w:p w14:paraId="2168659A">
      <w:pPr>
        <w:ind w:firstLine="643" w:firstLineChars="200"/>
        <w:jc w:val="left"/>
        <w:rPr>
          <w:rFonts w:ascii="Times New Roman" w:hAnsi="Times New Roman" w:eastAsia="方正仿宋_GBK" w:cs="Times New Roman"/>
          <w:b/>
          <w:sz w:val="32"/>
          <w:szCs w:val="32"/>
        </w:rPr>
      </w:pPr>
      <w:bookmarkStart w:id="0" w:name="_Toc471398463"/>
      <w:r>
        <w:rPr>
          <w:rFonts w:ascii="Times New Roman" w:hAnsi="Times New Roman" w:eastAsia="方正仿宋_GBK" w:cs="Times New Roman"/>
          <w:b/>
          <w:sz w:val="32"/>
          <w:szCs w:val="32"/>
        </w:rPr>
        <w:t>总体绩效目标：</w:t>
      </w:r>
    </w:p>
    <w:p w14:paraId="27AE473A">
      <w:pPr>
        <w:ind w:firstLine="560"/>
        <w:rPr>
          <w:rFonts w:hint="eastAsia" w:ascii="Times New Roman" w:hAnsi="Times New Roman" w:eastAsia="方正仿宋_GBK" w:cs="Times New Roman"/>
          <w:sz w:val="32"/>
          <w:szCs w:val="32"/>
        </w:rPr>
      </w:pPr>
      <w:r>
        <w:rPr>
          <w:rFonts w:hint="eastAsia" w:ascii="仿宋" w:hAnsi="仿宋" w:eastAsia="仿宋" w:cs="仿宋"/>
          <w:sz w:val="32"/>
          <w:szCs w:val="32"/>
        </w:rPr>
        <w:t>2019年，坚持以习近平新时代中国特色社会主义思想为指导，认真落实中央和省委省政府决策部署，按照“3689”基本思路和“稳、进、好、准、度”要求，以全面建设高质量财政、更好服务全省高质量发展为主线，以“五个聚焦”为着力点（聚焦财力匹配、保障有力，狠抓财源建设；聚焦配置优化、绩效突出，实施绩效管理；聚焦规范透明、约束硬化，推进依法理财；聚焦权责清晰、体制顺畅，深化财税改革；聚焦基础扎实、运行稳健，防范化解风险），以加强党的建设为保证，奋力开创全</w:t>
      </w:r>
      <w:r>
        <w:rPr>
          <w:rFonts w:hint="eastAsia" w:ascii="仿宋" w:hAnsi="仿宋" w:eastAsia="仿宋" w:cs="仿宋"/>
          <w:sz w:val="32"/>
          <w:szCs w:val="32"/>
          <w:lang w:eastAsia="zh-CN"/>
        </w:rPr>
        <w:t>区医疗保障</w:t>
      </w:r>
      <w:r>
        <w:rPr>
          <w:rFonts w:hint="eastAsia" w:ascii="仿宋" w:hAnsi="仿宋" w:eastAsia="仿宋" w:cs="仿宋"/>
          <w:sz w:val="32"/>
          <w:szCs w:val="32"/>
        </w:rPr>
        <w:t>改革发展新局面，努力为新时代全面建设经济强</w:t>
      </w:r>
      <w:r>
        <w:rPr>
          <w:rFonts w:hint="eastAsia" w:ascii="仿宋" w:hAnsi="仿宋" w:eastAsia="仿宋" w:cs="仿宋"/>
          <w:sz w:val="32"/>
          <w:szCs w:val="32"/>
          <w:lang w:eastAsia="zh-CN"/>
        </w:rPr>
        <w:t>区</w:t>
      </w:r>
      <w:r>
        <w:rPr>
          <w:rFonts w:hint="eastAsia" w:ascii="仿宋" w:hAnsi="仿宋" w:eastAsia="仿宋" w:cs="仿宋"/>
          <w:sz w:val="32"/>
          <w:szCs w:val="32"/>
        </w:rPr>
        <w:t>、美丽</w:t>
      </w:r>
      <w:r>
        <w:rPr>
          <w:rFonts w:hint="eastAsia" w:ascii="仿宋" w:hAnsi="仿宋" w:eastAsia="仿宋" w:cs="仿宋"/>
          <w:sz w:val="32"/>
          <w:szCs w:val="32"/>
          <w:lang w:eastAsia="zh-CN"/>
        </w:rPr>
        <w:t>鹿泉</w:t>
      </w:r>
      <w:r>
        <w:rPr>
          <w:rFonts w:hint="eastAsia" w:ascii="仿宋" w:hAnsi="仿宋" w:eastAsia="仿宋" w:cs="仿宋"/>
          <w:sz w:val="32"/>
          <w:szCs w:val="32"/>
        </w:rPr>
        <w:t>提供更加有力的支撑。</w:t>
      </w:r>
    </w:p>
    <w:p w14:paraId="63435D96">
      <w:pPr>
        <w:ind w:firstLine="643" w:firstLineChars="200"/>
        <w:jc w:val="left"/>
        <w:rPr>
          <w:rFonts w:ascii="Times New Roman" w:hAnsi="Times New Roman" w:eastAsia="方正仿宋_GBK" w:cs="Times New Roman"/>
          <w:b/>
          <w:sz w:val="32"/>
          <w:szCs w:val="32"/>
        </w:rPr>
      </w:pPr>
      <w:r>
        <w:rPr>
          <w:rFonts w:hint="eastAsia" w:ascii="Times New Roman" w:hAnsi="Times New Roman" w:eastAsia="方正仿宋_GBK" w:cs="Times New Roman"/>
          <w:b/>
          <w:sz w:val="32"/>
          <w:szCs w:val="32"/>
        </w:rPr>
        <w:t>职责分类绩效目标：</w:t>
      </w:r>
    </w:p>
    <w:p w14:paraId="37E018EE">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一是</w:t>
      </w:r>
      <w:r>
        <w:rPr>
          <w:rFonts w:hint="eastAsia" w:ascii="仿宋" w:hAnsi="仿宋" w:eastAsia="仿宋" w:cs="仿宋"/>
          <w:sz w:val="32"/>
          <w:szCs w:val="32"/>
        </w:rPr>
        <w:t>拟订全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城镇职工和城乡居民医疗保险、生育保险、长期护理保险、医疗救助等医疗保障地方性法规、政府规章草案以及政策、制度、规划和标准。</w:t>
      </w:r>
    </w:p>
    <w:p w14:paraId="2E043058">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二是</w:t>
      </w:r>
      <w:r>
        <w:rPr>
          <w:rFonts w:hint="eastAsia" w:ascii="仿宋" w:hAnsi="仿宋" w:eastAsia="仿宋" w:cs="仿宋"/>
          <w:sz w:val="32"/>
          <w:szCs w:val="32"/>
        </w:rPr>
        <w:t>拟定完善全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医疗保障基金监督管理办法，建立健全医疗保障基金安全防控机制，组织建设网络信息和智能监控平台，推进医疗保障基金支付方式改革，并组织实施。</w:t>
      </w:r>
    </w:p>
    <w:p w14:paraId="31EFEBC5">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三是</w:t>
      </w:r>
      <w:r>
        <w:rPr>
          <w:rFonts w:hint="eastAsia" w:ascii="仿宋" w:hAnsi="仿宋" w:eastAsia="仿宋" w:cs="仿宋"/>
          <w:sz w:val="32"/>
          <w:szCs w:val="32"/>
        </w:rPr>
        <w:t>组织制定全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城镇职工、城乡居民参保筹资和保障待遇政策，统筹城乡医疗保障政策标准，建立健全与筹资水平相适应的待遇调整机制。拟订长期护理保险制度方案及政策标准并组织实施。</w:t>
      </w:r>
    </w:p>
    <w:p w14:paraId="2AE5BDF2">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四是</w:t>
      </w:r>
      <w:r>
        <w:rPr>
          <w:rFonts w:hint="eastAsia" w:ascii="仿宋" w:hAnsi="仿宋" w:eastAsia="仿宋" w:cs="仿宋"/>
          <w:sz w:val="32"/>
          <w:szCs w:val="32"/>
        </w:rPr>
        <w:t>组织制定全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城乡统一的药品、医用耗材、医疗服务项目、医疗服务设施等医保支付标准，建立动态调整机制，并组织实施。</w:t>
      </w:r>
    </w:p>
    <w:p w14:paraId="4BC6C314">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五是</w:t>
      </w:r>
      <w:r>
        <w:rPr>
          <w:rFonts w:hint="eastAsia" w:ascii="仿宋" w:hAnsi="仿宋" w:eastAsia="仿宋" w:cs="仿宋"/>
          <w:sz w:val="32"/>
          <w:szCs w:val="32"/>
        </w:rPr>
        <w:t>组织制定全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14:paraId="4D144786">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六是</w:t>
      </w:r>
      <w:r>
        <w:rPr>
          <w:rFonts w:hint="eastAsia" w:ascii="仿宋" w:hAnsi="仿宋" w:eastAsia="仿宋" w:cs="仿宋"/>
          <w:sz w:val="32"/>
          <w:szCs w:val="32"/>
        </w:rPr>
        <w:t>制定全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药品、医用耗材的招标采购政策并监督实施，指导药品、医用耗材招标采购平台建设。</w:t>
      </w:r>
    </w:p>
    <w:p w14:paraId="6EEE1A70">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七是</w:t>
      </w:r>
      <w:r>
        <w:rPr>
          <w:rFonts w:hint="eastAsia" w:ascii="仿宋" w:hAnsi="仿宋" w:eastAsia="仿宋" w:cs="仿宋"/>
          <w:sz w:val="32"/>
          <w:szCs w:val="32"/>
        </w:rPr>
        <w:t>制定全</w:t>
      </w:r>
      <w:r>
        <w:rPr>
          <w:rFonts w:hint="eastAsia" w:ascii="仿宋" w:hAnsi="仿宋" w:eastAsia="仿宋" w:cs="仿宋"/>
          <w:b w:val="0"/>
          <w:bCs w:val="0"/>
          <w:sz w:val="32"/>
          <w:szCs w:val="32"/>
          <w:lang w:eastAsia="zh-CN"/>
        </w:rPr>
        <w:t>区</w:t>
      </w:r>
      <w:r>
        <w:rPr>
          <w:rFonts w:hint="eastAsia" w:ascii="仿宋" w:hAnsi="仿宋" w:eastAsia="仿宋" w:cs="仿宋"/>
          <w:sz w:val="32"/>
          <w:szCs w:val="32"/>
        </w:rPr>
        <w:t>定点医药机构协议和支付管理办法并组织实施。建立健全医疗保障信用评价体系和信息披露制度，监督管理定点医药机构的医疗服务行为、医疗费用和医药价格，依法查处医疗保障领域违法违规行为。</w:t>
      </w:r>
    </w:p>
    <w:p w14:paraId="502F39C9">
      <w:pPr>
        <w:spacing w:line="500" w:lineRule="exact"/>
        <w:ind w:firstLine="560"/>
        <w:rPr>
          <w:rFonts w:hint="eastAsia" w:ascii="仿宋" w:hAnsi="仿宋" w:eastAsia="仿宋" w:cs="仿宋"/>
          <w:sz w:val="32"/>
          <w:szCs w:val="32"/>
        </w:rPr>
      </w:pPr>
      <w:r>
        <w:rPr>
          <w:rFonts w:hint="eastAsia" w:ascii="仿宋" w:hAnsi="仿宋" w:eastAsia="仿宋" w:cs="仿宋"/>
          <w:sz w:val="32"/>
          <w:szCs w:val="32"/>
          <w:lang w:eastAsia="zh-CN"/>
        </w:rPr>
        <w:t>八是</w:t>
      </w:r>
      <w:r>
        <w:rPr>
          <w:rFonts w:hint="eastAsia" w:ascii="仿宋" w:hAnsi="仿宋" w:eastAsia="仿宋" w:cs="仿宋"/>
          <w:sz w:val="32"/>
          <w:szCs w:val="32"/>
        </w:rPr>
        <w:t>负责医疗保障经办管理、公共服务体系和信息化建设。组织制定和完善异地就医管理和费用结算政策并组织实施。建立健全医疗保障关系转移接续制度。</w:t>
      </w:r>
    </w:p>
    <w:p w14:paraId="6EBA88EE">
      <w:pPr>
        <w:ind w:firstLine="560"/>
        <w:rPr>
          <w:rFonts w:hint="eastAsia" w:ascii="楷体_GB2312" w:hAnsi="黑体" w:eastAsia="楷体_GB2312" w:cs="Times New Roman"/>
          <w:b/>
          <w:sz w:val="32"/>
          <w:szCs w:val="32"/>
        </w:rPr>
      </w:pPr>
    </w:p>
    <w:p w14:paraId="52FE1608">
      <w:pPr>
        <w:ind w:firstLine="560"/>
        <w:rPr>
          <w:rFonts w:hint="eastAsia" w:ascii="楷体_GB2312" w:hAnsi="黑体" w:eastAsia="楷体_GB2312" w:cs="Times New Roman"/>
          <w:b/>
          <w:sz w:val="32"/>
          <w:szCs w:val="32"/>
        </w:rPr>
      </w:pPr>
    </w:p>
    <w:p w14:paraId="7D8D479E">
      <w:pPr>
        <w:rPr>
          <w:rFonts w:hint="eastAsia" w:ascii="楷体_GB2312" w:hAnsi="黑体" w:eastAsia="楷体_GB2312" w:cs="Times New Roman"/>
          <w:b/>
          <w:sz w:val="32"/>
          <w:szCs w:val="32"/>
        </w:rPr>
      </w:pPr>
    </w:p>
    <w:p w14:paraId="12F885A9">
      <w:pPr>
        <w:ind w:firstLine="560"/>
        <w:rPr>
          <w:rFonts w:ascii="楷体_GB2312" w:hAnsi="Times New Roman" w:eastAsia="楷体_GB2312" w:cs="Times New Roman"/>
          <w:b/>
          <w:sz w:val="32"/>
          <w:szCs w:val="24"/>
        </w:rPr>
      </w:pPr>
      <w:r>
        <w:rPr>
          <w:rFonts w:hint="eastAsia" w:ascii="楷体_GB2312" w:hAnsi="黑体" w:eastAsia="楷体_GB2312" w:cs="Times New Roman"/>
          <w:b/>
          <w:sz w:val="32"/>
          <w:szCs w:val="32"/>
        </w:rPr>
        <w:t>部门职责及工作活动绩效目标指标：</w:t>
      </w:r>
    </w:p>
    <w:p w14:paraId="6DADDDC4">
      <w:pPr>
        <w:jc w:val="center"/>
        <w:outlineLvl w:val="0"/>
        <w:rPr>
          <w:rFonts w:ascii="方正小标宋_GBK" w:hAnsi="Times New Roman" w:eastAsia="方正小标宋_GBK" w:cs="Times New Roman"/>
          <w:sz w:val="32"/>
          <w:szCs w:val="24"/>
        </w:rPr>
      </w:pPr>
      <w:r>
        <w:rPr>
          <w:rFonts w:hint="eastAsia" w:ascii="方正小标宋_GBK" w:hAnsi="Times New Roman" w:eastAsia="方正小标宋_GBK" w:cs="Times New Roman"/>
          <w:sz w:val="32"/>
          <w:szCs w:val="24"/>
        </w:rPr>
        <w:t>部门职责-工作活动绩效目标</w:t>
      </w:r>
      <w:bookmarkEnd w:id="0"/>
    </w:p>
    <w:tbl>
      <w:tblPr>
        <w:tblStyle w:val="8"/>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14:paraId="1F9D4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14:paraId="09202B50">
            <w:pPr>
              <w:spacing w:line="300" w:lineRule="exact"/>
              <w:jc w:val="left"/>
              <w:rPr>
                <w:rFonts w:hint="eastAsia" w:ascii="方正小标宋_GBK" w:hAnsi="Calibri" w:eastAsia="方正小标宋_GBK" w:cs="Times New Roman"/>
                <w:sz w:val="24"/>
                <w:lang w:eastAsia="zh-CN"/>
              </w:rPr>
            </w:pPr>
            <w:r>
              <w:rPr>
                <w:rFonts w:hint="eastAsia" w:ascii="方正小标宋_GBK" w:hAnsi="Calibri" w:eastAsia="方正小标宋_GBK" w:cs="Times New Roman"/>
                <w:sz w:val="24"/>
                <w:lang w:val="en-US" w:eastAsia="zh-CN"/>
              </w:rPr>
              <w:t>365</w:t>
            </w:r>
            <w:r>
              <w:rPr>
                <w:rFonts w:hint="eastAsia" w:ascii="方正小标宋_GBK" w:hAnsi="Calibri" w:eastAsia="方正小标宋_GBK" w:cs="Times New Roman"/>
                <w:sz w:val="24"/>
                <w:lang w:eastAsia="zh-CN"/>
              </w:rPr>
              <w:t>石家庄市鹿泉区医疗保障局</w:t>
            </w:r>
          </w:p>
        </w:tc>
        <w:tc>
          <w:tcPr>
            <w:tcW w:w="2948" w:type="dxa"/>
            <w:gridSpan w:val="4"/>
            <w:tcBorders>
              <w:top w:val="single" w:color="FFFFFF" w:sz="6" w:space="0"/>
              <w:left w:val="single" w:color="FFFFFF" w:sz="6" w:space="0"/>
              <w:right w:val="single" w:color="FFFFFF" w:sz="6" w:space="0"/>
            </w:tcBorders>
            <w:shd w:val="clear" w:color="auto" w:fill="auto"/>
            <w:vAlign w:val="center"/>
          </w:tcPr>
          <w:p w14:paraId="3EBBDF6F">
            <w:pPr>
              <w:spacing w:line="300" w:lineRule="exact"/>
              <w:jc w:val="right"/>
              <w:rPr>
                <w:rFonts w:ascii="方正书宋_GBK" w:hAnsi="Calibri" w:eastAsia="方正书宋_GBK" w:cs="Times New Roman"/>
                <w:sz w:val="24"/>
              </w:rPr>
            </w:pPr>
            <w:r>
              <w:rPr>
                <w:rFonts w:hint="eastAsia" w:ascii="方正书宋_GBK" w:hAnsi="Calibri" w:eastAsia="方正书宋_GBK" w:cs="Times New Roman"/>
                <w:sz w:val="24"/>
              </w:rPr>
              <w:t>单位：万元</w:t>
            </w:r>
          </w:p>
        </w:tc>
      </w:tr>
      <w:tr w14:paraId="754CD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14:paraId="38DF3791">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职责活动</w:t>
            </w:r>
          </w:p>
        </w:tc>
        <w:tc>
          <w:tcPr>
            <w:tcW w:w="1276" w:type="dxa"/>
            <w:vMerge w:val="restart"/>
            <w:shd w:val="clear" w:color="auto" w:fill="auto"/>
            <w:vAlign w:val="center"/>
          </w:tcPr>
          <w:p w14:paraId="5313CFB5">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年度预算数</w:t>
            </w:r>
          </w:p>
        </w:tc>
        <w:tc>
          <w:tcPr>
            <w:tcW w:w="2976" w:type="dxa"/>
            <w:vMerge w:val="restart"/>
            <w:shd w:val="clear" w:color="auto" w:fill="auto"/>
            <w:vAlign w:val="center"/>
          </w:tcPr>
          <w:p w14:paraId="7912AA5B">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内容描述</w:t>
            </w:r>
          </w:p>
        </w:tc>
        <w:tc>
          <w:tcPr>
            <w:tcW w:w="2976" w:type="dxa"/>
            <w:vMerge w:val="restart"/>
            <w:shd w:val="clear" w:color="auto" w:fill="auto"/>
            <w:vAlign w:val="center"/>
          </w:tcPr>
          <w:p w14:paraId="3DCACFA2">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绩效目标</w:t>
            </w:r>
          </w:p>
        </w:tc>
        <w:tc>
          <w:tcPr>
            <w:tcW w:w="1417" w:type="dxa"/>
            <w:vMerge w:val="restart"/>
            <w:shd w:val="clear" w:color="auto" w:fill="auto"/>
            <w:vAlign w:val="center"/>
          </w:tcPr>
          <w:p w14:paraId="36E4510E">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绩效指标</w:t>
            </w:r>
          </w:p>
        </w:tc>
        <w:tc>
          <w:tcPr>
            <w:tcW w:w="2948" w:type="dxa"/>
            <w:gridSpan w:val="4"/>
            <w:shd w:val="clear" w:color="auto" w:fill="auto"/>
            <w:vAlign w:val="center"/>
          </w:tcPr>
          <w:p w14:paraId="3CFE1479">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评价标准</w:t>
            </w:r>
          </w:p>
        </w:tc>
      </w:tr>
      <w:tr w14:paraId="0B74E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14:paraId="3FF224D7">
            <w:pPr>
              <w:spacing w:line="300" w:lineRule="exact"/>
              <w:jc w:val="left"/>
              <w:outlineLvl w:val="0"/>
              <w:rPr>
                <w:rFonts w:ascii="Calibri" w:hAnsi="Calibri" w:eastAsia="宋体" w:cs="Times New Roman"/>
              </w:rPr>
            </w:pPr>
          </w:p>
        </w:tc>
        <w:tc>
          <w:tcPr>
            <w:tcW w:w="1276" w:type="dxa"/>
            <w:vMerge w:val="continue"/>
            <w:shd w:val="clear" w:color="auto" w:fill="auto"/>
            <w:vAlign w:val="center"/>
          </w:tcPr>
          <w:p w14:paraId="68C7D209">
            <w:pPr>
              <w:spacing w:line="300" w:lineRule="exact"/>
              <w:jc w:val="left"/>
              <w:outlineLvl w:val="0"/>
              <w:rPr>
                <w:rFonts w:ascii="Calibri" w:hAnsi="Calibri" w:eastAsia="宋体" w:cs="Times New Roman"/>
              </w:rPr>
            </w:pPr>
          </w:p>
        </w:tc>
        <w:tc>
          <w:tcPr>
            <w:tcW w:w="2976" w:type="dxa"/>
            <w:vMerge w:val="continue"/>
            <w:shd w:val="clear" w:color="auto" w:fill="auto"/>
            <w:vAlign w:val="center"/>
          </w:tcPr>
          <w:p w14:paraId="33939166">
            <w:pPr>
              <w:spacing w:line="300" w:lineRule="exact"/>
              <w:jc w:val="left"/>
              <w:outlineLvl w:val="0"/>
              <w:rPr>
                <w:rFonts w:ascii="Calibri" w:hAnsi="Calibri" w:eastAsia="宋体" w:cs="Times New Roman"/>
              </w:rPr>
            </w:pPr>
          </w:p>
        </w:tc>
        <w:tc>
          <w:tcPr>
            <w:tcW w:w="2976" w:type="dxa"/>
            <w:vMerge w:val="continue"/>
            <w:shd w:val="clear" w:color="auto" w:fill="auto"/>
            <w:vAlign w:val="center"/>
          </w:tcPr>
          <w:p w14:paraId="1CE46200">
            <w:pPr>
              <w:spacing w:line="300" w:lineRule="exact"/>
              <w:jc w:val="left"/>
              <w:outlineLvl w:val="0"/>
              <w:rPr>
                <w:rFonts w:ascii="Calibri" w:hAnsi="Calibri" w:eastAsia="宋体" w:cs="Times New Roman"/>
              </w:rPr>
            </w:pPr>
          </w:p>
        </w:tc>
        <w:tc>
          <w:tcPr>
            <w:tcW w:w="1417" w:type="dxa"/>
            <w:vMerge w:val="continue"/>
            <w:shd w:val="clear" w:color="auto" w:fill="auto"/>
            <w:vAlign w:val="center"/>
          </w:tcPr>
          <w:p w14:paraId="74C5E488">
            <w:pPr>
              <w:spacing w:line="300" w:lineRule="exact"/>
              <w:jc w:val="left"/>
              <w:outlineLvl w:val="0"/>
              <w:rPr>
                <w:rFonts w:ascii="Calibri" w:hAnsi="Calibri" w:eastAsia="宋体" w:cs="Times New Roman"/>
              </w:rPr>
            </w:pPr>
          </w:p>
        </w:tc>
        <w:tc>
          <w:tcPr>
            <w:tcW w:w="737" w:type="dxa"/>
            <w:shd w:val="clear" w:color="auto" w:fill="auto"/>
            <w:vAlign w:val="center"/>
          </w:tcPr>
          <w:p w14:paraId="10772AB8">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优</w:t>
            </w:r>
          </w:p>
        </w:tc>
        <w:tc>
          <w:tcPr>
            <w:tcW w:w="737" w:type="dxa"/>
            <w:shd w:val="clear" w:color="auto" w:fill="auto"/>
            <w:vAlign w:val="center"/>
          </w:tcPr>
          <w:p w14:paraId="14625E2A">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良</w:t>
            </w:r>
          </w:p>
        </w:tc>
        <w:tc>
          <w:tcPr>
            <w:tcW w:w="737" w:type="dxa"/>
            <w:shd w:val="clear" w:color="auto" w:fill="auto"/>
            <w:vAlign w:val="center"/>
          </w:tcPr>
          <w:p w14:paraId="1F4005F1">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中</w:t>
            </w:r>
          </w:p>
        </w:tc>
        <w:tc>
          <w:tcPr>
            <w:tcW w:w="737" w:type="dxa"/>
            <w:shd w:val="clear" w:color="auto" w:fill="auto"/>
            <w:vAlign w:val="center"/>
          </w:tcPr>
          <w:p w14:paraId="4E0006BA">
            <w:pPr>
              <w:spacing w:line="300" w:lineRule="exact"/>
              <w:jc w:val="center"/>
              <w:rPr>
                <w:rFonts w:ascii="方正书宋_GBK" w:hAnsi="Calibri" w:eastAsia="方正书宋_GBK" w:cs="Times New Roman"/>
                <w:b/>
              </w:rPr>
            </w:pPr>
            <w:r>
              <w:rPr>
                <w:rFonts w:hint="eastAsia" w:ascii="方正书宋_GBK" w:hAnsi="Calibri" w:eastAsia="方正书宋_GBK" w:cs="Times New Roman"/>
                <w:b/>
              </w:rPr>
              <w:t>差</w:t>
            </w:r>
          </w:p>
        </w:tc>
      </w:tr>
      <w:tr w14:paraId="439F3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3E96F2AF">
            <w:pPr>
              <w:spacing w:line="300" w:lineRule="exact"/>
              <w:jc w:val="left"/>
              <w:rPr>
                <w:rFonts w:ascii="方正书宋_GBK" w:hAnsi="Calibri" w:eastAsia="方正书宋_GBK" w:cs="Times New Roman"/>
                <w:b/>
              </w:rPr>
            </w:pPr>
            <w:r>
              <w:rPr>
                <w:rFonts w:hint="eastAsia" w:ascii="方正书宋_GBK" w:eastAsia="方正书宋_GBK"/>
                <w:b/>
              </w:rPr>
              <w:t>一、医疗保险等相关政策实施及管理</w:t>
            </w:r>
          </w:p>
        </w:tc>
        <w:tc>
          <w:tcPr>
            <w:tcW w:w="1276" w:type="dxa"/>
            <w:shd w:val="clear" w:color="auto" w:fill="auto"/>
            <w:vAlign w:val="center"/>
          </w:tcPr>
          <w:p w14:paraId="1E018099">
            <w:pPr>
              <w:spacing w:line="300" w:lineRule="exact"/>
              <w:jc w:val="left"/>
              <w:rPr>
                <w:rFonts w:ascii="方正书宋_GBK" w:hAnsi="Calibri" w:eastAsia="方正书宋_GBK" w:cs="Times New Roman"/>
              </w:rPr>
            </w:pPr>
            <w:r>
              <w:rPr>
                <w:rFonts w:ascii="方正书宋_GBK" w:eastAsia="方正书宋_GBK"/>
              </w:rPr>
              <w:t>28.00</w:t>
            </w:r>
          </w:p>
        </w:tc>
        <w:tc>
          <w:tcPr>
            <w:tcW w:w="2976" w:type="dxa"/>
            <w:shd w:val="clear" w:color="auto" w:fill="auto"/>
            <w:vAlign w:val="center"/>
          </w:tcPr>
          <w:p w14:paraId="40C02669">
            <w:pPr>
              <w:spacing w:line="300" w:lineRule="exact"/>
              <w:jc w:val="left"/>
              <w:rPr>
                <w:rFonts w:ascii="方正书宋_GBK" w:hAnsi="Calibri" w:eastAsia="方正书宋_GBK" w:cs="Times New Roman"/>
              </w:rPr>
            </w:pPr>
            <w:r>
              <w:rPr>
                <w:rFonts w:hint="eastAsia" w:ascii="方正书宋_GBK" w:eastAsia="方正书宋_GBK"/>
              </w:rPr>
              <w:t>制定我区医疗保险实施措施并推动落实。同时，对全区医保保基金征缴、支付、管理进行监管。</w:t>
            </w:r>
          </w:p>
        </w:tc>
        <w:tc>
          <w:tcPr>
            <w:tcW w:w="2976" w:type="dxa"/>
            <w:shd w:val="clear" w:color="auto" w:fill="auto"/>
            <w:vAlign w:val="center"/>
          </w:tcPr>
          <w:p w14:paraId="42A1BCD7">
            <w:pPr>
              <w:spacing w:line="300" w:lineRule="exact"/>
              <w:jc w:val="left"/>
              <w:rPr>
                <w:rFonts w:ascii="方正书宋_GBK" w:hAnsi="Calibri" w:eastAsia="方正书宋_GBK" w:cs="Times New Roman"/>
              </w:rPr>
            </w:pPr>
            <w:r>
              <w:rPr>
                <w:rFonts w:hint="eastAsia" w:ascii="方正书宋_GBK" w:eastAsia="方正书宋_GBK"/>
              </w:rPr>
              <w:t>全面开展参保登记，扩大各项保险的覆盖面，及时足额落实社会保险待遇。</w:t>
            </w:r>
          </w:p>
        </w:tc>
        <w:tc>
          <w:tcPr>
            <w:tcW w:w="1417" w:type="dxa"/>
            <w:shd w:val="clear" w:color="auto" w:fill="auto"/>
            <w:vAlign w:val="center"/>
          </w:tcPr>
          <w:p w14:paraId="3B39CA39">
            <w:pPr>
              <w:spacing w:line="300" w:lineRule="exact"/>
              <w:jc w:val="left"/>
              <w:rPr>
                <w:rFonts w:ascii="方正书宋_GBK" w:hAnsi="Calibri" w:eastAsia="方正书宋_GBK" w:cs="Times New Roman"/>
              </w:rPr>
            </w:pPr>
          </w:p>
        </w:tc>
        <w:tc>
          <w:tcPr>
            <w:tcW w:w="737" w:type="dxa"/>
            <w:shd w:val="clear" w:color="auto" w:fill="auto"/>
            <w:vAlign w:val="center"/>
          </w:tcPr>
          <w:p w14:paraId="2366A821">
            <w:pPr>
              <w:spacing w:line="300" w:lineRule="exact"/>
              <w:jc w:val="center"/>
              <w:rPr>
                <w:rFonts w:ascii="方正书宋_GBK" w:hAnsi="Calibri" w:eastAsia="方正书宋_GBK" w:cs="Times New Roman"/>
              </w:rPr>
            </w:pPr>
          </w:p>
        </w:tc>
        <w:tc>
          <w:tcPr>
            <w:tcW w:w="737" w:type="dxa"/>
            <w:shd w:val="clear" w:color="auto" w:fill="auto"/>
            <w:vAlign w:val="center"/>
          </w:tcPr>
          <w:p w14:paraId="1A02E70E">
            <w:pPr>
              <w:spacing w:line="300" w:lineRule="exact"/>
              <w:jc w:val="center"/>
              <w:rPr>
                <w:rFonts w:ascii="方正书宋_GBK" w:hAnsi="Calibri" w:eastAsia="方正书宋_GBK" w:cs="Times New Roman"/>
              </w:rPr>
            </w:pPr>
          </w:p>
        </w:tc>
        <w:tc>
          <w:tcPr>
            <w:tcW w:w="737" w:type="dxa"/>
            <w:shd w:val="clear" w:color="auto" w:fill="auto"/>
            <w:vAlign w:val="center"/>
          </w:tcPr>
          <w:p w14:paraId="0E27C06E">
            <w:pPr>
              <w:spacing w:line="300" w:lineRule="exact"/>
              <w:jc w:val="center"/>
              <w:rPr>
                <w:rFonts w:ascii="方正书宋_GBK" w:hAnsi="Calibri" w:eastAsia="方正书宋_GBK" w:cs="Times New Roman"/>
              </w:rPr>
            </w:pPr>
          </w:p>
        </w:tc>
        <w:tc>
          <w:tcPr>
            <w:tcW w:w="737" w:type="dxa"/>
            <w:shd w:val="clear" w:color="auto" w:fill="auto"/>
            <w:vAlign w:val="center"/>
          </w:tcPr>
          <w:p w14:paraId="13AABE0B">
            <w:pPr>
              <w:spacing w:line="300" w:lineRule="exact"/>
              <w:jc w:val="center"/>
              <w:rPr>
                <w:rFonts w:ascii="方正书宋_GBK" w:hAnsi="Calibri" w:eastAsia="方正书宋_GBK" w:cs="Times New Roman"/>
              </w:rPr>
            </w:pPr>
          </w:p>
        </w:tc>
      </w:tr>
      <w:tr w14:paraId="279C0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2" w:hRule="atLeast"/>
          <w:jc w:val="center"/>
        </w:trPr>
        <w:tc>
          <w:tcPr>
            <w:tcW w:w="2341" w:type="dxa"/>
            <w:vMerge w:val="restart"/>
            <w:shd w:val="clear" w:color="auto" w:fill="auto"/>
            <w:vAlign w:val="center"/>
          </w:tcPr>
          <w:p w14:paraId="55796785">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、城镇职工及城乡居民医疗保险</w:t>
            </w:r>
          </w:p>
        </w:tc>
        <w:tc>
          <w:tcPr>
            <w:tcW w:w="1276" w:type="dxa"/>
            <w:vMerge w:val="restart"/>
            <w:shd w:val="clear" w:color="auto" w:fill="auto"/>
            <w:vAlign w:val="center"/>
          </w:tcPr>
          <w:p w14:paraId="7D4D7C8F">
            <w:pPr>
              <w:spacing w:line="300" w:lineRule="exact"/>
              <w:jc w:val="left"/>
              <w:rPr>
                <w:rFonts w:ascii="方正书宋_GBK" w:hAnsi="Calibri" w:eastAsia="方正书宋_GBK" w:cs="Times New Roman"/>
              </w:rPr>
            </w:pPr>
          </w:p>
        </w:tc>
        <w:tc>
          <w:tcPr>
            <w:tcW w:w="2976" w:type="dxa"/>
            <w:vMerge w:val="restart"/>
            <w:shd w:val="clear" w:color="auto" w:fill="auto"/>
            <w:vAlign w:val="center"/>
          </w:tcPr>
          <w:p w14:paraId="17ED9BF4">
            <w:pPr>
              <w:spacing w:line="300" w:lineRule="exact"/>
              <w:jc w:val="left"/>
              <w:rPr>
                <w:rFonts w:ascii="方正书宋_GBK" w:hAnsi="Calibri" w:eastAsia="方正书宋_GBK" w:cs="Times New Roman"/>
              </w:rPr>
            </w:pPr>
            <w:r>
              <w:rPr>
                <w:rFonts w:hint="eastAsia" w:ascii="方正书宋_GBK" w:eastAsia="方正书宋_GBK"/>
              </w:rPr>
              <w:t>落实城镇职工、城乡居民医疗保险政策，稳步提高医疗保障水平。完善医疗服务实时监控系统，深入推进异地就医直接结算。完善离休干部医疗保障政策，确保离休干部医药费待遇按时足额落实到位。</w:t>
            </w:r>
          </w:p>
        </w:tc>
        <w:tc>
          <w:tcPr>
            <w:tcW w:w="2976" w:type="dxa"/>
            <w:vMerge w:val="restart"/>
            <w:shd w:val="clear" w:color="auto" w:fill="auto"/>
            <w:vAlign w:val="center"/>
          </w:tcPr>
          <w:p w14:paraId="1139DD86">
            <w:pPr>
              <w:spacing w:line="300" w:lineRule="exact"/>
              <w:jc w:val="left"/>
              <w:rPr>
                <w:rFonts w:ascii="方正书宋_GBK" w:hAnsi="Calibri" w:eastAsia="方正书宋_GBK" w:cs="Times New Roman"/>
              </w:rPr>
            </w:pPr>
            <w:r>
              <w:rPr>
                <w:rFonts w:hint="eastAsia" w:ascii="方正书宋_GBK" w:eastAsia="方正书宋_GBK"/>
              </w:rPr>
              <w:t>稳步提高医疗保险参保率，提高医疗服务实时监控水平，逐步提高异地就医直接结算服务水平，确保医疗保险基金安全运行。夯实医疗保险和离休干部医疗保障基础管理，确保各项待遇落实到位。</w:t>
            </w:r>
          </w:p>
        </w:tc>
        <w:tc>
          <w:tcPr>
            <w:tcW w:w="1417" w:type="dxa"/>
            <w:shd w:val="clear" w:color="auto" w:fill="auto"/>
            <w:vAlign w:val="center"/>
          </w:tcPr>
          <w:p w14:paraId="24747328">
            <w:pPr>
              <w:spacing w:line="300" w:lineRule="exact"/>
              <w:jc w:val="left"/>
              <w:rPr>
                <w:rFonts w:ascii="方正书宋_GBK" w:hAnsi="Calibri" w:eastAsia="方正书宋_GBK" w:cs="Times New Roman"/>
              </w:rPr>
            </w:pPr>
            <w:r>
              <w:rPr>
                <w:rFonts w:hint="eastAsia" w:ascii="方正书宋_GBK" w:eastAsia="方正书宋_GBK"/>
              </w:rPr>
              <w:t>离休干部医疗保障到位率</w:t>
            </w:r>
          </w:p>
        </w:tc>
        <w:tc>
          <w:tcPr>
            <w:tcW w:w="737" w:type="dxa"/>
            <w:shd w:val="clear" w:color="auto" w:fill="auto"/>
            <w:vAlign w:val="center"/>
          </w:tcPr>
          <w:p w14:paraId="1F9BED98">
            <w:pPr>
              <w:spacing w:line="300" w:lineRule="exact"/>
              <w:jc w:val="center"/>
              <w:rPr>
                <w:rFonts w:ascii="方正书宋_GBK" w:hAnsi="Calibri" w:eastAsia="方正书宋_GBK" w:cs="Times New Roman"/>
              </w:rPr>
            </w:pPr>
            <w:r>
              <w:rPr>
                <w:rFonts w:ascii="方正书宋_GBK" w:eastAsia="方正书宋_GBK"/>
              </w:rPr>
              <w:t>100%</w:t>
            </w:r>
          </w:p>
        </w:tc>
        <w:tc>
          <w:tcPr>
            <w:tcW w:w="737" w:type="dxa"/>
            <w:shd w:val="clear" w:color="auto" w:fill="auto"/>
            <w:vAlign w:val="center"/>
          </w:tcPr>
          <w:p w14:paraId="14A0C197">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6BDA686">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0E58FE03">
            <w:pPr>
              <w:spacing w:line="300" w:lineRule="exact"/>
              <w:jc w:val="center"/>
              <w:rPr>
                <w:rFonts w:ascii="方正书宋_GBK" w:hAnsi="Calibri" w:eastAsia="方正书宋_GBK" w:cs="Times New Roman"/>
              </w:rPr>
            </w:pPr>
            <w:r>
              <w:rPr>
                <w:rFonts w:ascii="方正书宋_GBK" w:eastAsia="方正书宋_GBK"/>
              </w:rPr>
              <w:t>&lt;80%</w:t>
            </w:r>
          </w:p>
        </w:tc>
      </w:tr>
      <w:tr w14:paraId="4828F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2" w:hRule="atLeast"/>
          <w:jc w:val="center"/>
        </w:trPr>
        <w:tc>
          <w:tcPr>
            <w:tcW w:w="2341" w:type="dxa"/>
            <w:vMerge w:val="continue"/>
            <w:shd w:val="clear" w:color="auto" w:fill="auto"/>
            <w:vAlign w:val="center"/>
          </w:tcPr>
          <w:p w14:paraId="6349E230">
            <w:pPr>
              <w:spacing w:line="300" w:lineRule="exact"/>
              <w:jc w:val="center"/>
            </w:pPr>
          </w:p>
        </w:tc>
        <w:tc>
          <w:tcPr>
            <w:tcW w:w="1276" w:type="dxa"/>
            <w:vMerge w:val="continue"/>
            <w:shd w:val="clear" w:color="auto" w:fill="auto"/>
            <w:vAlign w:val="center"/>
          </w:tcPr>
          <w:p w14:paraId="5A2B8091">
            <w:pPr>
              <w:spacing w:line="300" w:lineRule="exact"/>
              <w:jc w:val="center"/>
            </w:pPr>
          </w:p>
        </w:tc>
        <w:tc>
          <w:tcPr>
            <w:tcW w:w="2976" w:type="dxa"/>
            <w:vMerge w:val="continue"/>
            <w:shd w:val="clear" w:color="auto" w:fill="auto"/>
            <w:vAlign w:val="center"/>
          </w:tcPr>
          <w:p w14:paraId="7131991D">
            <w:pPr>
              <w:spacing w:line="300" w:lineRule="exact"/>
              <w:jc w:val="center"/>
            </w:pPr>
          </w:p>
        </w:tc>
        <w:tc>
          <w:tcPr>
            <w:tcW w:w="2976" w:type="dxa"/>
            <w:vMerge w:val="continue"/>
            <w:shd w:val="clear" w:color="auto" w:fill="auto"/>
            <w:vAlign w:val="center"/>
          </w:tcPr>
          <w:p w14:paraId="4323D6C8">
            <w:pPr>
              <w:spacing w:line="300" w:lineRule="exact"/>
              <w:jc w:val="center"/>
            </w:pPr>
          </w:p>
        </w:tc>
        <w:tc>
          <w:tcPr>
            <w:tcW w:w="1417" w:type="dxa"/>
            <w:shd w:val="clear" w:color="auto" w:fill="auto"/>
            <w:vAlign w:val="center"/>
          </w:tcPr>
          <w:p w14:paraId="4DD212FA">
            <w:pPr>
              <w:spacing w:line="300" w:lineRule="exact"/>
              <w:jc w:val="left"/>
              <w:rPr>
                <w:rFonts w:ascii="方正书宋_GBK" w:hAnsi="Calibri" w:eastAsia="方正书宋_GBK" w:cs="Times New Roman"/>
              </w:rPr>
            </w:pPr>
            <w:r>
              <w:rPr>
                <w:rFonts w:hint="eastAsia" w:ascii="方正书宋_GBK" w:eastAsia="方正书宋_GBK"/>
              </w:rPr>
              <w:t>基本医疗保险参保率</w:t>
            </w:r>
          </w:p>
        </w:tc>
        <w:tc>
          <w:tcPr>
            <w:tcW w:w="737" w:type="dxa"/>
            <w:shd w:val="clear" w:color="auto" w:fill="auto"/>
            <w:vAlign w:val="center"/>
          </w:tcPr>
          <w:p w14:paraId="70371D08">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50261FFB">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85B03AA">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288BB8B7">
            <w:pPr>
              <w:spacing w:line="300" w:lineRule="exact"/>
              <w:jc w:val="center"/>
              <w:rPr>
                <w:rFonts w:ascii="方正书宋_GBK" w:hAnsi="Calibri" w:eastAsia="方正书宋_GBK" w:cs="Times New Roman"/>
              </w:rPr>
            </w:pPr>
            <w:r>
              <w:rPr>
                <w:rFonts w:ascii="方正书宋_GBK" w:eastAsia="方正书宋_GBK"/>
              </w:rPr>
              <w:t>&lt;80%</w:t>
            </w:r>
          </w:p>
        </w:tc>
      </w:tr>
      <w:tr w14:paraId="7C893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7ADB799B">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、长期护理保险</w:t>
            </w:r>
          </w:p>
        </w:tc>
        <w:tc>
          <w:tcPr>
            <w:tcW w:w="1276" w:type="dxa"/>
            <w:shd w:val="clear" w:color="auto" w:fill="auto"/>
            <w:vAlign w:val="center"/>
          </w:tcPr>
          <w:p w14:paraId="22A86A34">
            <w:pPr>
              <w:spacing w:line="300" w:lineRule="exact"/>
              <w:jc w:val="left"/>
              <w:rPr>
                <w:rFonts w:ascii="方正书宋_GBK" w:hAnsi="Calibri" w:eastAsia="方正书宋_GBK" w:cs="Times New Roman"/>
              </w:rPr>
            </w:pPr>
          </w:p>
        </w:tc>
        <w:tc>
          <w:tcPr>
            <w:tcW w:w="2976" w:type="dxa"/>
            <w:shd w:val="clear" w:color="auto" w:fill="auto"/>
            <w:vAlign w:val="center"/>
          </w:tcPr>
          <w:p w14:paraId="433D0E25">
            <w:pPr>
              <w:spacing w:line="300" w:lineRule="exact"/>
              <w:jc w:val="left"/>
              <w:rPr>
                <w:rFonts w:ascii="方正书宋_GBK" w:hAnsi="Calibri" w:eastAsia="方正书宋_GBK" w:cs="Times New Roman"/>
              </w:rPr>
            </w:pPr>
            <w:r>
              <w:rPr>
                <w:rFonts w:hint="eastAsia" w:ascii="方正书宋_GBK" w:eastAsia="方正书宋_GBK"/>
              </w:rPr>
              <w:t>落实长期护理保险政策，稳步提高医疗保障水平。完善医疗服务实时监控系统。</w:t>
            </w:r>
          </w:p>
        </w:tc>
        <w:tc>
          <w:tcPr>
            <w:tcW w:w="2976" w:type="dxa"/>
            <w:shd w:val="clear" w:color="auto" w:fill="auto"/>
            <w:vAlign w:val="center"/>
          </w:tcPr>
          <w:p w14:paraId="2A06F808">
            <w:pPr>
              <w:spacing w:line="300" w:lineRule="exact"/>
              <w:jc w:val="left"/>
              <w:rPr>
                <w:rFonts w:ascii="方正书宋_GBK" w:hAnsi="Calibri" w:eastAsia="方正书宋_GBK" w:cs="Times New Roman"/>
              </w:rPr>
            </w:pPr>
            <w:r>
              <w:rPr>
                <w:rFonts w:hint="eastAsia" w:ascii="方正书宋_GBK" w:eastAsia="方正书宋_GBK"/>
              </w:rPr>
              <w:t>长期护理保险待遇落实。</w:t>
            </w:r>
          </w:p>
        </w:tc>
        <w:tc>
          <w:tcPr>
            <w:tcW w:w="1417" w:type="dxa"/>
            <w:shd w:val="clear" w:color="auto" w:fill="auto"/>
            <w:vAlign w:val="center"/>
          </w:tcPr>
          <w:p w14:paraId="705A754E">
            <w:pPr>
              <w:spacing w:line="300" w:lineRule="exact"/>
              <w:jc w:val="left"/>
              <w:rPr>
                <w:rFonts w:ascii="方正书宋_GBK" w:hAnsi="Calibri" w:eastAsia="方正书宋_GBK" w:cs="Times New Roman"/>
              </w:rPr>
            </w:pPr>
            <w:r>
              <w:rPr>
                <w:rFonts w:hint="eastAsia" w:ascii="方正书宋_GBK" w:eastAsia="方正书宋_GBK"/>
              </w:rPr>
              <w:t>长期护理保险待遇到位率</w:t>
            </w:r>
          </w:p>
        </w:tc>
        <w:tc>
          <w:tcPr>
            <w:tcW w:w="737" w:type="dxa"/>
            <w:shd w:val="clear" w:color="auto" w:fill="auto"/>
            <w:vAlign w:val="center"/>
          </w:tcPr>
          <w:p w14:paraId="4535E3B4">
            <w:pPr>
              <w:spacing w:line="300" w:lineRule="exact"/>
              <w:jc w:val="center"/>
              <w:rPr>
                <w:rFonts w:ascii="方正书宋_GBK" w:hAnsi="Calibri" w:eastAsia="方正书宋_GBK" w:cs="Times New Roman"/>
              </w:rPr>
            </w:pPr>
            <w:r>
              <w:rPr>
                <w:rFonts w:ascii="方正书宋_GBK" w:eastAsia="方正书宋_GBK"/>
              </w:rPr>
              <w:t>100%</w:t>
            </w:r>
          </w:p>
        </w:tc>
        <w:tc>
          <w:tcPr>
            <w:tcW w:w="737" w:type="dxa"/>
            <w:shd w:val="clear" w:color="auto" w:fill="auto"/>
            <w:vAlign w:val="center"/>
          </w:tcPr>
          <w:p w14:paraId="34919B39">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F2A8122">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1CFCC3E6">
            <w:pPr>
              <w:spacing w:line="300" w:lineRule="exact"/>
              <w:jc w:val="center"/>
              <w:rPr>
                <w:rFonts w:ascii="方正书宋_GBK" w:hAnsi="Calibri" w:eastAsia="方正书宋_GBK" w:cs="Times New Roman"/>
              </w:rPr>
            </w:pPr>
            <w:r>
              <w:rPr>
                <w:rFonts w:ascii="方正书宋_GBK" w:eastAsia="方正书宋_GBK"/>
              </w:rPr>
              <w:t>&lt;80%</w:t>
            </w:r>
          </w:p>
        </w:tc>
      </w:tr>
      <w:tr w14:paraId="07E17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4CCA60DB">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3</w:t>
            </w:r>
            <w:r>
              <w:rPr>
                <w:rFonts w:hint="eastAsia" w:ascii="方正书宋_GBK" w:eastAsia="方正书宋_GBK"/>
                <w:b/>
              </w:rPr>
              <w:t>、生育保险政策实施及管理</w:t>
            </w:r>
          </w:p>
        </w:tc>
        <w:tc>
          <w:tcPr>
            <w:tcW w:w="1276" w:type="dxa"/>
            <w:shd w:val="clear" w:color="auto" w:fill="auto"/>
            <w:vAlign w:val="center"/>
          </w:tcPr>
          <w:p w14:paraId="7FE42F33">
            <w:pPr>
              <w:spacing w:line="300" w:lineRule="exact"/>
              <w:jc w:val="left"/>
              <w:rPr>
                <w:rFonts w:ascii="方正书宋_GBK" w:hAnsi="Calibri" w:eastAsia="方正书宋_GBK" w:cs="Times New Roman"/>
              </w:rPr>
            </w:pPr>
          </w:p>
        </w:tc>
        <w:tc>
          <w:tcPr>
            <w:tcW w:w="2976" w:type="dxa"/>
            <w:shd w:val="clear" w:color="auto" w:fill="auto"/>
            <w:vAlign w:val="center"/>
          </w:tcPr>
          <w:p w14:paraId="7B2F615D">
            <w:pPr>
              <w:spacing w:line="300" w:lineRule="exact"/>
              <w:jc w:val="left"/>
              <w:rPr>
                <w:rFonts w:ascii="方正书宋_GBK" w:hAnsi="Calibri" w:eastAsia="方正书宋_GBK" w:cs="Times New Roman"/>
              </w:rPr>
            </w:pPr>
            <w:r>
              <w:rPr>
                <w:rFonts w:hint="eastAsia" w:ascii="方正书宋_GBK" w:eastAsia="方正书宋_GBK"/>
              </w:rPr>
              <w:t>生育保险政策实施</w:t>
            </w:r>
          </w:p>
        </w:tc>
        <w:tc>
          <w:tcPr>
            <w:tcW w:w="2976" w:type="dxa"/>
            <w:shd w:val="clear" w:color="auto" w:fill="auto"/>
            <w:vAlign w:val="center"/>
          </w:tcPr>
          <w:p w14:paraId="27664465">
            <w:pPr>
              <w:spacing w:line="300" w:lineRule="exact"/>
              <w:jc w:val="left"/>
              <w:rPr>
                <w:rFonts w:ascii="方正书宋_GBK" w:hAnsi="Calibri" w:eastAsia="方正书宋_GBK" w:cs="Times New Roman"/>
              </w:rPr>
            </w:pPr>
            <w:r>
              <w:rPr>
                <w:rFonts w:hint="eastAsia" w:ascii="方正书宋_GBK" w:eastAsia="方正书宋_GBK"/>
              </w:rPr>
              <w:t>确保生育保险待遇落实。</w:t>
            </w:r>
          </w:p>
        </w:tc>
        <w:tc>
          <w:tcPr>
            <w:tcW w:w="1417" w:type="dxa"/>
            <w:shd w:val="clear" w:color="auto" w:fill="auto"/>
            <w:vAlign w:val="center"/>
          </w:tcPr>
          <w:p w14:paraId="7407C1CE">
            <w:pPr>
              <w:spacing w:line="300" w:lineRule="exact"/>
              <w:jc w:val="left"/>
              <w:rPr>
                <w:rFonts w:ascii="方正书宋_GBK" w:hAnsi="Calibri" w:eastAsia="方正书宋_GBK" w:cs="Times New Roman"/>
              </w:rPr>
            </w:pPr>
            <w:r>
              <w:rPr>
                <w:rFonts w:hint="eastAsia" w:ascii="方正书宋_GBK" w:eastAsia="方正书宋_GBK"/>
              </w:rPr>
              <w:t>生育保险待遇到位率</w:t>
            </w:r>
          </w:p>
        </w:tc>
        <w:tc>
          <w:tcPr>
            <w:tcW w:w="737" w:type="dxa"/>
            <w:shd w:val="clear" w:color="auto" w:fill="auto"/>
            <w:vAlign w:val="center"/>
          </w:tcPr>
          <w:p w14:paraId="79500400">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797FD8CC">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9193676">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3F40E5E5">
            <w:pPr>
              <w:spacing w:line="300" w:lineRule="exact"/>
              <w:jc w:val="center"/>
              <w:rPr>
                <w:rFonts w:ascii="方正书宋_GBK" w:hAnsi="Calibri" w:eastAsia="方正书宋_GBK" w:cs="Times New Roman"/>
              </w:rPr>
            </w:pPr>
            <w:r>
              <w:rPr>
                <w:rFonts w:ascii="方正书宋_GBK" w:eastAsia="方正书宋_GBK"/>
              </w:rPr>
              <w:t>&lt;80%</w:t>
            </w:r>
          </w:p>
        </w:tc>
      </w:tr>
      <w:tr w14:paraId="2CBA7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F245869">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4</w:t>
            </w:r>
            <w:r>
              <w:rPr>
                <w:rFonts w:hint="eastAsia" w:ascii="方正书宋_GBK" w:eastAsia="方正书宋_GBK"/>
                <w:b/>
              </w:rPr>
              <w:t>、医疗救助</w:t>
            </w:r>
          </w:p>
        </w:tc>
        <w:tc>
          <w:tcPr>
            <w:tcW w:w="1276" w:type="dxa"/>
            <w:shd w:val="clear" w:color="auto" w:fill="auto"/>
            <w:vAlign w:val="center"/>
          </w:tcPr>
          <w:p w14:paraId="1F9C9FEC">
            <w:pPr>
              <w:spacing w:line="300" w:lineRule="exact"/>
              <w:jc w:val="left"/>
              <w:rPr>
                <w:rFonts w:ascii="方正书宋_GBK" w:hAnsi="Calibri" w:eastAsia="方正书宋_GBK" w:cs="Times New Roman"/>
              </w:rPr>
            </w:pPr>
            <w:r>
              <w:rPr>
                <w:rFonts w:ascii="方正书宋_GBK" w:eastAsia="方正书宋_GBK"/>
              </w:rPr>
              <w:t>28.00</w:t>
            </w:r>
          </w:p>
        </w:tc>
        <w:tc>
          <w:tcPr>
            <w:tcW w:w="2976" w:type="dxa"/>
            <w:shd w:val="clear" w:color="auto" w:fill="auto"/>
            <w:vAlign w:val="center"/>
          </w:tcPr>
          <w:p w14:paraId="676DDFD3">
            <w:pPr>
              <w:spacing w:line="300" w:lineRule="exact"/>
              <w:jc w:val="left"/>
              <w:rPr>
                <w:rFonts w:ascii="方正书宋_GBK" w:hAnsi="Calibri" w:eastAsia="方正书宋_GBK" w:cs="Times New Roman"/>
              </w:rPr>
            </w:pPr>
            <w:r>
              <w:rPr>
                <w:rFonts w:hint="eastAsia" w:ascii="方正书宋_GBK" w:eastAsia="方正书宋_GBK"/>
              </w:rPr>
              <w:t>医疗救助政策实施</w:t>
            </w:r>
          </w:p>
        </w:tc>
        <w:tc>
          <w:tcPr>
            <w:tcW w:w="2976" w:type="dxa"/>
            <w:shd w:val="clear" w:color="auto" w:fill="auto"/>
            <w:vAlign w:val="center"/>
          </w:tcPr>
          <w:p w14:paraId="02C37D0B">
            <w:pPr>
              <w:spacing w:line="300" w:lineRule="exact"/>
              <w:jc w:val="left"/>
              <w:rPr>
                <w:rFonts w:ascii="方正书宋_GBK" w:hAnsi="Calibri" w:eastAsia="方正书宋_GBK" w:cs="Times New Roman"/>
              </w:rPr>
            </w:pPr>
            <w:r>
              <w:rPr>
                <w:rFonts w:hint="eastAsia" w:ascii="方正书宋_GBK" w:eastAsia="方正书宋_GBK"/>
              </w:rPr>
              <w:t>确保医疗救助待遇落实。</w:t>
            </w:r>
          </w:p>
        </w:tc>
        <w:tc>
          <w:tcPr>
            <w:tcW w:w="1417" w:type="dxa"/>
            <w:shd w:val="clear" w:color="auto" w:fill="auto"/>
            <w:vAlign w:val="center"/>
          </w:tcPr>
          <w:p w14:paraId="7892978D">
            <w:pPr>
              <w:spacing w:line="300" w:lineRule="exact"/>
              <w:jc w:val="left"/>
              <w:rPr>
                <w:rFonts w:ascii="方正书宋_GBK" w:hAnsi="Calibri" w:eastAsia="方正书宋_GBK" w:cs="Times New Roman"/>
              </w:rPr>
            </w:pPr>
            <w:r>
              <w:rPr>
                <w:rFonts w:hint="eastAsia" w:ascii="方正书宋_GBK" w:eastAsia="方正书宋_GBK"/>
              </w:rPr>
              <w:t>医疗救助待遇到位率</w:t>
            </w:r>
          </w:p>
        </w:tc>
        <w:tc>
          <w:tcPr>
            <w:tcW w:w="737" w:type="dxa"/>
            <w:shd w:val="clear" w:color="auto" w:fill="auto"/>
            <w:vAlign w:val="center"/>
          </w:tcPr>
          <w:p w14:paraId="3EC509A0">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14:paraId="587A12AF">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4817F9A4">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14:paraId="3168FFAD">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75%</w:t>
            </w:r>
          </w:p>
        </w:tc>
      </w:tr>
      <w:tr w14:paraId="5DE3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6962365B">
            <w:pPr>
              <w:spacing w:line="300" w:lineRule="exact"/>
              <w:jc w:val="left"/>
              <w:rPr>
                <w:rFonts w:ascii="方正书宋_GBK" w:hAnsi="Calibri" w:eastAsia="方正书宋_GBK" w:cs="Times New Roman"/>
                <w:b/>
              </w:rPr>
            </w:pPr>
            <w:r>
              <w:rPr>
                <w:rFonts w:hint="eastAsia" w:ascii="方正书宋_GBK" w:eastAsia="方正书宋_GBK"/>
                <w:b/>
              </w:rPr>
              <w:t>二、医保基金监督管理</w:t>
            </w:r>
          </w:p>
        </w:tc>
        <w:tc>
          <w:tcPr>
            <w:tcW w:w="1276" w:type="dxa"/>
            <w:shd w:val="clear" w:color="auto" w:fill="auto"/>
            <w:vAlign w:val="center"/>
          </w:tcPr>
          <w:p w14:paraId="51B6C3AA">
            <w:pPr>
              <w:spacing w:line="300" w:lineRule="exact"/>
              <w:jc w:val="left"/>
              <w:rPr>
                <w:rFonts w:ascii="方正书宋_GBK" w:hAnsi="Calibri" w:eastAsia="方正书宋_GBK" w:cs="Times New Roman"/>
              </w:rPr>
            </w:pPr>
            <w:r>
              <w:rPr>
                <w:rFonts w:ascii="方正书宋_GBK" w:eastAsia="方正书宋_GBK"/>
              </w:rPr>
              <w:t>109.00</w:t>
            </w:r>
          </w:p>
        </w:tc>
        <w:tc>
          <w:tcPr>
            <w:tcW w:w="2976" w:type="dxa"/>
            <w:shd w:val="clear" w:color="auto" w:fill="auto"/>
            <w:vAlign w:val="center"/>
          </w:tcPr>
          <w:p w14:paraId="44EFEEE8">
            <w:pPr>
              <w:spacing w:line="300" w:lineRule="exact"/>
              <w:jc w:val="left"/>
              <w:rPr>
                <w:rFonts w:ascii="方正书宋_GBK" w:hAnsi="Calibri" w:eastAsia="方正书宋_GBK" w:cs="Times New Roman"/>
              </w:rPr>
            </w:pPr>
            <w:r>
              <w:rPr>
                <w:rFonts w:hint="eastAsia" w:ascii="方正书宋_GBK" w:eastAsia="方正书宋_GBK"/>
              </w:rPr>
              <w:t>贯彻落实党</w:t>
            </w:r>
            <w:r>
              <w:rPr>
                <w:rFonts w:hint="eastAsia" w:ascii="方正书宋_GBK" w:eastAsia="方正书宋_GBK"/>
                <w:lang w:eastAsia="zh-CN"/>
              </w:rPr>
              <w:t>和</w:t>
            </w:r>
            <w:bookmarkStart w:id="3" w:name="_GoBack"/>
            <w:bookmarkEnd w:id="3"/>
            <w:r>
              <w:rPr>
                <w:rFonts w:hint="eastAsia" w:ascii="方正书宋_GBK" w:eastAsia="方正书宋_GBK"/>
              </w:rPr>
              <w:t>国家、省、市医疗保障基金监督管理规定，建立健全医疗保障基金安全防控机制，建设维护网络信息系统和职能监控平台。</w:t>
            </w:r>
          </w:p>
        </w:tc>
        <w:tc>
          <w:tcPr>
            <w:tcW w:w="2976" w:type="dxa"/>
            <w:shd w:val="clear" w:color="auto" w:fill="auto"/>
            <w:vAlign w:val="center"/>
          </w:tcPr>
          <w:p w14:paraId="3B3B952C">
            <w:pPr>
              <w:spacing w:line="300" w:lineRule="exact"/>
              <w:jc w:val="left"/>
              <w:rPr>
                <w:rFonts w:ascii="方正书宋_GBK" w:hAnsi="Calibri" w:eastAsia="方正书宋_GBK" w:cs="Times New Roman"/>
              </w:rPr>
            </w:pPr>
            <w:r>
              <w:rPr>
                <w:rFonts w:hint="eastAsia" w:ascii="方正书宋_GBK" w:eastAsia="方正书宋_GBK"/>
              </w:rPr>
              <w:t>落实党医疗保障基金监督管理规定，建立健全医疗保障基金安全防控机制，建设维护网络信息系统和职能监控平台。</w:t>
            </w:r>
          </w:p>
        </w:tc>
        <w:tc>
          <w:tcPr>
            <w:tcW w:w="1417" w:type="dxa"/>
            <w:shd w:val="clear" w:color="auto" w:fill="auto"/>
            <w:vAlign w:val="center"/>
          </w:tcPr>
          <w:p w14:paraId="118F57F9">
            <w:pPr>
              <w:spacing w:line="300" w:lineRule="exact"/>
              <w:jc w:val="left"/>
              <w:rPr>
                <w:rFonts w:ascii="方正书宋_GBK" w:hAnsi="Calibri" w:eastAsia="方正书宋_GBK" w:cs="Times New Roman"/>
              </w:rPr>
            </w:pPr>
          </w:p>
        </w:tc>
        <w:tc>
          <w:tcPr>
            <w:tcW w:w="737" w:type="dxa"/>
            <w:shd w:val="clear" w:color="auto" w:fill="auto"/>
            <w:vAlign w:val="center"/>
          </w:tcPr>
          <w:p w14:paraId="5E9BD6F2">
            <w:pPr>
              <w:spacing w:line="300" w:lineRule="exact"/>
              <w:jc w:val="center"/>
              <w:rPr>
                <w:rFonts w:ascii="方正书宋_GBK" w:hAnsi="Calibri" w:eastAsia="方正书宋_GBK" w:cs="Times New Roman"/>
              </w:rPr>
            </w:pPr>
          </w:p>
        </w:tc>
        <w:tc>
          <w:tcPr>
            <w:tcW w:w="737" w:type="dxa"/>
            <w:shd w:val="clear" w:color="auto" w:fill="auto"/>
            <w:vAlign w:val="center"/>
          </w:tcPr>
          <w:p w14:paraId="3AA7547D">
            <w:pPr>
              <w:spacing w:line="300" w:lineRule="exact"/>
              <w:jc w:val="center"/>
              <w:rPr>
                <w:rFonts w:ascii="方正书宋_GBK" w:hAnsi="Calibri" w:eastAsia="方正书宋_GBK" w:cs="Times New Roman"/>
              </w:rPr>
            </w:pPr>
          </w:p>
        </w:tc>
        <w:tc>
          <w:tcPr>
            <w:tcW w:w="737" w:type="dxa"/>
            <w:shd w:val="clear" w:color="auto" w:fill="auto"/>
            <w:vAlign w:val="center"/>
          </w:tcPr>
          <w:p w14:paraId="035BA475">
            <w:pPr>
              <w:spacing w:line="300" w:lineRule="exact"/>
              <w:jc w:val="center"/>
              <w:rPr>
                <w:rFonts w:ascii="方正书宋_GBK" w:hAnsi="Calibri" w:eastAsia="方正书宋_GBK" w:cs="Times New Roman"/>
              </w:rPr>
            </w:pPr>
          </w:p>
        </w:tc>
        <w:tc>
          <w:tcPr>
            <w:tcW w:w="737" w:type="dxa"/>
            <w:shd w:val="clear" w:color="auto" w:fill="auto"/>
            <w:vAlign w:val="center"/>
          </w:tcPr>
          <w:p w14:paraId="4E66C9A5">
            <w:pPr>
              <w:spacing w:line="300" w:lineRule="exact"/>
              <w:jc w:val="center"/>
              <w:rPr>
                <w:rFonts w:ascii="方正书宋_GBK" w:hAnsi="Calibri" w:eastAsia="方正书宋_GBK" w:cs="Times New Roman"/>
              </w:rPr>
            </w:pPr>
          </w:p>
        </w:tc>
      </w:tr>
      <w:tr w14:paraId="563D3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1324E9AE">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、医疗保障基金监督管理</w:t>
            </w:r>
          </w:p>
        </w:tc>
        <w:tc>
          <w:tcPr>
            <w:tcW w:w="1276" w:type="dxa"/>
            <w:vMerge w:val="restart"/>
            <w:shd w:val="clear" w:color="auto" w:fill="auto"/>
            <w:vAlign w:val="center"/>
          </w:tcPr>
          <w:p w14:paraId="4354F838">
            <w:pPr>
              <w:spacing w:line="300" w:lineRule="exact"/>
              <w:jc w:val="left"/>
              <w:rPr>
                <w:rFonts w:ascii="方正书宋_GBK" w:hAnsi="Calibri" w:eastAsia="方正书宋_GBK" w:cs="Times New Roman"/>
              </w:rPr>
            </w:pPr>
            <w:r>
              <w:rPr>
                <w:rFonts w:ascii="方正书宋_GBK" w:eastAsia="方正书宋_GBK"/>
              </w:rPr>
              <w:t>109.00</w:t>
            </w:r>
          </w:p>
        </w:tc>
        <w:tc>
          <w:tcPr>
            <w:tcW w:w="2976" w:type="dxa"/>
            <w:vMerge w:val="restart"/>
            <w:shd w:val="clear" w:color="auto" w:fill="auto"/>
            <w:vAlign w:val="center"/>
          </w:tcPr>
          <w:p w14:paraId="41663A92">
            <w:pPr>
              <w:spacing w:line="300" w:lineRule="exact"/>
              <w:jc w:val="left"/>
              <w:rPr>
                <w:rFonts w:ascii="方正书宋_GBK" w:hAnsi="Calibri" w:eastAsia="方正书宋_GBK" w:cs="Times New Roman"/>
              </w:rPr>
            </w:pPr>
            <w:r>
              <w:rPr>
                <w:rFonts w:hint="eastAsia" w:ascii="方正书宋_GBK" w:eastAsia="方正书宋_GBK"/>
              </w:rPr>
              <w:t>贯彻落实国家医疗保障基金监督管理规定</w:t>
            </w:r>
          </w:p>
        </w:tc>
        <w:tc>
          <w:tcPr>
            <w:tcW w:w="2976" w:type="dxa"/>
            <w:vMerge w:val="restart"/>
            <w:shd w:val="clear" w:color="auto" w:fill="auto"/>
            <w:vAlign w:val="center"/>
          </w:tcPr>
          <w:p w14:paraId="58025AA5">
            <w:pPr>
              <w:spacing w:line="300" w:lineRule="exact"/>
              <w:jc w:val="left"/>
              <w:rPr>
                <w:rFonts w:ascii="方正书宋_GBK" w:hAnsi="Calibri" w:eastAsia="方正书宋_GBK" w:cs="Times New Roman"/>
              </w:rPr>
            </w:pPr>
          </w:p>
        </w:tc>
        <w:tc>
          <w:tcPr>
            <w:tcW w:w="1417" w:type="dxa"/>
            <w:shd w:val="clear" w:color="auto" w:fill="auto"/>
            <w:vAlign w:val="center"/>
          </w:tcPr>
          <w:p w14:paraId="7CC43D1E">
            <w:pPr>
              <w:spacing w:line="300" w:lineRule="exact"/>
              <w:jc w:val="left"/>
              <w:rPr>
                <w:rFonts w:ascii="方正书宋_GBK" w:hAnsi="Calibri" w:eastAsia="方正书宋_GBK" w:cs="Times New Roman"/>
              </w:rPr>
            </w:pPr>
            <w:r>
              <w:rPr>
                <w:rFonts w:hint="eastAsia" w:ascii="方正书宋_GBK" w:eastAsia="方正书宋_GBK"/>
              </w:rPr>
              <w:t>网络信息系统后台职能监控平台展开率。</w:t>
            </w:r>
          </w:p>
        </w:tc>
        <w:tc>
          <w:tcPr>
            <w:tcW w:w="737" w:type="dxa"/>
            <w:shd w:val="clear" w:color="auto" w:fill="auto"/>
            <w:vAlign w:val="center"/>
          </w:tcPr>
          <w:p w14:paraId="5BE4B5AB">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791626F5">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78CB889C">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0FFF2A1B">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r>
      <w:tr w14:paraId="12969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43D05C34">
            <w:pPr>
              <w:spacing w:line="300" w:lineRule="exact"/>
              <w:jc w:val="left"/>
              <w:rPr>
                <w:rFonts w:ascii="方正书宋_GBK" w:hAnsi="Calibri" w:eastAsia="方正书宋_GBK" w:cs="Times New Roman"/>
                <w:b/>
              </w:rPr>
            </w:pPr>
          </w:p>
        </w:tc>
        <w:tc>
          <w:tcPr>
            <w:tcW w:w="1276" w:type="dxa"/>
            <w:vMerge w:val="continue"/>
            <w:shd w:val="clear" w:color="auto" w:fill="auto"/>
            <w:vAlign w:val="center"/>
          </w:tcPr>
          <w:p w14:paraId="65B2EAA5">
            <w:pPr>
              <w:spacing w:line="300" w:lineRule="exact"/>
              <w:jc w:val="left"/>
              <w:rPr>
                <w:rFonts w:ascii="方正书宋_GBK" w:hAnsi="Calibri" w:eastAsia="方正书宋_GBK" w:cs="Times New Roman"/>
              </w:rPr>
            </w:pPr>
          </w:p>
        </w:tc>
        <w:tc>
          <w:tcPr>
            <w:tcW w:w="2976" w:type="dxa"/>
            <w:vMerge w:val="continue"/>
            <w:shd w:val="clear" w:color="auto" w:fill="auto"/>
            <w:vAlign w:val="center"/>
          </w:tcPr>
          <w:p w14:paraId="696A083F">
            <w:pPr>
              <w:spacing w:line="300" w:lineRule="exact"/>
              <w:jc w:val="left"/>
              <w:rPr>
                <w:rFonts w:ascii="方正书宋_GBK" w:hAnsi="Calibri" w:eastAsia="方正书宋_GBK" w:cs="Times New Roman"/>
              </w:rPr>
            </w:pPr>
          </w:p>
        </w:tc>
        <w:tc>
          <w:tcPr>
            <w:tcW w:w="2976" w:type="dxa"/>
            <w:vMerge w:val="continue"/>
            <w:shd w:val="clear" w:color="auto" w:fill="auto"/>
            <w:vAlign w:val="center"/>
          </w:tcPr>
          <w:p w14:paraId="1F2E9908">
            <w:pPr>
              <w:spacing w:line="300" w:lineRule="exact"/>
              <w:jc w:val="left"/>
              <w:rPr>
                <w:rFonts w:ascii="方正书宋_GBK" w:hAnsi="Calibri" w:eastAsia="方正书宋_GBK" w:cs="Times New Roman"/>
              </w:rPr>
            </w:pPr>
          </w:p>
        </w:tc>
        <w:tc>
          <w:tcPr>
            <w:tcW w:w="1417" w:type="dxa"/>
            <w:shd w:val="clear" w:color="auto" w:fill="auto"/>
            <w:vAlign w:val="center"/>
          </w:tcPr>
          <w:p w14:paraId="339BD7D8">
            <w:pPr>
              <w:spacing w:line="300" w:lineRule="exact"/>
              <w:jc w:val="left"/>
              <w:rPr>
                <w:rFonts w:ascii="方正书宋_GBK" w:hAnsi="Calibri" w:eastAsia="方正书宋_GBK" w:cs="Times New Roman"/>
              </w:rPr>
            </w:pPr>
            <w:r>
              <w:rPr>
                <w:rFonts w:hint="eastAsia" w:ascii="方正书宋_GBK" w:eastAsia="方正书宋_GBK"/>
              </w:rPr>
              <w:t>医疗保障基金支付方式改革完成度</w:t>
            </w:r>
          </w:p>
        </w:tc>
        <w:tc>
          <w:tcPr>
            <w:tcW w:w="737" w:type="dxa"/>
            <w:shd w:val="clear" w:color="auto" w:fill="auto"/>
            <w:vAlign w:val="center"/>
          </w:tcPr>
          <w:p w14:paraId="32BA8151">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51645205">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9DF3B7E">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13AC917E">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r>
      <w:tr w14:paraId="5555C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25" w:hRule="atLeast"/>
          <w:jc w:val="center"/>
        </w:trPr>
        <w:tc>
          <w:tcPr>
            <w:tcW w:w="2341" w:type="dxa"/>
            <w:shd w:val="clear" w:color="auto" w:fill="auto"/>
            <w:vAlign w:val="center"/>
          </w:tcPr>
          <w:p w14:paraId="5ADC50D3">
            <w:pPr>
              <w:spacing w:line="300" w:lineRule="exact"/>
              <w:jc w:val="left"/>
              <w:rPr>
                <w:rFonts w:ascii="方正书宋_GBK" w:hAnsi="Calibri" w:eastAsia="方正书宋_GBK" w:cs="Times New Roman"/>
                <w:b/>
              </w:rPr>
            </w:pPr>
            <w:r>
              <w:rPr>
                <w:rFonts w:hint="eastAsia" w:ascii="方正书宋_GBK" w:eastAsia="方正书宋_GBK"/>
                <w:b/>
              </w:rPr>
              <w:t>四、医保经办管理</w:t>
            </w:r>
          </w:p>
        </w:tc>
        <w:tc>
          <w:tcPr>
            <w:tcW w:w="1276" w:type="dxa"/>
            <w:shd w:val="clear" w:color="auto" w:fill="auto"/>
            <w:vAlign w:val="center"/>
          </w:tcPr>
          <w:p w14:paraId="70C2CC45">
            <w:pPr>
              <w:spacing w:line="300" w:lineRule="exact"/>
              <w:jc w:val="left"/>
              <w:rPr>
                <w:rFonts w:ascii="方正书宋_GBK" w:hAnsi="Calibri" w:eastAsia="方正书宋_GBK" w:cs="Times New Roman"/>
              </w:rPr>
            </w:pPr>
            <w:r>
              <w:rPr>
                <w:rFonts w:ascii="方正书宋_GBK" w:eastAsia="方正书宋_GBK"/>
              </w:rPr>
              <w:t>60.00</w:t>
            </w:r>
          </w:p>
        </w:tc>
        <w:tc>
          <w:tcPr>
            <w:tcW w:w="2976" w:type="dxa"/>
            <w:shd w:val="clear" w:color="auto" w:fill="auto"/>
            <w:vAlign w:val="center"/>
          </w:tcPr>
          <w:p w14:paraId="7B28AEED">
            <w:pPr>
              <w:spacing w:line="300" w:lineRule="exact"/>
              <w:jc w:val="left"/>
              <w:rPr>
                <w:rFonts w:ascii="方正书宋_GBK" w:hAnsi="Calibri" w:eastAsia="方正书宋_GBK" w:cs="Times New Roman"/>
              </w:rPr>
            </w:pPr>
            <w:r>
              <w:rPr>
                <w:rFonts w:hint="eastAsia" w:ascii="方正书宋_GBK" w:eastAsia="方正书宋_GBK"/>
              </w:rPr>
              <w:t>负责医疗保障经办管理、公共服务体系和信息化建设。</w:t>
            </w:r>
          </w:p>
        </w:tc>
        <w:tc>
          <w:tcPr>
            <w:tcW w:w="2976" w:type="dxa"/>
            <w:shd w:val="clear" w:color="auto" w:fill="auto"/>
            <w:vAlign w:val="center"/>
          </w:tcPr>
          <w:p w14:paraId="55884299">
            <w:pPr>
              <w:spacing w:line="300" w:lineRule="exact"/>
              <w:jc w:val="left"/>
              <w:rPr>
                <w:rFonts w:ascii="方正书宋_GBK" w:hAnsi="Calibri" w:eastAsia="方正书宋_GBK" w:cs="Times New Roman"/>
              </w:rPr>
            </w:pPr>
            <w:r>
              <w:rPr>
                <w:rFonts w:hint="eastAsia" w:ascii="方正书宋_GBK" w:eastAsia="方正书宋_GBK"/>
              </w:rPr>
              <w:t>负责医疗保障经办管理、公共服务体系和信息化建设。贯彻落实异地就医管理和费用结算政策、医疗保障关系转移接续制度。</w:t>
            </w:r>
          </w:p>
        </w:tc>
        <w:tc>
          <w:tcPr>
            <w:tcW w:w="1417" w:type="dxa"/>
            <w:shd w:val="clear" w:color="auto" w:fill="auto"/>
            <w:vAlign w:val="center"/>
          </w:tcPr>
          <w:p w14:paraId="2DC9FC6C">
            <w:pPr>
              <w:spacing w:line="300" w:lineRule="exact"/>
              <w:jc w:val="left"/>
              <w:rPr>
                <w:rFonts w:ascii="方正书宋_GBK" w:hAnsi="Calibri" w:eastAsia="方正书宋_GBK" w:cs="Times New Roman"/>
              </w:rPr>
            </w:pPr>
          </w:p>
        </w:tc>
        <w:tc>
          <w:tcPr>
            <w:tcW w:w="737" w:type="dxa"/>
            <w:vMerge w:val="restart"/>
            <w:shd w:val="clear" w:color="auto" w:fill="auto"/>
            <w:vAlign w:val="center"/>
          </w:tcPr>
          <w:p w14:paraId="348E7939">
            <w:pPr>
              <w:spacing w:line="300" w:lineRule="exact"/>
              <w:jc w:val="center"/>
              <w:rPr>
                <w:rFonts w:ascii="方正书宋_GBK" w:hAnsi="Calibri" w:eastAsia="方正书宋_GBK" w:cs="Times New Roman"/>
              </w:rPr>
            </w:pPr>
          </w:p>
        </w:tc>
        <w:tc>
          <w:tcPr>
            <w:tcW w:w="737" w:type="dxa"/>
            <w:shd w:val="clear" w:color="auto" w:fill="auto"/>
            <w:vAlign w:val="center"/>
          </w:tcPr>
          <w:p w14:paraId="19A5B8DA">
            <w:pPr>
              <w:spacing w:line="300" w:lineRule="exact"/>
              <w:jc w:val="center"/>
              <w:rPr>
                <w:rFonts w:ascii="方正书宋_GBK" w:hAnsi="Calibri" w:eastAsia="方正书宋_GBK" w:cs="Times New Roman"/>
              </w:rPr>
            </w:pPr>
          </w:p>
        </w:tc>
        <w:tc>
          <w:tcPr>
            <w:tcW w:w="737" w:type="dxa"/>
            <w:shd w:val="clear" w:color="auto" w:fill="auto"/>
            <w:vAlign w:val="center"/>
          </w:tcPr>
          <w:p w14:paraId="3B864ED6">
            <w:pPr>
              <w:spacing w:line="300" w:lineRule="exact"/>
              <w:jc w:val="center"/>
              <w:rPr>
                <w:rFonts w:ascii="方正书宋_GBK" w:hAnsi="Calibri" w:eastAsia="方正书宋_GBK" w:cs="Times New Roman"/>
              </w:rPr>
            </w:pPr>
          </w:p>
        </w:tc>
        <w:tc>
          <w:tcPr>
            <w:tcW w:w="737" w:type="dxa"/>
            <w:shd w:val="clear" w:color="auto" w:fill="auto"/>
            <w:vAlign w:val="center"/>
          </w:tcPr>
          <w:p w14:paraId="7784A5BA">
            <w:pPr>
              <w:spacing w:line="300" w:lineRule="exact"/>
              <w:jc w:val="center"/>
              <w:rPr>
                <w:rFonts w:ascii="方正书宋_GBK" w:hAnsi="Calibri" w:eastAsia="方正书宋_GBK" w:cs="Times New Roman"/>
              </w:rPr>
            </w:pPr>
          </w:p>
        </w:tc>
      </w:tr>
      <w:tr w14:paraId="379A4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0E680739">
            <w:pPr>
              <w:spacing w:line="300" w:lineRule="exact"/>
              <w:jc w:val="left"/>
              <w:rPr>
                <w:rFonts w:ascii="方正书宋_GBK" w:hAnsi="Calibri" w:eastAsia="方正书宋_GBK" w:cs="Times New Roman"/>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、综合业务管理</w:t>
            </w:r>
          </w:p>
        </w:tc>
        <w:tc>
          <w:tcPr>
            <w:tcW w:w="1276" w:type="dxa"/>
            <w:shd w:val="clear" w:color="auto" w:fill="auto"/>
            <w:vAlign w:val="center"/>
          </w:tcPr>
          <w:p w14:paraId="41358A96">
            <w:pPr>
              <w:spacing w:line="300" w:lineRule="exact"/>
              <w:jc w:val="left"/>
              <w:rPr>
                <w:rFonts w:ascii="方正书宋_GBK" w:hAnsi="Calibri" w:eastAsia="方正书宋_GBK" w:cs="Times New Roman"/>
              </w:rPr>
            </w:pPr>
          </w:p>
        </w:tc>
        <w:tc>
          <w:tcPr>
            <w:tcW w:w="2976" w:type="dxa"/>
            <w:shd w:val="clear" w:color="auto" w:fill="auto"/>
            <w:vAlign w:val="center"/>
          </w:tcPr>
          <w:p w14:paraId="53C5A095">
            <w:pPr>
              <w:spacing w:line="300" w:lineRule="exact"/>
              <w:jc w:val="left"/>
              <w:rPr>
                <w:rFonts w:ascii="方正书宋_GBK" w:hAnsi="Calibri" w:eastAsia="方正书宋_GBK" w:cs="Times New Roman"/>
              </w:rPr>
            </w:pPr>
            <w:r>
              <w:rPr>
                <w:rFonts w:hint="eastAsia" w:ascii="方正书宋_GBK" w:eastAsia="方正书宋_GBK"/>
              </w:rPr>
              <w:t>负责医疗保障经办管理、公共服务体系和信息化建设。贯彻落实异地就医管理和费用结算政策、医疗保障关系转移接续制度。</w:t>
            </w:r>
          </w:p>
        </w:tc>
        <w:tc>
          <w:tcPr>
            <w:tcW w:w="2976" w:type="dxa"/>
            <w:shd w:val="clear" w:color="auto" w:fill="auto"/>
            <w:vAlign w:val="center"/>
          </w:tcPr>
          <w:p w14:paraId="21109CE5">
            <w:pPr>
              <w:spacing w:line="300" w:lineRule="exact"/>
              <w:jc w:val="left"/>
              <w:rPr>
                <w:rFonts w:ascii="方正书宋_GBK" w:hAnsi="Calibri" w:eastAsia="方正书宋_GBK" w:cs="Times New Roman"/>
              </w:rPr>
            </w:pPr>
            <w:r>
              <w:rPr>
                <w:rFonts w:hint="eastAsia" w:ascii="方正书宋_GBK" w:eastAsia="方正书宋_GBK"/>
              </w:rPr>
              <w:t>保障机关正常运转</w:t>
            </w:r>
          </w:p>
        </w:tc>
        <w:tc>
          <w:tcPr>
            <w:tcW w:w="1417" w:type="dxa"/>
            <w:shd w:val="clear" w:color="auto" w:fill="auto"/>
            <w:vAlign w:val="center"/>
          </w:tcPr>
          <w:p w14:paraId="1ADC35C1">
            <w:pPr>
              <w:spacing w:line="300" w:lineRule="exact"/>
              <w:jc w:val="left"/>
              <w:rPr>
                <w:rFonts w:ascii="方正书宋_GBK" w:hAnsi="Calibri" w:eastAsia="方正书宋_GBK" w:cs="Times New Roman"/>
              </w:rPr>
            </w:pPr>
            <w:r>
              <w:rPr>
                <w:rFonts w:hint="eastAsia" w:ascii="方正书宋_GBK" w:eastAsia="方正书宋_GBK"/>
              </w:rPr>
              <w:t>医疗保障信息化保障支撑度</w:t>
            </w:r>
          </w:p>
        </w:tc>
        <w:tc>
          <w:tcPr>
            <w:tcW w:w="737" w:type="dxa"/>
            <w:shd w:val="clear" w:color="auto" w:fill="auto"/>
            <w:vAlign w:val="center"/>
          </w:tcPr>
          <w:p w14:paraId="0C9B3844">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20556A25">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0F9456BB">
            <w:pPr>
              <w:spacing w:line="300" w:lineRule="exact"/>
              <w:jc w:val="center"/>
              <w:rPr>
                <w:rFonts w:ascii="方正书宋_GBK" w:hAnsi="Calibri" w:eastAsia="方正书宋_GBK" w:cs="Times New Roman"/>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3623908E">
            <w:pPr>
              <w:spacing w:line="300" w:lineRule="exact"/>
              <w:jc w:val="center"/>
              <w:rPr>
                <w:rFonts w:ascii="方正书宋_GBK" w:hAnsi="Calibri" w:eastAsia="方正书宋_GBK" w:cs="Times New Roman"/>
              </w:rPr>
            </w:pPr>
            <w:r>
              <w:rPr>
                <w:rFonts w:ascii="方正书宋_GBK" w:eastAsia="方正书宋_GBK"/>
              </w:rPr>
              <w:t>&lt;80%</w:t>
            </w:r>
          </w:p>
        </w:tc>
      </w:tr>
    </w:tbl>
    <w:p w14:paraId="51670CDE">
      <w:pPr>
        <w:autoSpaceDE w:val="0"/>
        <w:autoSpaceDN w:val="0"/>
        <w:adjustRightInd w:val="0"/>
        <w:ind w:firstLine="640" w:firstLineChars="200"/>
        <w:jc w:val="left"/>
        <w:rPr>
          <w:rFonts w:hint="eastAsia" w:ascii="黑体" w:hAnsi="黑体" w:eastAsia="黑体" w:cs="Times New Roman"/>
          <w:sz w:val="32"/>
          <w:szCs w:val="32"/>
        </w:rPr>
      </w:pPr>
    </w:p>
    <w:p w14:paraId="0C9A7CB1">
      <w:pPr>
        <w:autoSpaceDE w:val="0"/>
        <w:autoSpaceDN w:val="0"/>
        <w:adjustRightInd w:val="0"/>
        <w:ind w:firstLine="640" w:firstLineChars="200"/>
        <w:jc w:val="left"/>
        <w:rPr>
          <w:rFonts w:hint="eastAsia" w:ascii="黑体" w:hAnsi="黑体" w:eastAsia="黑体" w:cs="Times New Roman"/>
          <w:sz w:val="32"/>
          <w:szCs w:val="32"/>
        </w:rPr>
      </w:pPr>
    </w:p>
    <w:p w14:paraId="609B8549">
      <w:pPr>
        <w:autoSpaceDE w:val="0"/>
        <w:autoSpaceDN w:val="0"/>
        <w:adjustRightInd w:val="0"/>
        <w:ind w:firstLine="640" w:firstLineChars="200"/>
        <w:jc w:val="left"/>
        <w:rPr>
          <w:rFonts w:hint="eastAsia" w:ascii="黑体" w:hAnsi="黑体" w:eastAsia="黑体" w:cs="Times New Roman"/>
          <w:sz w:val="32"/>
          <w:szCs w:val="32"/>
        </w:rPr>
      </w:pPr>
    </w:p>
    <w:p w14:paraId="453220A9">
      <w:pPr>
        <w:autoSpaceDE w:val="0"/>
        <w:autoSpaceDN w:val="0"/>
        <w:adjustRightInd w:val="0"/>
        <w:ind w:firstLine="640" w:firstLineChars="200"/>
        <w:jc w:val="left"/>
        <w:rPr>
          <w:rFonts w:hint="eastAsia" w:ascii="黑体" w:hAnsi="黑体" w:eastAsia="黑体" w:cs="Times New Roman"/>
          <w:sz w:val="32"/>
          <w:szCs w:val="32"/>
        </w:rPr>
      </w:pPr>
    </w:p>
    <w:p w14:paraId="69AF29D2">
      <w:pPr>
        <w:autoSpaceDE w:val="0"/>
        <w:autoSpaceDN w:val="0"/>
        <w:adjustRightInd w:val="0"/>
        <w:ind w:firstLine="640" w:firstLineChars="200"/>
        <w:jc w:val="left"/>
        <w:rPr>
          <w:rFonts w:hint="eastAsia" w:ascii="黑体" w:hAnsi="黑体" w:eastAsia="黑体" w:cs="Times New Roman"/>
          <w:sz w:val="32"/>
          <w:szCs w:val="32"/>
        </w:rPr>
      </w:pPr>
    </w:p>
    <w:p w14:paraId="38108CFE">
      <w:pPr>
        <w:autoSpaceDE w:val="0"/>
        <w:autoSpaceDN w:val="0"/>
        <w:adjustRightInd w:val="0"/>
        <w:ind w:firstLine="640" w:firstLineChars="200"/>
        <w:jc w:val="left"/>
        <w:rPr>
          <w:rFonts w:hint="eastAsia" w:ascii="黑体" w:hAnsi="黑体" w:eastAsia="黑体" w:cs="Times New Roman"/>
          <w:sz w:val="32"/>
          <w:szCs w:val="32"/>
        </w:rPr>
      </w:pPr>
    </w:p>
    <w:p w14:paraId="19A34CF0">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六、政府采购预算情况</w:t>
      </w:r>
    </w:p>
    <w:p w14:paraId="79C17280">
      <w:pPr>
        <w:outlineLvl w:val="0"/>
        <w:rPr>
          <w:rFonts w:hint="eastAsia" w:ascii="仿宋" w:hAnsi="仿宋" w:eastAsia="仿宋" w:cs="仿宋"/>
          <w:sz w:val="32"/>
          <w:szCs w:val="32"/>
        </w:rPr>
      </w:pPr>
      <w:bookmarkStart w:id="1" w:name="_Toc471398468"/>
      <w:r>
        <w:rPr>
          <w:rFonts w:ascii="Times New Roman" w:hAnsi="Times New Roman" w:eastAsia="方正仿宋_GBK" w:cs="Times New Roman"/>
          <w:sz w:val="32"/>
          <w:szCs w:val="24"/>
        </w:rPr>
        <w:t xml:space="preserve">   </w:t>
      </w:r>
      <w:r>
        <w:rPr>
          <w:rFonts w:hint="eastAsia" w:ascii="仿宋" w:hAnsi="仿宋" w:eastAsia="仿宋" w:cs="仿宋"/>
          <w:sz w:val="32"/>
          <w:szCs w:val="32"/>
        </w:rPr>
        <w:t>2019年，我</w:t>
      </w:r>
      <w:r>
        <w:rPr>
          <w:rFonts w:hint="eastAsia" w:ascii="仿宋" w:hAnsi="仿宋" w:eastAsia="仿宋" w:cs="仿宋"/>
          <w:sz w:val="32"/>
          <w:szCs w:val="32"/>
          <w:lang w:eastAsia="zh-CN"/>
        </w:rPr>
        <w:t>局</w:t>
      </w:r>
      <w:r>
        <w:rPr>
          <w:rFonts w:hint="eastAsia" w:ascii="仿宋" w:hAnsi="仿宋" w:eastAsia="仿宋" w:cs="仿宋"/>
          <w:sz w:val="32"/>
          <w:szCs w:val="32"/>
        </w:rPr>
        <w:t>安排政府采购预算</w:t>
      </w:r>
      <w:r>
        <w:rPr>
          <w:rFonts w:hint="eastAsia" w:ascii="仿宋" w:hAnsi="仿宋" w:eastAsia="仿宋" w:cs="仿宋"/>
          <w:sz w:val="32"/>
          <w:szCs w:val="32"/>
          <w:lang w:val="en-US" w:eastAsia="zh-CN"/>
        </w:rPr>
        <w:t>50</w:t>
      </w:r>
      <w:r>
        <w:rPr>
          <w:rFonts w:hint="eastAsia" w:ascii="仿宋" w:hAnsi="仿宋" w:eastAsia="仿宋" w:cs="仿宋"/>
          <w:sz w:val="32"/>
          <w:szCs w:val="32"/>
        </w:rPr>
        <w:t>万元。具体内容见下表。</w:t>
      </w:r>
    </w:p>
    <w:p w14:paraId="3D0F30D8">
      <w:pPr>
        <w:jc w:val="center"/>
        <w:outlineLvl w:val="0"/>
        <w:rPr>
          <w:rFonts w:ascii="方正小标宋_GBK" w:hAnsi="Times New Roman" w:eastAsia="方正小标宋_GBK" w:cs="Times New Roman"/>
          <w:sz w:val="32"/>
          <w:szCs w:val="24"/>
        </w:rPr>
      </w:pPr>
      <w:r>
        <w:rPr>
          <w:rFonts w:hint="eastAsia" w:ascii="方正小标宋_GBK" w:hAnsi="Times New Roman" w:eastAsia="方正小标宋_GBK" w:cs="Times New Roman"/>
          <w:sz w:val="32"/>
          <w:szCs w:val="24"/>
        </w:rPr>
        <w:t>部门政府采购预算</w:t>
      </w:r>
      <w:bookmarkEnd w:id="1"/>
    </w:p>
    <w:tbl>
      <w:tblPr>
        <w:tblStyle w:val="8"/>
        <w:tblW w:w="1375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55"/>
        <w:gridCol w:w="976"/>
        <w:gridCol w:w="672"/>
        <w:gridCol w:w="1524"/>
        <w:gridCol w:w="564"/>
        <w:gridCol w:w="976"/>
        <w:gridCol w:w="976"/>
        <w:gridCol w:w="976"/>
        <w:gridCol w:w="976"/>
        <w:gridCol w:w="976"/>
        <w:gridCol w:w="754"/>
        <w:gridCol w:w="756"/>
        <w:gridCol w:w="859"/>
        <w:gridCol w:w="612"/>
      </w:tblGrid>
      <w:tr w14:paraId="7CEA3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843" w:type="dxa"/>
            <w:gridSpan w:val="7"/>
            <w:tcBorders>
              <w:top w:val="single" w:color="FFFFFF" w:sz="6" w:space="0"/>
              <w:left w:val="single" w:color="FFFFFF" w:sz="6" w:space="0"/>
              <w:right w:val="single" w:color="FFFFFF" w:sz="6" w:space="0"/>
            </w:tcBorders>
            <w:shd w:val="clear" w:color="auto" w:fill="auto"/>
            <w:vAlign w:val="center"/>
          </w:tcPr>
          <w:p w14:paraId="2716069E">
            <w:pPr>
              <w:spacing w:line="300" w:lineRule="exact"/>
              <w:jc w:val="left"/>
              <w:rPr>
                <w:rFonts w:hint="eastAsia" w:ascii="方正小标宋_GBK" w:eastAsia="方正小标宋_GBK"/>
                <w:sz w:val="24"/>
                <w:lang w:eastAsia="zh-CN"/>
              </w:rPr>
            </w:pPr>
            <w:r>
              <w:rPr>
                <w:rFonts w:hint="eastAsia" w:ascii="方正小标宋_GBK" w:eastAsia="方正小标宋_GBK"/>
                <w:sz w:val="24"/>
                <w:lang w:val="en-US" w:eastAsia="zh-CN"/>
              </w:rPr>
              <w:t>365</w:t>
            </w:r>
            <w:r>
              <w:rPr>
                <w:rFonts w:hint="eastAsia" w:ascii="宋体" w:hAnsi="宋体" w:eastAsia="宋体" w:cs="宋体"/>
                <w:kern w:val="0"/>
                <w:sz w:val="22"/>
                <w:lang w:eastAsia="zh-CN"/>
              </w:rPr>
              <w:t>石家庄市鹿泉区医疗保障局</w:t>
            </w:r>
          </w:p>
        </w:tc>
        <w:tc>
          <w:tcPr>
            <w:tcW w:w="5909" w:type="dxa"/>
            <w:gridSpan w:val="7"/>
            <w:tcBorders>
              <w:top w:val="single" w:color="FFFFFF" w:sz="6" w:space="0"/>
              <w:left w:val="single" w:color="FFFFFF" w:sz="6" w:space="0"/>
              <w:right w:val="single" w:color="FFFFFF" w:sz="6" w:space="0"/>
            </w:tcBorders>
            <w:shd w:val="clear" w:color="auto" w:fill="auto"/>
            <w:vAlign w:val="center"/>
          </w:tcPr>
          <w:p w14:paraId="203C1009">
            <w:pPr>
              <w:spacing w:line="300" w:lineRule="exact"/>
              <w:jc w:val="right"/>
              <w:rPr>
                <w:rFonts w:ascii="方正书宋_GBK" w:eastAsia="方正书宋_GBK"/>
                <w:sz w:val="24"/>
              </w:rPr>
            </w:pPr>
            <w:r>
              <w:rPr>
                <w:rFonts w:hint="eastAsia" w:ascii="方正书宋_GBK" w:eastAsia="方正书宋_GBK"/>
                <w:sz w:val="24"/>
              </w:rPr>
              <w:t>单位：万元</w:t>
            </w:r>
          </w:p>
        </w:tc>
      </w:tr>
      <w:tr w14:paraId="0B03A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131" w:type="dxa"/>
            <w:gridSpan w:val="2"/>
            <w:shd w:val="clear" w:color="auto" w:fill="auto"/>
            <w:vAlign w:val="center"/>
          </w:tcPr>
          <w:p w14:paraId="79172F2C">
            <w:pPr>
              <w:spacing w:line="300" w:lineRule="exact"/>
              <w:jc w:val="center"/>
              <w:rPr>
                <w:rFonts w:ascii="方正书宋_GBK" w:eastAsia="方正书宋_GBK"/>
                <w:b/>
              </w:rPr>
            </w:pPr>
            <w:r>
              <w:rPr>
                <w:rFonts w:hint="eastAsia" w:ascii="方正书宋_GBK" w:eastAsia="方正书宋_GBK"/>
                <w:b/>
              </w:rPr>
              <w:t>政府采购项目来源</w:t>
            </w:r>
          </w:p>
        </w:tc>
        <w:tc>
          <w:tcPr>
            <w:tcW w:w="672" w:type="dxa"/>
            <w:vMerge w:val="restart"/>
            <w:shd w:val="clear" w:color="auto" w:fill="auto"/>
            <w:vAlign w:val="center"/>
          </w:tcPr>
          <w:p w14:paraId="5FB62D62">
            <w:pPr>
              <w:spacing w:line="300" w:lineRule="exact"/>
              <w:jc w:val="center"/>
              <w:rPr>
                <w:rFonts w:ascii="方正书宋_GBK" w:eastAsia="方正书宋_GBK"/>
                <w:b/>
              </w:rPr>
            </w:pPr>
            <w:r>
              <w:rPr>
                <w:rFonts w:hint="eastAsia" w:ascii="方正书宋_GBK" w:eastAsia="方正书宋_GBK"/>
                <w:b/>
              </w:rPr>
              <w:t>采购物品名称</w:t>
            </w:r>
          </w:p>
        </w:tc>
        <w:tc>
          <w:tcPr>
            <w:tcW w:w="1524" w:type="dxa"/>
            <w:vMerge w:val="restart"/>
            <w:shd w:val="clear" w:color="auto" w:fill="auto"/>
            <w:vAlign w:val="center"/>
          </w:tcPr>
          <w:p w14:paraId="4674E660">
            <w:pPr>
              <w:spacing w:line="300" w:lineRule="exact"/>
              <w:jc w:val="center"/>
              <w:rPr>
                <w:rFonts w:ascii="方正书宋_GBK" w:eastAsia="方正书宋_GBK"/>
                <w:b/>
              </w:rPr>
            </w:pPr>
            <w:r>
              <w:rPr>
                <w:rFonts w:hint="eastAsia" w:ascii="方正书宋_GBK" w:eastAsia="方正书宋_GBK"/>
                <w:b/>
              </w:rPr>
              <w:t>政府采购目录序号</w:t>
            </w:r>
          </w:p>
        </w:tc>
        <w:tc>
          <w:tcPr>
            <w:tcW w:w="564" w:type="dxa"/>
            <w:vMerge w:val="restart"/>
            <w:shd w:val="clear" w:color="auto" w:fill="auto"/>
            <w:vAlign w:val="center"/>
          </w:tcPr>
          <w:p w14:paraId="2ECAC422">
            <w:pPr>
              <w:spacing w:line="300" w:lineRule="exact"/>
              <w:jc w:val="center"/>
              <w:rPr>
                <w:rFonts w:ascii="方正书宋_GBK" w:eastAsia="方正书宋_GBK"/>
                <w:b/>
              </w:rPr>
            </w:pPr>
            <w:r>
              <w:rPr>
                <w:rFonts w:hint="eastAsia" w:ascii="方正书宋_GBK" w:eastAsia="方正书宋_GBK"/>
                <w:b/>
              </w:rPr>
              <w:t>数量  单位</w:t>
            </w:r>
          </w:p>
        </w:tc>
        <w:tc>
          <w:tcPr>
            <w:tcW w:w="976" w:type="dxa"/>
            <w:vMerge w:val="restart"/>
            <w:shd w:val="clear" w:color="auto" w:fill="auto"/>
            <w:vAlign w:val="center"/>
          </w:tcPr>
          <w:p w14:paraId="36FFB611">
            <w:pPr>
              <w:spacing w:line="300" w:lineRule="exact"/>
              <w:jc w:val="center"/>
              <w:rPr>
                <w:rFonts w:ascii="方正书宋_GBK" w:eastAsia="方正书宋_GBK"/>
                <w:b/>
              </w:rPr>
            </w:pPr>
            <w:r>
              <w:rPr>
                <w:rFonts w:hint="eastAsia" w:ascii="方正书宋_GBK" w:eastAsia="方正书宋_GBK"/>
                <w:b/>
              </w:rPr>
              <w:t>数量</w:t>
            </w:r>
          </w:p>
        </w:tc>
        <w:tc>
          <w:tcPr>
            <w:tcW w:w="976" w:type="dxa"/>
            <w:vMerge w:val="restart"/>
            <w:shd w:val="clear" w:color="auto" w:fill="auto"/>
            <w:vAlign w:val="center"/>
          </w:tcPr>
          <w:p w14:paraId="6E5E7C49">
            <w:pPr>
              <w:spacing w:line="300" w:lineRule="exact"/>
              <w:jc w:val="center"/>
              <w:rPr>
                <w:rFonts w:ascii="方正书宋_GBK" w:eastAsia="方正书宋_GBK"/>
                <w:b/>
              </w:rPr>
            </w:pPr>
            <w:r>
              <w:rPr>
                <w:rFonts w:hint="eastAsia" w:ascii="方正书宋_GBK" w:eastAsia="方正书宋_GBK"/>
                <w:b/>
              </w:rPr>
              <w:t>单价</w:t>
            </w:r>
          </w:p>
        </w:tc>
        <w:tc>
          <w:tcPr>
            <w:tcW w:w="5909" w:type="dxa"/>
            <w:gridSpan w:val="7"/>
            <w:shd w:val="clear" w:color="auto" w:fill="auto"/>
            <w:vAlign w:val="center"/>
          </w:tcPr>
          <w:p w14:paraId="37CC9D3A">
            <w:pPr>
              <w:spacing w:line="300" w:lineRule="exact"/>
              <w:jc w:val="center"/>
              <w:rPr>
                <w:rFonts w:ascii="方正书宋_GBK" w:eastAsia="方正书宋_GBK"/>
                <w:b/>
              </w:rPr>
            </w:pPr>
            <w:r>
              <w:rPr>
                <w:rFonts w:hint="eastAsia" w:ascii="方正书宋_GBK" w:eastAsia="方正书宋_GBK"/>
                <w:b/>
              </w:rPr>
              <w:t>政府采购金额</w:t>
            </w:r>
          </w:p>
        </w:tc>
      </w:tr>
      <w:tr w14:paraId="4BFB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155" w:type="dxa"/>
            <w:vMerge w:val="restart"/>
            <w:shd w:val="clear" w:color="auto" w:fill="auto"/>
            <w:vAlign w:val="center"/>
          </w:tcPr>
          <w:p w14:paraId="5CF151B6">
            <w:pPr>
              <w:spacing w:line="300" w:lineRule="exact"/>
              <w:jc w:val="center"/>
              <w:rPr>
                <w:rFonts w:ascii="方正书宋_GBK" w:eastAsia="方正书宋_GBK"/>
                <w:b/>
              </w:rPr>
            </w:pPr>
            <w:r>
              <w:rPr>
                <w:rFonts w:hint="eastAsia" w:ascii="方正书宋_GBK" w:eastAsia="方正书宋_GBK"/>
                <w:b/>
              </w:rPr>
              <w:t>项目名称</w:t>
            </w:r>
          </w:p>
        </w:tc>
        <w:tc>
          <w:tcPr>
            <w:tcW w:w="976" w:type="dxa"/>
            <w:vMerge w:val="restart"/>
            <w:shd w:val="clear" w:color="auto" w:fill="auto"/>
            <w:vAlign w:val="center"/>
          </w:tcPr>
          <w:p w14:paraId="6EB3BB4C">
            <w:pPr>
              <w:spacing w:line="300" w:lineRule="exact"/>
              <w:jc w:val="center"/>
              <w:rPr>
                <w:rFonts w:ascii="方正书宋_GBK" w:eastAsia="方正书宋_GBK"/>
                <w:b/>
              </w:rPr>
            </w:pPr>
            <w:r>
              <w:rPr>
                <w:rFonts w:hint="eastAsia" w:ascii="方正书宋_GBK" w:eastAsia="方正书宋_GBK"/>
                <w:b/>
              </w:rPr>
              <w:t>预算资金</w:t>
            </w:r>
          </w:p>
        </w:tc>
        <w:tc>
          <w:tcPr>
            <w:tcW w:w="672" w:type="dxa"/>
            <w:vMerge w:val="continue"/>
            <w:shd w:val="clear" w:color="auto" w:fill="auto"/>
            <w:vAlign w:val="center"/>
          </w:tcPr>
          <w:p w14:paraId="52CA5432">
            <w:pPr>
              <w:spacing w:line="300" w:lineRule="exact"/>
              <w:jc w:val="left"/>
              <w:outlineLvl w:val="0"/>
            </w:pPr>
          </w:p>
        </w:tc>
        <w:tc>
          <w:tcPr>
            <w:tcW w:w="1524" w:type="dxa"/>
            <w:vMerge w:val="continue"/>
            <w:shd w:val="clear" w:color="auto" w:fill="auto"/>
            <w:vAlign w:val="center"/>
          </w:tcPr>
          <w:p w14:paraId="74B58DC5">
            <w:pPr>
              <w:spacing w:line="300" w:lineRule="exact"/>
              <w:jc w:val="left"/>
              <w:outlineLvl w:val="0"/>
            </w:pPr>
          </w:p>
        </w:tc>
        <w:tc>
          <w:tcPr>
            <w:tcW w:w="564" w:type="dxa"/>
            <w:vMerge w:val="continue"/>
            <w:shd w:val="clear" w:color="auto" w:fill="auto"/>
            <w:vAlign w:val="center"/>
          </w:tcPr>
          <w:p w14:paraId="4930B825">
            <w:pPr>
              <w:spacing w:line="300" w:lineRule="exact"/>
              <w:jc w:val="left"/>
              <w:outlineLvl w:val="0"/>
            </w:pPr>
          </w:p>
        </w:tc>
        <w:tc>
          <w:tcPr>
            <w:tcW w:w="976" w:type="dxa"/>
            <w:vMerge w:val="continue"/>
            <w:shd w:val="clear" w:color="auto" w:fill="auto"/>
            <w:vAlign w:val="center"/>
          </w:tcPr>
          <w:p w14:paraId="66EF7DD8">
            <w:pPr>
              <w:spacing w:line="300" w:lineRule="exact"/>
              <w:jc w:val="left"/>
              <w:outlineLvl w:val="0"/>
            </w:pPr>
          </w:p>
        </w:tc>
        <w:tc>
          <w:tcPr>
            <w:tcW w:w="976" w:type="dxa"/>
            <w:vMerge w:val="continue"/>
            <w:shd w:val="clear" w:color="auto" w:fill="auto"/>
            <w:vAlign w:val="center"/>
          </w:tcPr>
          <w:p w14:paraId="208D5D74">
            <w:pPr>
              <w:spacing w:line="300" w:lineRule="exact"/>
              <w:jc w:val="left"/>
              <w:outlineLvl w:val="0"/>
            </w:pPr>
          </w:p>
        </w:tc>
        <w:tc>
          <w:tcPr>
            <w:tcW w:w="976" w:type="dxa"/>
            <w:vMerge w:val="restart"/>
            <w:shd w:val="clear" w:color="auto" w:fill="auto"/>
            <w:vAlign w:val="center"/>
          </w:tcPr>
          <w:p w14:paraId="30C3B05C">
            <w:pPr>
              <w:spacing w:line="300" w:lineRule="exact"/>
              <w:jc w:val="center"/>
              <w:rPr>
                <w:rFonts w:ascii="方正书宋_GBK" w:eastAsia="方正书宋_GBK"/>
                <w:b/>
              </w:rPr>
            </w:pPr>
            <w:r>
              <w:rPr>
                <w:rFonts w:hint="eastAsia" w:ascii="方正书宋_GBK" w:eastAsia="方正书宋_GBK"/>
                <w:b/>
              </w:rPr>
              <w:t>总计</w:t>
            </w:r>
          </w:p>
        </w:tc>
        <w:tc>
          <w:tcPr>
            <w:tcW w:w="4321" w:type="dxa"/>
            <w:gridSpan w:val="5"/>
            <w:shd w:val="clear" w:color="auto" w:fill="auto"/>
            <w:vAlign w:val="center"/>
          </w:tcPr>
          <w:p w14:paraId="0A7C4D68">
            <w:pPr>
              <w:spacing w:line="300" w:lineRule="exact"/>
              <w:jc w:val="center"/>
              <w:rPr>
                <w:rFonts w:ascii="方正书宋_GBK" w:eastAsia="方正书宋_GBK"/>
                <w:b/>
              </w:rPr>
            </w:pPr>
            <w:r>
              <w:rPr>
                <w:rFonts w:hint="eastAsia" w:ascii="方正书宋_GBK" w:eastAsia="方正书宋_GBK"/>
                <w:b/>
              </w:rPr>
              <w:t>当年部门预算安排资金</w:t>
            </w:r>
          </w:p>
        </w:tc>
        <w:tc>
          <w:tcPr>
            <w:tcW w:w="612" w:type="dxa"/>
            <w:vMerge w:val="restart"/>
            <w:shd w:val="clear" w:color="auto" w:fill="auto"/>
            <w:vAlign w:val="center"/>
          </w:tcPr>
          <w:p w14:paraId="79890E78">
            <w:pPr>
              <w:spacing w:line="300" w:lineRule="exact"/>
              <w:jc w:val="center"/>
              <w:rPr>
                <w:rFonts w:ascii="方正书宋_GBK" w:eastAsia="方正书宋_GBK"/>
                <w:b/>
              </w:rPr>
            </w:pPr>
            <w:r>
              <w:rPr>
                <w:rFonts w:hint="eastAsia" w:ascii="方正书宋_GBK" w:eastAsia="方正书宋_GBK"/>
                <w:b/>
              </w:rPr>
              <w:t>其他渠道资金</w:t>
            </w:r>
          </w:p>
        </w:tc>
      </w:tr>
      <w:tr w14:paraId="70EA8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155" w:type="dxa"/>
            <w:vMerge w:val="continue"/>
            <w:shd w:val="clear" w:color="auto" w:fill="auto"/>
            <w:vAlign w:val="center"/>
          </w:tcPr>
          <w:p w14:paraId="2ADCE9E9">
            <w:pPr>
              <w:spacing w:line="300" w:lineRule="exact"/>
              <w:jc w:val="left"/>
              <w:outlineLvl w:val="0"/>
            </w:pPr>
          </w:p>
        </w:tc>
        <w:tc>
          <w:tcPr>
            <w:tcW w:w="976" w:type="dxa"/>
            <w:vMerge w:val="continue"/>
            <w:shd w:val="clear" w:color="auto" w:fill="auto"/>
            <w:vAlign w:val="center"/>
          </w:tcPr>
          <w:p w14:paraId="284D16ED">
            <w:pPr>
              <w:spacing w:line="300" w:lineRule="exact"/>
              <w:jc w:val="left"/>
              <w:outlineLvl w:val="0"/>
            </w:pPr>
          </w:p>
        </w:tc>
        <w:tc>
          <w:tcPr>
            <w:tcW w:w="672" w:type="dxa"/>
            <w:vMerge w:val="continue"/>
            <w:shd w:val="clear" w:color="auto" w:fill="auto"/>
            <w:vAlign w:val="center"/>
          </w:tcPr>
          <w:p w14:paraId="1D740412">
            <w:pPr>
              <w:spacing w:line="300" w:lineRule="exact"/>
              <w:jc w:val="left"/>
              <w:outlineLvl w:val="0"/>
            </w:pPr>
          </w:p>
        </w:tc>
        <w:tc>
          <w:tcPr>
            <w:tcW w:w="1524" w:type="dxa"/>
            <w:vMerge w:val="continue"/>
            <w:shd w:val="clear" w:color="auto" w:fill="auto"/>
            <w:vAlign w:val="center"/>
          </w:tcPr>
          <w:p w14:paraId="54826404">
            <w:pPr>
              <w:spacing w:line="300" w:lineRule="exact"/>
              <w:jc w:val="left"/>
              <w:outlineLvl w:val="0"/>
            </w:pPr>
          </w:p>
        </w:tc>
        <w:tc>
          <w:tcPr>
            <w:tcW w:w="564" w:type="dxa"/>
            <w:vMerge w:val="continue"/>
            <w:shd w:val="clear" w:color="auto" w:fill="auto"/>
            <w:vAlign w:val="center"/>
          </w:tcPr>
          <w:p w14:paraId="085E8324">
            <w:pPr>
              <w:spacing w:line="300" w:lineRule="exact"/>
              <w:jc w:val="left"/>
              <w:outlineLvl w:val="0"/>
            </w:pPr>
          </w:p>
        </w:tc>
        <w:tc>
          <w:tcPr>
            <w:tcW w:w="976" w:type="dxa"/>
            <w:vMerge w:val="continue"/>
            <w:shd w:val="clear" w:color="auto" w:fill="auto"/>
            <w:vAlign w:val="center"/>
          </w:tcPr>
          <w:p w14:paraId="265C7B90">
            <w:pPr>
              <w:spacing w:line="300" w:lineRule="exact"/>
              <w:jc w:val="left"/>
              <w:outlineLvl w:val="0"/>
            </w:pPr>
          </w:p>
        </w:tc>
        <w:tc>
          <w:tcPr>
            <w:tcW w:w="976" w:type="dxa"/>
            <w:vMerge w:val="continue"/>
            <w:shd w:val="clear" w:color="auto" w:fill="auto"/>
            <w:vAlign w:val="center"/>
          </w:tcPr>
          <w:p w14:paraId="44034D09">
            <w:pPr>
              <w:spacing w:line="300" w:lineRule="exact"/>
              <w:jc w:val="left"/>
              <w:outlineLvl w:val="0"/>
            </w:pPr>
          </w:p>
        </w:tc>
        <w:tc>
          <w:tcPr>
            <w:tcW w:w="976" w:type="dxa"/>
            <w:vMerge w:val="continue"/>
            <w:shd w:val="clear" w:color="auto" w:fill="auto"/>
            <w:vAlign w:val="center"/>
          </w:tcPr>
          <w:p w14:paraId="6DFC3806">
            <w:pPr>
              <w:spacing w:line="300" w:lineRule="exact"/>
              <w:jc w:val="left"/>
              <w:outlineLvl w:val="0"/>
            </w:pPr>
          </w:p>
        </w:tc>
        <w:tc>
          <w:tcPr>
            <w:tcW w:w="976" w:type="dxa"/>
            <w:shd w:val="clear" w:color="auto" w:fill="auto"/>
            <w:vAlign w:val="center"/>
          </w:tcPr>
          <w:p w14:paraId="10B1A7E7">
            <w:pPr>
              <w:spacing w:line="300" w:lineRule="exact"/>
              <w:jc w:val="center"/>
              <w:rPr>
                <w:rFonts w:ascii="方正书宋_GBK" w:eastAsia="方正书宋_GBK"/>
                <w:b/>
              </w:rPr>
            </w:pPr>
            <w:r>
              <w:rPr>
                <w:rFonts w:hint="eastAsia" w:ascii="方正书宋_GBK" w:eastAsia="方正书宋_GBK"/>
                <w:b/>
              </w:rPr>
              <w:t>合计</w:t>
            </w:r>
          </w:p>
        </w:tc>
        <w:tc>
          <w:tcPr>
            <w:tcW w:w="976" w:type="dxa"/>
            <w:shd w:val="clear" w:color="auto" w:fill="auto"/>
            <w:vAlign w:val="center"/>
          </w:tcPr>
          <w:p w14:paraId="741AC6CB">
            <w:pPr>
              <w:spacing w:line="300" w:lineRule="exact"/>
              <w:jc w:val="center"/>
              <w:rPr>
                <w:rFonts w:ascii="方正书宋_GBK" w:eastAsia="方正书宋_GBK"/>
                <w:b/>
              </w:rPr>
            </w:pPr>
            <w:r>
              <w:rPr>
                <w:rFonts w:hint="eastAsia" w:ascii="方正书宋_GBK" w:eastAsia="方正书宋_GBK"/>
                <w:b/>
              </w:rPr>
              <w:t>一般公共预算拨款</w:t>
            </w:r>
          </w:p>
        </w:tc>
        <w:tc>
          <w:tcPr>
            <w:tcW w:w="754" w:type="dxa"/>
            <w:shd w:val="clear" w:color="auto" w:fill="auto"/>
            <w:vAlign w:val="center"/>
          </w:tcPr>
          <w:p w14:paraId="4FDB5411">
            <w:pPr>
              <w:spacing w:line="300" w:lineRule="exact"/>
              <w:jc w:val="center"/>
              <w:rPr>
                <w:rFonts w:ascii="方正书宋_GBK" w:eastAsia="方正书宋_GBK"/>
                <w:b/>
              </w:rPr>
            </w:pPr>
            <w:r>
              <w:rPr>
                <w:rFonts w:hint="eastAsia" w:ascii="方正书宋_GBK" w:eastAsia="方正书宋_GBK"/>
                <w:b/>
              </w:rPr>
              <w:t>基金预算拨款</w:t>
            </w:r>
          </w:p>
        </w:tc>
        <w:tc>
          <w:tcPr>
            <w:tcW w:w="756" w:type="dxa"/>
            <w:shd w:val="clear" w:color="auto" w:fill="auto"/>
            <w:vAlign w:val="center"/>
          </w:tcPr>
          <w:p w14:paraId="181076C5">
            <w:pPr>
              <w:spacing w:line="300" w:lineRule="exact"/>
              <w:jc w:val="center"/>
              <w:rPr>
                <w:rFonts w:ascii="方正书宋_GBK" w:eastAsia="方正书宋_GBK"/>
                <w:b/>
              </w:rPr>
            </w:pPr>
            <w:r>
              <w:rPr>
                <w:rFonts w:hint="eastAsia" w:ascii="方正书宋_GBK" w:eastAsia="方正书宋_GBK"/>
                <w:b/>
              </w:rPr>
              <w:t>财政专户核拨</w:t>
            </w:r>
          </w:p>
        </w:tc>
        <w:tc>
          <w:tcPr>
            <w:tcW w:w="859" w:type="dxa"/>
            <w:shd w:val="clear" w:color="auto" w:fill="auto"/>
            <w:vAlign w:val="center"/>
          </w:tcPr>
          <w:p w14:paraId="1DB31068">
            <w:pPr>
              <w:spacing w:line="300" w:lineRule="exact"/>
              <w:jc w:val="center"/>
              <w:rPr>
                <w:rFonts w:ascii="方正书宋_GBK" w:eastAsia="方正书宋_GBK"/>
                <w:b/>
              </w:rPr>
            </w:pPr>
            <w:r>
              <w:rPr>
                <w:rFonts w:hint="eastAsia" w:ascii="方正书宋_GBK" w:eastAsia="方正书宋_GBK"/>
                <w:b/>
              </w:rPr>
              <w:t>其他来源收入</w:t>
            </w:r>
          </w:p>
        </w:tc>
        <w:tc>
          <w:tcPr>
            <w:tcW w:w="612" w:type="dxa"/>
            <w:vMerge w:val="continue"/>
            <w:shd w:val="clear" w:color="auto" w:fill="auto"/>
            <w:vAlign w:val="center"/>
          </w:tcPr>
          <w:p w14:paraId="201AE511">
            <w:pPr>
              <w:spacing w:line="300" w:lineRule="exact"/>
              <w:jc w:val="left"/>
              <w:outlineLvl w:val="0"/>
            </w:pPr>
          </w:p>
        </w:tc>
      </w:tr>
      <w:tr w14:paraId="5B8E8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5" w:type="dxa"/>
            <w:shd w:val="clear" w:color="auto" w:fill="auto"/>
            <w:vAlign w:val="center"/>
          </w:tcPr>
          <w:p w14:paraId="79574DE1">
            <w:pPr>
              <w:spacing w:line="300" w:lineRule="exact"/>
              <w:jc w:val="center"/>
              <w:rPr>
                <w:rFonts w:ascii="方正书宋_GBK" w:eastAsia="方正书宋_GBK"/>
                <w:b/>
              </w:rPr>
            </w:pPr>
            <w:r>
              <w:rPr>
                <w:rFonts w:hint="eastAsia" w:ascii="方正书宋_GBK" w:eastAsia="方正书宋_GBK"/>
                <w:b/>
              </w:rPr>
              <w:t>合　计</w:t>
            </w:r>
          </w:p>
        </w:tc>
        <w:tc>
          <w:tcPr>
            <w:tcW w:w="976" w:type="dxa"/>
            <w:shd w:val="clear" w:color="auto" w:fill="auto"/>
            <w:vAlign w:val="center"/>
          </w:tcPr>
          <w:p w14:paraId="3111AAE1">
            <w:pPr>
              <w:spacing w:line="300" w:lineRule="exact"/>
              <w:jc w:val="right"/>
              <w:rPr>
                <w:rFonts w:ascii="方正书宋_GBK" w:eastAsia="方正书宋_GBK"/>
                <w:b/>
              </w:rPr>
            </w:pPr>
          </w:p>
        </w:tc>
        <w:tc>
          <w:tcPr>
            <w:tcW w:w="672" w:type="dxa"/>
            <w:shd w:val="clear" w:color="auto" w:fill="auto"/>
            <w:vAlign w:val="center"/>
          </w:tcPr>
          <w:p w14:paraId="7FCBB134">
            <w:pPr>
              <w:spacing w:line="300" w:lineRule="exact"/>
              <w:jc w:val="left"/>
              <w:rPr>
                <w:rFonts w:ascii="方正书宋_GBK" w:eastAsia="方正书宋_GBK"/>
                <w:b/>
              </w:rPr>
            </w:pPr>
          </w:p>
        </w:tc>
        <w:tc>
          <w:tcPr>
            <w:tcW w:w="1524" w:type="dxa"/>
            <w:shd w:val="clear" w:color="auto" w:fill="auto"/>
            <w:vAlign w:val="center"/>
          </w:tcPr>
          <w:p w14:paraId="271B4326">
            <w:pPr>
              <w:spacing w:line="300" w:lineRule="exact"/>
              <w:jc w:val="left"/>
              <w:rPr>
                <w:rFonts w:ascii="方正书宋_GBK" w:eastAsia="方正书宋_GBK"/>
                <w:b/>
              </w:rPr>
            </w:pPr>
          </w:p>
        </w:tc>
        <w:tc>
          <w:tcPr>
            <w:tcW w:w="564" w:type="dxa"/>
            <w:shd w:val="clear" w:color="auto" w:fill="auto"/>
            <w:vAlign w:val="center"/>
          </w:tcPr>
          <w:p w14:paraId="1D4EDCEA">
            <w:pPr>
              <w:spacing w:line="300" w:lineRule="exact"/>
              <w:jc w:val="left"/>
              <w:rPr>
                <w:rFonts w:ascii="方正书宋_GBK" w:eastAsia="方正书宋_GBK"/>
                <w:b/>
              </w:rPr>
            </w:pPr>
          </w:p>
        </w:tc>
        <w:tc>
          <w:tcPr>
            <w:tcW w:w="976" w:type="dxa"/>
            <w:shd w:val="clear" w:color="auto" w:fill="auto"/>
            <w:vAlign w:val="center"/>
          </w:tcPr>
          <w:p w14:paraId="38B0F4EC">
            <w:pPr>
              <w:spacing w:line="300" w:lineRule="exact"/>
              <w:jc w:val="right"/>
              <w:rPr>
                <w:rFonts w:ascii="方正书宋_GBK" w:eastAsia="方正书宋_GBK"/>
                <w:b/>
              </w:rPr>
            </w:pPr>
          </w:p>
        </w:tc>
        <w:tc>
          <w:tcPr>
            <w:tcW w:w="976" w:type="dxa"/>
            <w:shd w:val="clear" w:color="auto" w:fill="auto"/>
            <w:vAlign w:val="center"/>
          </w:tcPr>
          <w:p w14:paraId="7D7D0082">
            <w:pPr>
              <w:spacing w:line="300" w:lineRule="exact"/>
              <w:jc w:val="right"/>
              <w:rPr>
                <w:rFonts w:ascii="方正书宋_GBK" w:eastAsia="方正书宋_GBK"/>
                <w:b/>
              </w:rPr>
            </w:pPr>
          </w:p>
        </w:tc>
        <w:tc>
          <w:tcPr>
            <w:tcW w:w="976" w:type="dxa"/>
            <w:shd w:val="clear" w:color="auto" w:fill="auto"/>
            <w:vAlign w:val="center"/>
          </w:tcPr>
          <w:p w14:paraId="345C6B45">
            <w:pPr>
              <w:spacing w:line="300" w:lineRule="exact"/>
              <w:jc w:val="right"/>
              <w:rPr>
                <w:rFonts w:ascii="方正书宋_GBK" w:eastAsia="方正书宋_GBK"/>
                <w:b/>
              </w:rPr>
            </w:pPr>
            <w:r>
              <w:rPr>
                <w:rFonts w:ascii="方正书宋_GBK" w:eastAsia="方正书宋_GBK"/>
                <w:b/>
              </w:rPr>
              <w:t>50.00</w:t>
            </w:r>
          </w:p>
        </w:tc>
        <w:tc>
          <w:tcPr>
            <w:tcW w:w="976" w:type="dxa"/>
            <w:shd w:val="clear" w:color="auto" w:fill="auto"/>
            <w:vAlign w:val="center"/>
          </w:tcPr>
          <w:p w14:paraId="17935DD1">
            <w:pPr>
              <w:spacing w:line="300" w:lineRule="exact"/>
              <w:jc w:val="right"/>
              <w:rPr>
                <w:rFonts w:ascii="方正书宋_GBK" w:eastAsia="方正书宋_GBK"/>
                <w:b/>
              </w:rPr>
            </w:pPr>
            <w:r>
              <w:rPr>
                <w:rFonts w:ascii="方正书宋_GBK" w:eastAsia="方正书宋_GBK"/>
                <w:b/>
              </w:rPr>
              <w:t>50.00</w:t>
            </w:r>
          </w:p>
        </w:tc>
        <w:tc>
          <w:tcPr>
            <w:tcW w:w="976" w:type="dxa"/>
            <w:shd w:val="clear" w:color="auto" w:fill="auto"/>
            <w:vAlign w:val="center"/>
          </w:tcPr>
          <w:p w14:paraId="0BACF0E9">
            <w:pPr>
              <w:spacing w:line="300" w:lineRule="exact"/>
              <w:jc w:val="right"/>
              <w:rPr>
                <w:rFonts w:ascii="方正书宋_GBK" w:eastAsia="方正书宋_GBK"/>
                <w:b/>
              </w:rPr>
            </w:pPr>
            <w:r>
              <w:rPr>
                <w:rFonts w:ascii="方正书宋_GBK" w:eastAsia="方正书宋_GBK"/>
                <w:b/>
              </w:rPr>
              <w:t>50.00</w:t>
            </w:r>
          </w:p>
        </w:tc>
        <w:tc>
          <w:tcPr>
            <w:tcW w:w="754" w:type="dxa"/>
            <w:shd w:val="clear" w:color="auto" w:fill="auto"/>
            <w:vAlign w:val="center"/>
          </w:tcPr>
          <w:p w14:paraId="553453FF">
            <w:pPr>
              <w:spacing w:line="300" w:lineRule="exact"/>
              <w:jc w:val="right"/>
              <w:rPr>
                <w:rFonts w:ascii="方正书宋_GBK" w:eastAsia="方正书宋_GBK"/>
                <w:b/>
              </w:rPr>
            </w:pPr>
          </w:p>
        </w:tc>
        <w:tc>
          <w:tcPr>
            <w:tcW w:w="756" w:type="dxa"/>
            <w:shd w:val="clear" w:color="auto" w:fill="auto"/>
            <w:vAlign w:val="center"/>
          </w:tcPr>
          <w:p w14:paraId="02F8D0A6">
            <w:pPr>
              <w:spacing w:line="300" w:lineRule="exact"/>
              <w:jc w:val="right"/>
              <w:rPr>
                <w:rFonts w:ascii="方正书宋_GBK" w:eastAsia="方正书宋_GBK"/>
                <w:b/>
              </w:rPr>
            </w:pPr>
          </w:p>
        </w:tc>
        <w:tc>
          <w:tcPr>
            <w:tcW w:w="859" w:type="dxa"/>
            <w:shd w:val="clear" w:color="auto" w:fill="auto"/>
            <w:vAlign w:val="center"/>
          </w:tcPr>
          <w:p w14:paraId="6BEBFE50">
            <w:pPr>
              <w:spacing w:line="300" w:lineRule="exact"/>
              <w:jc w:val="right"/>
              <w:rPr>
                <w:rFonts w:ascii="方正书宋_GBK" w:eastAsia="方正书宋_GBK"/>
                <w:b/>
              </w:rPr>
            </w:pPr>
          </w:p>
        </w:tc>
        <w:tc>
          <w:tcPr>
            <w:tcW w:w="612" w:type="dxa"/>
            <w:shd w:val="clear" w:color="auto" w:fill="auto"/>
            <w:vAlign w:val="center"/>
          </w:tcPr>
          <w:p w14:paraId="48A6D45D">
            <w:pPr>
              <w:spacing w:line="300" w:lineRule="exact"/>
              <w:jc w:val="right"/>
              <w:rPr>
                <w:rFonts w:ascii="方正书宋_GBK" w:eastAsia="方正书宋_GBK"/>
                <w:b/>
              </w:rPr>
            </w:pPr>
          </w:p>
        </w:tc>
      </w:tr>
      <w:tr w14:paraId="5771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5" w:type="dxa"/>
            <w:shd w:val="clear" w:color="auto" w:fill="auto"/>
            <w:vAlign w:val="center"/>
          </w:tcPr>
          <w:p w14:paraId="06679AF9">
            <w:pPr>
              <w:spacing w:line="300" w:lineRule="exact"/>
              <w:jc w:val="center"/>
              <w:rPr>
                <w:rFonts w:ascii="方正书宋_GBK" w:eastAsia="方正书宋_GBK"/>
                <w:b/>
              </w:rPr>
            </w:pPr>
            <w:r>
              <w:rPr>
                <w:rFonts w:hint="eastAsia" w:ascii="方正书宋_GBK" w:eastAsia="方正书宋_GBK"/>
                <w:b/>
              </w:rPr>
              <w:t>石家庄市鹿泉区医疗保障局小计</w:t>
            </w:r>
          </w:p>
        </w:tc>
        <w:tc>
          <w:tcPr>
            <w:tcW w:w="976" w:type="dxa"/>
            <w:shd w:val="clear" w:color="auto" w:fill="auto"/>
            <w:vAlign w:val="center"/>
          </w:tcPr>
          <w:p w14:paraId="5045ED3B">
            <w:pPr>
              <w:spacing w:line="300" w:lineRule="exact"/>
              <w:jc w:val="right"/>
              <w:rPr>
                <w:rFonts w:ascii="方正书宋_GBK" w:eastAsia="方正书宋_GBK"/>
                <w:b/>
              </w:rPr>
            </w:pPr>
          </w:p>
        </w:tc>
        <w:tc>
          <w:tcPr>
            <w:tcW w:w="672" w:type="dxa"/>
            <w:shd w:val="clear" w:color="auto" w:fill="auto"/>
            <w:vAlign w:val="center"/>
          </w:tcPr>
          <w:p w14:paraId="14000675">
            <w:pPr>
              <w:spacing w:line="300" w:lineRule="exact"/>
              <w:jc w:val="left"/>
              <w:rPr>
                <w:rFonts w:ascii="方正书宋_GBK" w:eastAsia="方正书宋_GBK"/>
                <w:b/>
              </w:rPr>
            </w:pPr>
          </w:p>
        </w:tc>
        <w:tc>
          <w:tcPr>
            <w:tcW w:w="1524" w:type="dxa"/>
            <w:shd w:val="clear" w:color="auto" w:fill="auto"/>
            <w:vAlign w:val="center"/>
          </w:tcPr>
          <w:p w14:paraId="40833E9E">
            <w:pPr>
              <w:spacing w:line="300" w:lineRule="exact"/>
              <w:jc w:val="left"/>
              <w:rPr>
                <w:rFonts w:ascii="方正书宋_GBK" w:eastAsia="方正书宋_GBK"/>
                <w:b/>
              </w:rPr>
            </w:pPr>
          </w:p>
        </w:tc>
        <w:tc>
          <w:tcPr>
            <w:tcW w:w="564" w:type="dxa"/>
            <w:shd w:val="clear" w:color="auto" w:fill="auto"/>
            <w:vAlign w:val="center"/>
          </w:tcPr>
          <w:p w14:paraId="2F8AC69F">
            <w:pPr>
              <w:spacing w:line="300" w:lineRule="exact"/>
              <w:jc w:val="left"/>
              <w:rPr>
                <w:rFonts w:ascii="方正书宋_GBK" w:eastAsia="方正书宋_GBK"/>
                <w:b/>
              </w:rPr>
            </w:pPr>
          </w:p>
        </w:tc>
        <w:tc>
          <w:tcPr>
            <w:tcW w:w="976" w:type="dxa"/>
            <w:shd w:val="clear" w:color="auto" w:fill="auto"/>
            <w:vAlign w:val="center"/>
          </w:tcPr>
          <w:p w14:paraId="418D8AB8">
            <w:pPr>
              <w:spacing w:line="300" w:lineRule="exact"/>
              <w:jc w:val="right"/>
              <w:rPr>
                <w:rFonts w:ascii="方正书宋_GBK" w:eastAsia="方正书宋_GBK"/>
                <w:b/>
              </w:rPr>
            </w:pPr>
          </w:p>
        </w:tc>
        <w:tc>
          <w:tcPr>
            <w:tcW w:w="976" w:type="dxa"/>
            <w:shd w:val="clear" w:color="auto" w:fill="auto"/>
            <w:vAlign w:val="center"/>
          </w:tcPr>
          <w:p w14:paraId="7165F896">
            <w:pPr>
              <w:spacing w:line="300" w:lineRule="exact"/>
              <w:jc w:val="right"/>
              <w:rPr>
                <w:rFonts w:ascii="方正书宋_GBK" w:eastAsia="方正书宋_GBK"/>
                <w:b/>
              </w:rPr>
            </w:pPr>
          </w:p>
        </w:tc>
        <w:tc>
          <w:tcPr>
            <w:tcW w:w="976" w:type="dxa"/>
            <w:shd w:val="clear" w:color="auto" w:fill="auto"/>
            <w:vAlign w:val="center"/>
          </w:tcPr>
          <w:p w14:paraId="03D8382D">
            <w:pPr>
              <w:spacing w:line="300" w:lineRule="exact"/>
              <w:jc w:val="right"/>
              <w:rPr>
                <w:rFonts w:ascii="方正书宋_GBK" w:eastAsia="方正书宋_GBK"/>
                <w:b/>
              </w:rPr>
            </w:pPr>
            <w:r>
              <w:rPr>
                <w:rFonts w:ascii="方正书宋_GBK" w:eastAsia="方正书宋_GBK"/>
                <w:b/>
              </w:rPr>
              <w:t>50.00</w:t>
            </w:r>
          </w:p>
        </w:tc>
        <w:tc>
          <w:tcPr>
            <w:tcW w:w="976" w:type="dxa"/>
            <w:shd w:val="clear" w:color="auto" w:fill="auto"/>
            <w:vAlign w:val="center"/>
          </w:tcPr>
          <w:p w14:paraId="38BA71E8">
            <w:pPr>
              <w:spacing w:line="300" w:lineRule="exact"/>
              <w:jc w:val="right"/>
              <w:rPr>
                <w:rFonts w:ascii="方正书宋_GBK" w:eastAsia="方正书宋_GBK"/>
                <w:b/>
              </w:rPr>
            </w:pPr>
            <w:r>
              <w:rPr>
                <w:rFonts w:ascii="方正书宋_GBK" w:eastAsia="方正书宋_GBK"/>
                <w:b/>
              </w:rPr>
              <w:t>50.00</w:t>
            </w:r>
          </w:p>
        </w:tc>
        <w:tc>
          <w:tcPr>
            <w:tcW w:w="976" w:type="dxa"/>
            <w:shd w:val="clear" w:color="auto" w:fill="auto"/>
            <w:vAlign w:val="center"/>
          </w:tcPr>
          <w:p w14:paraId="33783D17">
            <w:pPr>
              <w:spacing w:line="300" w:lineRule="exact"/>
              <w:jc w:val="right"/>
              <w:rPr>
                <w:rFonts w:ascii="方正书宋_GBK" w:eastAsia="方正书宋_GBK"/>
                <w:b/>
              </w:rPr>
            </w:pPr>
            <w:r>
              <w:rPr>
                <w:rFonts w:ascii="方正书宋_GBK" w:eastAsia="方正书宋_GBK"/>
                <w:b/>
              </w:rPr>
              <w:t>50.00</w:t>
            </w:r>
          </w:p>
        </w:tc>
        <w:tc>
          <w:tcPr>
            <w:tcW w:w="754" w:type="dxa"/>
            <w:shd w:val="clear" w:color="auto" w:fill="auto"/>
            <w:vAlign w:val="center"/>
          </w:tcPr>
          <w:p w14:paraId="3BCE3077">
            <w:pPr>
              <w:spacing w:line="300" w:lineRule="exact"/>
              <w:jc w:val="right"/>
              <w:rPr>
                <w:rFonts w:ascii="方正书宋_GBK" w:eastAsia="方正书宋_GBK"/>
                <w:b/>
              </w:rPr>
            </w:pPr>
          </w:p>
        </w:tc>
        <w:tc>
          <w:tcPr>
            <w:tcW w:w="756" w:type="dxa"/>
            <w:shd w:val="clear" w:color="auto" w:fill="auto"/>
            <w:vAlign w:val="center"/>
          </w:tcPr>
          <w:p w14:paraId="2AD67DA0">
            <w:pPr>
              <w:spacing w:line="300" w:lineRule="exact"/>
              <w:jc w:val="right"/>
              <w:rPr>
                <w:rFonts w:ascii="方正书宋_GBK" w:eastAsia="方正书宋_GBK"/>
                <w:b/>
              </w:rPr>
            </w:pPr>
          </w:p>
        </w:tc>
        <w:tc>
          <w:tcPr>
            <w:tcW w:w="859" w:type="dxa"/>
            <w:shd w:val="clear" w:color="auto" w:fill="auto"/>
            <w:vAlign w:val="center"/>
          </w:tcPr>
          <w:p w14:paraId="2A264B4F">
            <w:pPr>
              <w:spacing w:line="300" w:lineRule="exact"/>
              <w:jc w:val="right"/>
              <w:rPr>
                <w:rFonts w:ascii="方正书宋_GBK" w:eastAsia="方正书宋_GBK"/>
                <w:b/>
              </w:rPr>
            </w:pPr>
          </w:p>
        </w:tc>
        <w:tc>
          <w:tcPr>
            <w:tcW w:w="612" w:type="dxa"/>
            <w:shd w:val="clear" w:color="auto" w:fill="auto"/>
            <w:vAlign w:val="center"/>
          </w:tcPr>
          <w:p w14:paraId="720FDF20">
            <w:pPr>
              <w:spacing w:line="300" w:lineRule="exact"/>
              <w:jc w:val="right"/>
              <w:rPr>
                <w:rFonts w:ascii="方正书宋_GBK" w:eastAsia="方正书宋_GBK"/>
                <w:b/>
              </w:rPr>
            </w:pPr>
          </w:p>
        </w:tc>
      </w:tr>
      <w:tr w14:paraId="5AC48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5" w:type="dxa"/>
            <w:shd w:val="clear" w:color="auto" w:fill="auto"/>
            <w:vAlign w:val="center"/>
          </w:tcPr>
          <w:p w14:paraId="073B0E3A">
            <w:pPr>
              <w:spacing w:line="300" w:lineRule="exact"/>
              <w:jc w:val="left"/>
              <w:rPr>
                <w:rFonts w:ascii="方正书宋_GBK" w:eastAsia="方正书宋_GBK"/>
              </w:rPr>
            </w:pPr>
            <w:r>
              <w:rPr>
                <w:rFonts w:hint="eastAsia" w:ascii="方正书宋_GBK" w:eastAsia="方正书宋_GBK"/>
              </w:rPr>
              <w:t>办公场所改造工程款项</w:t>
            </w:r>
          </w:p>
        </w:tc>
        <w:tc>
          <w:tcPr>
            <w:tcW w:w="976" w:type="dxa"/>
            <w:shd w:val="clear" w:color="auto" w:fill="auto"/>
            <w:vAlign w:val="center"/>
          </w:tcPr>
          <w:p w14:paraId="6641CC43">
            <w:pPr>
              <w:spacing w:line="300" w:lineRule="exact"/>
              <w:jc w:val="right"/>
              <w:rPr>
                <w:rFonts w:ascii="方正书宋_GBK" w:eastAsia="方正书宋_GBK"/>
              </w:rPr>
            </w:pPr>
            <w:r>
              <w:rPr>
                <w:rFonts w:ascii="方正书宋_GBK" w:eastAsia="方正书宋_GBK"/>
              </w:rPr>
              <w:t>50.00</w:t>
            </w:r>
          </w:p>
        </w:tc>
        <w:tc>
          <w:tcPr>
            <w:tcW w:w="672" w:type="dxa"/>
            <w:shd w:val="clear" w:color="auto" w:fill="auto"/>
            <w:vAlign w:val="center"/>
          </w:tcPr>
          <w:p w14:paraId="4624CEFA">
            <w:pPr>
              <w:spacing w:line="300" w:lineRule="exact"/>
              <w:jc w:val="left"/>
              <w:rPr>
                <w:rFonts w:ascii="方正书宋_GBK" w:eastAsia="方正书宋_GBK"/>
              </w:rPr>
            </w:pPr>
            <w:r>
              <w:rPr>
                <w:rFonts w:hint="eastAsia" w:ascii="方正书宋_GBK" w:eastAsia="方正书宋_GBK"/>
              </w:rPr>
              <w:t>装修工程</w:t>
            </w:r>
          </w:p>
        </w:tc>
        <w:tc>
          <w:tcPr>
            <w:tcW w:w="1524" w:type="dxa"/>
            <w:shd w:val="clear" w:color="auto" w:fill="auto"/>
            <w:vAlign w:val="center"/>
          </w:tcPr>
          <w:p w14:paraId="3BB6FF3E">
            <w:pPr>
              <w:spacing w:line="300" w:lineRule="exact"/>
              <w:jc w:val="left"/>
              <w:rPr>
                <w:rFonts w:ascii="方正书宋_GBK" w:eastAsia="方正书宋_GBK"/>
              </w:rPr>
            </w:pPr>
            <w:r>
              <w:rPr>
                <w:rFonts w:ascii="方正书宋_GBK" w:eastAsia="方正书宋_GBK"/>
              </w:rPr>
              <w:t>B07</w:t>
            </w:r>
          </w:p>
        </w:tc>
        <w:tc>
          <w:tcPr>
            <w:tcW w:w="564" w:type="dxa"/>
            <w:shd w:val="clear" w:color="auto" w:fill="auto"/>
            <w:vAlign w:val="center"/>
          </w:tcPr>
          <w:p w14:paraId="4F0B36EF">
            <w:pPr>
              <w:spacing w:line="300" w:lineRule="exact"/>
              <w:jc w:val="left"/>
              <w:rPr>
                <w:rFonts w:ascii="方正书宋_GBK" w:eastAsia="方正书宋_GBK"/>
              </w:rPr>
            </w:pPr>
          </w:p>
        </w:tc>
        <w:tc>
          <w:tcPr>
            <w:tcW w:w="976" w:type="dxa"/>
            <w:shd w:val="clear" w:color="auto" w:fill="auto"/>
            <w:vAlign w:val="center"/>
          </w:tcPr>
          <w:p w14:paraId="763A1B76">
            <w:pPr>
              <w:spacing w:line="300" w:lineRule="exact"/>
              <w:jc w:val="right"/>
              <w:rPr>
                <w:rFonts w:ascii="方正书宋_GBK" w:eastAsia="方正书宋_GBK"/>
              </w:rPr>
            </w:pPr>
            <w:r>
              <w:rPr>
                <w:rFonts w:ascii="方正书宋_GBK" w:eastAsia="方正书宋_GBK"/>
              </w:rPr>
              <w:t>1.00</w:t>
            </w:r>
          </w:p>
        </w:tc>
        <w:tc>
          <w:tcPr>
            <w:tcW w:w="976" w:type="dxa"/>
            <w:shd w:val="clear" w:color="auto" w:fill="auto"/>
            <w:vAlign w:val="center"/>
          </w:tcPr>
          <w:p w14:paraId="6CBF1697">
            <w:pPr>
              <w:spacing w:line="300" w:lineRule="exact"/>
              <w:jc w:val="right"/>
              <w:rPr>
                <w:rFonts w:ascii="方正书宋_GBK" w:eastAsia="方正书宋_GBK"/>
              </w:rPr>
            </w:pPr>
            <w:r>
              <w:rPr>
                <w:rFonts w:ascii="方正书宋_GBK" w:eastAsia="方正书宋_GBK"/>
              </w:rPr>
              <w:t>50.00</w:t>
            </w:r>
          </w:p>
        </w:tc>
        <w:tc>
          <w:tcPr>
            <w:tcW w:w="976" w:type="dxa"/>
            <w:shd w:val="clear" w:color="auto" w:fill="auto"/>
            <w:vAlign w:val="center"/>
          </w:tcPr>
          <w:p w14:paraId="6EA9B7F5">
            <w:pPr>
              <w:spacing w:line="300" w:lineRule="exact"/>
              <w:jc w:val="right"/>
              <w:rPr>
                <w:rFonts w:ascii="方正书宋_GBK" w:eastAsia="方正书宋_GBK"/>
              </w:rPr>
            </w:pPr>
            <w:r>
              <w:rPr>
                <w:rFonts w:ascii="方正书宋_GBK" w:eastAsia="方正书宋_GBK"/>
              </w:rPr>
              <w:t>50.00</w:t>
            </w:r>
          </w:p>
        </w:tc>
        <w:tc>
          <w:tcPr>
            <w:tcW w:w="976" w:type="dxa"/>
            <w:shd w:val="clear" w:color="auto" w:fill="auto"/>
            <w:vAlign w:val="center"/>
          </w:tcPr>
          <w:p w14:paraId="4FCC3429">
            <w:pPr>
              <w:spacing w:line="300" w:lineRule="exact"/>
              <w:jc w:val="right"/>
              <w:rPr>
                <w:rFonts w:ascii="方正书宋_GBK" w:eastAsia="方正书宋_GBK"/>
              </w:rPr>
            </w:pPr>
            <w:r>
              <w:rPr>
                <w:rFonts w:ascii="方正书宋_GBK" w:eastAsia="方正书宋_GBK"/>
              </w:rPr>
              <w:t>50.00</w:t>
            </w:r>
          </w:p>
        </w:tc>
        <w:tc>
          <w:tcPr>
            <w:tcW w:w="976" w:type="dxa"/>
            <w:shd w:val="clear" w:color="auto" w:fill="auto"/>
            <w:vAlign w:val="center"/>
          </w:tcPr>
          <w:p w14:paraId="217C7554">
            <w:pPr>
              <w:spacing w:line="300" w:lineRule="exact"/>
              <w:jc w:val="right"/>
              <w:rPr>
                <w:rFonts w:ascii="方正书宋_GBK" w:eastAsia="方正书宋_GBK"/>
              </w:rPr>
            </w:pPr>
            <w:r>
              <w:rPr>
                <w:rFonts w:ascii="方正书宋_GBK" w:eastAsia="方正书宋_GBK"/>
              </w:rPr>
              <w:t>50.00</w:t>
            </w:r>
          </w:p>
        </w:tc>
        <w:tc>
          <w:tcPr>
            <w:tcW w:w="754" w:type="dxa"/>
            <w:shd w:val="clear" w:color="auto" w:fill="auto"/>
            <w:vAlign w:val="center"/>
          </w:tcPr>
          <w:p w14:paraId="591E7A0B">
            <w:pPr>
              <w:spacing w:line="300" w:lineRule="exact"/>
              <w:jc w:val="right"/>
              <w:rPr>
                <w:rFonts w:ascii="方正书宋_GBK" w:eastAsia="方正书宋_GBK"/>
              </w:rPr>
            </w:pPr>
          </w:p>
        </w:tc>
        <w:tc>
          <w:tcPr>
            <w:tcW w:w="756" w:type="dxa"/>
            <w:shd w:val="clear" w:color="auto" w:fill="auto"/>
            <w:vAlign w:val="center"/>
          </w:tcPr>
          <w:p w14:paraId="1F54B76C">
            <w:pPr>
              <w:spacing w:line="300" w:lineRule="exact"/>
              <w:jc w:val="right"/>
              <w:rPr>
                <w:rFonts w:ascii="方正书宋_GBK" w:eastAsia="方正书宋_GBK"/>
              </w:rPr>
            </w:pPr>
          </w:p>
        </w:tc>
        <w:tc>
          <w:tcPr>
            <w:tcW w:w="859" w:type="dxa"/>
            <w:shd w:val="clear" w:color="auto" w:fill="auto"/>
            <w:vAlign w:val="center"/>
          </w:tcPr>
          <w:p w14:paraId="2BC2F26C">
            <w:pPr>
              <w:spacing w:line="300" w:lineRule="exact"/>
              <w:jc w:val="right"/>
              <w:rPr>
                <w:rFonts w:ascii="方正书宋_GBK" w:eastAsia="方正书宋_GBK"/>
              </w:rPr>
            </w:pPr>
          </w:p>
        </w:tc>
        <w:tc>
          <w:tcPr>
            <w:tcW w:w="612" w:type="dxa"/>
            <w:shd w:val="clear" w:color="auto" w:fill="auto"/>
            <w:vAlign w:val="center"/>
          </w:tcPr>
          <w:p w14:paraId="1969373D">
            <w:pPr>
              <w:spacing w:line="300" w:lineRule="exact"/>
              <w:jc w:val="right"/>
              <w:rPr>
                <w:rFonts w:ascii="方正书宋_GBK" w:eastAsia="方正书宋_GBK"/>
              </w:rPr>
            </w:pPr>
          </w:p>
        </w:tc>
      </w:tr>
    </w:tbl>
    <w:p w14:paraId="226F978B">
      <w:pPr>
        <w:autoSpaceDE w:val="0"/>
        <w:autoSpaceDN w:val="0"/>
        <w:adjustRightInd w:val="0"/>
        <w:ind w:left="198" w:firstLine="640" w:firstLineChars="200"/>
        <w:jc w:val="left"/>
        <w:rPr>
          <w:rFonts w:ascii="黑体" w:hAnsi="黑体" w:eastAsia="黑体" w:cs="Times New Roman"/>
          <w:sz w:val="32"/>
          <w:szCs w:val="32"/>
        </w:rPr>
      </w:pPr>
    </w:p>
    <w:p w14:paraId="15840EA9">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七、国有资产信息</w:t>
      </w:r>
    </w:p>
    <w:p w14:paraId="2050C985">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石家庄市鹿泉区医疗保障局</w:t>
      </w:r>
      <w:r>
        <w:rPr>
          <w:rFonts w:hint="eastAsia" w:ascii="仿宋" w:hAnsi="仿宋" w:eastAsia="仿宋" w:cs="仿宋"/>
          <w:sz w:val="32"/>
          <w:szCs w:val="32"/>
        </w:rPr>
        <w:t>（含所属单位）上年末固定资产金额为</w:t>
      </w:r>
      <w:r>
        <w:rPr>
          <w:rFonts w:hint="eastAsia" w:ascii="仿宋" w:hAnsi="仿宋" w:eastAsia="仿宋" w:cs="仿宋"/>
          <w:sz w:val="32"/>
          <w:szCs w:val="32"/>
          <w:lang w:val="en-US" w:eastAsia="zh-CN"/>
        </w:rPr>
        <w:t>74</w:t>
      </w:r>
      <w:r>
        <w:rPr>
          <w:rFonts w:hint="eastAsia" w:ascii="仿宋" w:hAnsi="仿宋" w:eastAsia="仿宋" w:cs="仿宋"/>
          <w:sz w:val="32"/>
          <w:szCs w:val="32"/>
        </w:rPr>
        <w:t>万元（详见下表），本年度拟购置固定资产总额为</w:t>
      </w:r>
      <w:r>
        <w:rPr>
          <w:rFonts w:hint="eastAsia" w:ascii="仿宋" w:hAnsi="仿宋" w:eastAsia="仿宋" w:cs="仿宋"/>
          <w:sz w:val="32"/>
          <w:szCs w:val="32"/>
          <w:lang w:val="en-US" w:eastAsia="zh-CN"/>
        </w:rPr>
        <w:t>10</w:t>
      </w:r>
      <w:r>
        <w:rPr>
          <w:rFonts w:hint="eastAsia" w:ascii="仿宋" w:hAnsi="仿宋" w:eastAsia="仿宋" w:cs="仿宋"/>
          <w:sz w:val="32"/>
          <w:szCs w:val="32"/>
        </w:rPr>
        <w:t>万元，主要为计算机设备、打印设备、空调、办公家具等，已列入政府采购预算，详见政府采购预算表。</w:t>
      </w:r>
    </w:p>
    <w:tbl>
      <w:tblPr>
        <w:tblStyle w:val="8"/>
        <w:tblW w:w="13482" w:type="dxa"/>
        <w:tblInd w:w="93" w:type="dxa"/>
        <w:tblLayout w:type="fixed"/>
        <w:tblCellMar>
          <w:top w:w="0" w:type="dxa"/>
          <w:left w:w="108" w:type="dxa"/>
          <w:bottom w:w="0" w:type="dxa"/>
          <w:right w:w="108" w:type="dxa"/>
        </w:tblCellMar>
      </w:tblPr>
      <w:tblGrid>
        <w:gridCol w:w="5224"/>
        <w:gridCol w:w="3155"/>
        <w:gridCol w:w="5103"/>
      </w:tblGrid>
      <w:tr w14:paraId="20B4A51E">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shd w:val="clear" w:color="auto" w:fill="auto"/>
            <w:vAlign w:val="center"/>
          </w:tcPr>
          <w:p w14:paraId="47E2F692">
            <w:pPr>
              <w:ind w:firstLine="1115" w:firstLineChars="347"/>
              <w:jc w:val="center"/>
              <w:outlineLvl w:val="0"/>
              <w:rPr>
                <w:rFonts w:hint="eastAsia" w:ascii="仿宋_GB2312" w:hAnsi="仿宋" w:eastAsia="仿宋_GB2312"/>
                <w:b/>
                <w:sz w:val="32"/>
                <w:szCs w:val="32"/>
              </w:rPr>
            </w:pPr>
            <w:r>
              <w:rPr>
                <w:rFonts w:hint="eastAsia" w:ascii="仿宋_GB2312" w:hAnsi="仿宋" w:eastAsia="仿宋_GB2312"/>
                <w:b/>
                <w:sz w:val="32"/>
                <w:szCs w:val="32"/>
                <w:lang w:eastAsia="zh-CN"/>
              </w:rPr>
              <w:t>医保</w:t>
            </w:r>
            <w:r>
              <w:rPr>
                <w:rFonts w:hint="eastAsia" w:ascii="仿宋_GB2312" w:hAnsi="仿宋" w:eastAsia="仿宋_GB2312"/>
                <w:b/>
                <w:sz w:val="32"/>
                <w:szCs w:val="32"/>
              </w:rPr>
              <w:t>局固定资产占用情况表</w:t>
            </w:r>
          </w:p>
          <w:p w14:paraId="051F2163">
            <w:pPr>
              <w:widowControl/>
              <w:jc w:val="center"/>
              <w:rPr>
                <w:rFonts w:ascii="宋体" w:hAnsi="宋体" w:eastAsia="宋体" w:cs="宋体"/>
                <w:b/>
                <w:bCs/>
                <w:kern w:val="0"/>
                <w:sz w:val="32"/>
                <w:szCs w:val="32"/>
              </w:rPr>
            </w:pPr>
          </w:p>
        </w:tc>
      </w:tr>
      <w:tr w14:paraId="21EF2544">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shd w:val="clear" w:color="auto" w:fill="auto"/>
            <w:vAlign w:val="center"/>
          </w:tcPr>
          <w:p w14:paraId="13DBE976">
            <w:pPr>
              <w:widowControl/>
              <w:jc w:val="left"/>
              <w:rPr>
                <w:rFonts w:ascii="宋体" w:hAnsi="宋体" w:eastAsia="宋体" w:cs="宋体"/>
                <w:kern w:val="0"/>
                <w:sz w:val="22"/>
              </w:rPr>
            </w:pPr>
            <w:r>
              <w:rPr>
                <w:rFonts w:hint="eastAsia" w:ascii="宋体" w:hAnsi="宋体" w:eastAsia="宋体" w:cs="宋体"/>
                <w:kern w:val="0"/>
                <w:sz w:val="22"/>
              </w:rPr>
              <w:t>编制部门：</w:t>
            </w:r>
            <w:r>
              <w:rPr>
                <w:rFonts w:hint="eastAsia" w:ascii="宋体" w:hAnsi="宋体" w:eastAsia="宋体" w:cs="宋体"/>
                <w:kern w:val="0"/>
                <w:sz w:val="22"/>
                <w:lang w:eastAsia="zh-CN"/>
              </w:rPr>
              <w:t>石家庄市鹿泉区医疗保障局</w:t>
            </w:r>
          </w:p>
        </w:tc>
        <w:tc>
          <w:tcPr>
            <w:tcW w:w="5103" w:type="dxa"/>
            <w:tcBorders>
              <w:top w:val="nil"/>
              <w:left w:val="nil"/>
              <w:bottom w:val="nil"/>
              <w:right w:val="nil"/>
            </w:tcBorders>
            <w:shd w:val="clear" w:color="auto" w:fill="auto"/>
            <w:vAlign w:val="center"/>
          </w:tcPr>
          <w:p w14:paraId="13B4342A">
            <w:pPr>
              <w:widowControl/>
              <w:jc w:val="left"/>
              <w:rPr>
                <w:rFonts w:ascii="宋体" w:hAnsi="宋体" w:eastAsia="宋体" w:cs="宋体"/>
                <w:kern w:val="0"/>
                <w:sz w:val="22"/>
              </w:rPr>
            </w:pPr>
            <w:r>
              <w:rPr>
                <w:rFonts w:hint="eastAsia" w:ascii="宋体" w:hAnsi="宋体" w:eastAsia="宋体" w:cs="宋体"/>
                <w:kern w:val="0"/>
                <w:sz w:val="22"/>
              </w:rPr>
              <w:t xml:space="preserve">截止时间：2018年12月31日  </w:t>
            </w:r>
          </w:p>
        </w:tc>
      </w:tr>
      <w:tr w14:paraId="196545A6">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shd w:val="clear" w:color="auto" w:fill="auto"/>
            <w:vAlign w:val="center"/>
          </w:tcPr>
          <w:p w14:paraId="72B8A4F6">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3155" w:type="dxa"/>
            <w:tcBorders>
              <w:top w:val="single" w:color="auto" w:sz="4" w:space="0"/>
              <w:left w:val="nil"/>
              <w:bottom w:val="single" w:color="auto" w:sz="4" w:space="0"/>
              <w:right w:val="single" w:color="auto" w:sz="4" w:space="0"/>
            </w:tcBorders>
            <w:shd w:val="clear" w:color="auto" w:fill="auto"/>
            <w:vAlign w:val="center"/>
          </w:tcPr>
          <w:p w14:paraId="4998F215">
            <w:pPr>
              <w:widowControl/>
              <w:jc w:val="center"/>
              <w:rPr>
                <w:rFonts w:ascii="宋体" w:hAnsi="宋体" w:eastAsia="宋体" w:cs="宋体"/>
                <w:b/>
                <w:bCs/>
                <w:kern w:val="0"/>
                <w:sz w:val="22"/>
              </w:rPr>
            </w:pPr>
            <w:r>
              <w:rPr>
                <w:rFonts w:hint="eastAsia" w:ascii="宋体" w:hAnsi="宋体" w:eastAsia="宋体" w:cs="宋体"/>
                <w:b/>
                <w:bCs/>
                <w:kern w:val="0"/>
                <w:sz w:val="22"/>
              </w:rPr>
              <w:t>数量</w:t>
            </w:r>
          </w:p>
        </w:tc>
        <w:tc>
          <w:tcPr>
            <w:tcW w:w="5103" w:type="dxa"/>
            <w:tcBorders>
              <w:top w:val="single" w:color="auto" w:sz="4" w:space="0"/>
              <w:left w:val="nil"/>
              <w:bottom w:val="single" w:color="auto" w:sz="4" w:space="0"/>
              <w:right w:val="single" w:color="auto" w:sz="4" w:space="0"/>
            </w:tcBorders>
            <w:shd w:val="clear" w:color="auto" w:fill="auto"/>
            <w:vAlign w:val="center"/>
          </w:tcPr>
          <w:p w14:paraId="162FB407">
            <w:pPr>
              <w:widowControl/>
              <w:jc w:val="center"/>
              <w:rPr>
                <w:rFonts w:ascii="宋体" w:hAnsi="宋体" w:eastAsia="宋体" w:cs="宋体"/>
                <w:b/>
                <w:bCs/>
                <w:kern w:val="0"/>
                <w:sz w:val="22"/>
              </w:rPr>
            </w:pPr>
            <w:r>
              <w:rPr>
                <w:rFonts w:hint="eastAsia" w:ascii="宋体" w:hAnsi="宋体" w:eastAsia="宋体" w:cs="宋体"/>
                <w:b/>
                <w:bCs/>
                <w:kern w:val="0"/>
                <w:sz w:val="22"/>
              </w:rPr>
              <w:t>价值（金额单位：万元）</w:t>
            </w:r>
          </w:p>
        </w:tc>
      </w:tr>
      <w:tr w14:paraId="3A9D111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3835E53F">
            <w:pPr>
              <w:widowControl/>
              <w:jc w:val="center"/>
              <w:rPr>
                <w:rFonts w:ascii="宋体" w:hAnsi="宋体" w:eastAsia="宋体" w:cs="宋体"/>
                <w:kern w:val="0"/>
                <w:sz w:val="22"/>
              </w:rPr>
            </w:pPr>
            <w:r>
              <w:rPr>
                <w:rFonts w:hint="eastAsia" w:ascii="宋体" w:hAnsi="宋体" w:eastAsia="宋体" w:cs="宋体"/>
                <w:kern w:val="0"/>
                <w:sz w:val="22"/>
              </w:rPr>
              <w:t>资产总额</w:t>
            </w:r>
          </w:p>
        </w:tc>
        <w:tc>
          <w:tcPr>
            <w:tcW w:w="3155" w:type="dxa"/>
            <w:tcBorders>
              <w:top w:val="nil"/>
              <w:left w:val="nil"/>
              <w:bottom w:val="single" w:color="auto" w:sz="4" w:space="0"/>
              <w:right w:val="single" w:color="auto" w:sz="4" w:space="0"/>
            </w:tcBorders>
            <w:shd w:val="clear" w:color="auto" w:fill="auto"/>
            <w:vAlign w:val="center"/>
          </w:tcPr>
          <w:p w14:paraId="5855744E">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w:t>
            </w:r>
          </w:p>
        </w:tc>
        <w:tc>
          <w:tcPr>
            <w:tcW w:w="5103" w:type="dxa"/>
            <w:tcBorders>
              <w:top w:val="nil"/>
              <w:left w:val="nil"/>
              <w:bottom w:val="single" w:color="auto" w:sz="4" w:space="0"/>
              <w:right w:val="single" w:color="auto" w:sz="4" w:space="0"/>
            </w:tcBorders>
            <w:shd w:val="clear" w:color="auto" w:fill="auto"/>
            <w:vAlign w:val="center"/>
          </w:tcPr>
          <w:p w14:paraId="4F941B8D">
            <w:pPr>
              <w:widowControl/>
              <w:jc w:val="center"/>
              <w:rPr>
                <w:rFonts w:hint="eastAsia" w:ascii="Times New Roman" w:hAnsi="Times New Roman" w:eastAsia="宋体" w:cs="Times New Roman"/>
                <w:kern w:val="0"/>
                <w:sz w:val="22"/>
                <w:lang w:val="en-US" w:eastAsia="zh-CN"/>
              </w:rPr>
            </w:pPr>
            <w:r>
              <w:rPr>
                <w:rFonts w:hint="eastAsia" w:ascii="Times New Roman" w:hAnsi="Times New Roman" w:eastAsia="宋体" w:cs="Times New Roman"/>
                <w:kern w:val="0"/>
                <w:sz w:val="22"/>
                <w:lang w:val="en-US" w:eastAsia="zh-CN"/>
              </w:rPr>
              <w:t>74</w:t>
            </w:r>
          </w:p>
        </w:tc>
      </w:tr>
      <w:tr w14:paraId="11C932FF">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00D3E410">
            <w:pPr>
              <w:widowControl/>
              <w:jc w:val="left"/>
              <w:rPr>
                <w:rFonts w:ascii="宋体" w:hAnsi="宋体" w:eastAsia="宋体" w:cs="宋体"/>
                <w:kern w:val="0"/>
                <w:sz w:val="22"/>
              </w:rPr>
            </w:pPr>
            <w:r>
              <w:rPr>
                <w:rFonts w:hint="eastAsia" w:ascii="宋体" w:hAnsi="宋体" w:eastAsia="宋体" w:cs="宋体"/>
                <w:kern w:val="0"/>
                <w:sz w:val="22"/>
              </w:rPr>
              <w:t>1、房屋（平方米）</w:t>
            </w:r>
          </w:p>
        </w:tc>
        <w:tc>
          <w:tcPr>
            <w:tcW w:w="3155" w:type="dxa"/>
            <w:tcBorders>
              <w:top w:val="nil"/>
              <w:left w:val="nil"/>
              <w:bottom w:val="single" w:color="auto" w:sz="4" w:space="0"/>
              <w:right w:val="single" w:color="auto" w:sz="4" w:space="0"/>
            </w:tcBorders>
            <w:shd w:val="clear" w:color="auto" w:fill="auto"/>
            <w:vAlign w:val="center"/>
          </w:tcPr>
          <w:p w14:paraId="1C806FBB">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64DA4F12">
            <w:pPr>
              <w:jc w:val="center"/>
              <w:rPr>
                <w:rFonts w:ascii="Times New Roman" w:hAnsi="Times New Roman" w:cs="Times New Roman"/>
                <w:sz w:val="22"/>
              </w:rPr>
            </w:pPr>
          </w:p>
        </w:tc>
      </w:tr>
      <w:tr w14:paraId="20802AE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561C448D">
            <w:pPr>
              <w:widowControl/>
              <w:jc w:val="left"/>
              <w:rPr>
                <w:rFonts w:ascii="宋体" w:hAnsi="宋体" w:eastAsia="宋体" w:cs="宋体"/>
                <w:kern w:val="0"/>
                <w:sz w:val="22"/>
              </w:rPr>
            </w:pPr>
            <w:r>
              <w:rPr>
                <w:rFonts w:hint="eastAsia" w:ascii="宋体" w:hAnsi="宋体" w:eastAsia="宋体" w:cs="宋体"/>
                <w:kern w:val="0"/>
                <w:sz w:val="22"/>
              </w:rPr>
              <w:t xml:space="preserve">   其中：办公用房（平方米）</w:t>
            </w:r>
          </w:p>
        </w:tc>
        <w:tc>
          <w:tcPr>
            <w:tcW w:w="3155" w:type="dxa"/>
            <w:tcBorders>
              <w:top w:val="nil"/>
              <w:left w:val="nil"/>
              <w:bottom w:val="single" w:color="auto" w:sz="4" w:space="0"/>
              <w:right w:val="single" w:color="auto" w:sz="4" w:space="0"/>
            </w:tcBorders>
            <w:shd w:val="clear" w:color="auto" w:fill="auto"/>
            <w:vAlign w:val="center"/>
          </w:tcPr>
          <w:p w14:paraId="03F87DC2">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2FEA1A61">
            <w:pPr>
              <w:jc w:val="center"/>
              <w:rPr>
                <w:rFonts w:ascii="Times New Roman" w:hAnsi="Times New Roman" w:cs="Times New Roman"/>
                <w:sz w:val="22"/>
              </w:rPr>
            </w:pPr>
          </w:p>
        </w:tc>
      </w:tr>
      <w:tr w14:paraId="287A638C">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3AA26A8A">
            <w:pPr>
              <w:widowControl/>
              <w:jc w:val="left"/>
              <w:rPr>
                <w:rFonts w:ascii="宋体" w:hAnsi="宋体" w:eastAsia="宋体" w:cs="宋体"/>
                <w:kern w:val="0"/>
                <w:sz w:val="22"/>
              </w:rPr>
            </w:pPr>
            <w:r>
              <w:rPr>
                <w:rFonts w:hint="eastAsia" w:ascii="宋体" w:hAnsi="宋体" w:eastAsia="宋体" w:cs="宋体"/>
                <w:kern w:val="0"/>
                <w:sz w:val="22"/>
              </w:rPr>
              <w:t>2、车辆（台、辆）</w:t>
            </w:r>
          </w:p>
        </w:tc>
        <w:tc>
          <w:tcPr>
            <w:tcW w:w="3155" w:type="dxa"/>
            <w:tcBorders>
              <w:top w:val="nil"/>
              <w:left w:val="nil"/>
              <w:bottom w:val="single" w:color="auto" w:sz="4" w:space="0"/>
              <w:right w:val="single" w:color="auto" w:sz="4" w:space="0"/>
            </w:tcBorders>
            <w:shd w:val="clear" w:color="auto" w:fill="auto"/>
            <w:vAlign w:val="center"/>
          </w:tcPr>
          <w:p w14:paraId="7D98AF7D">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w:t>
            </w:r>
          </w:p>
        </w:tc>
        <w:tc>
          <w:tcPr>
            <w:tcW w:w="5103" w:type="dxa"/>
            <w:tcBorders>
              <w:top w:val="nil"/>
              <w:left w:val="nil"/>
              <w:bottom w:val="single" w:color="auto" w:sz="4" w:space="0"/>
              <w:right w:val="single" w:color="auto" w:sz="4" w:space="0"/>
            </w:tcBorders>
            <w:shd w:val="clear" w:color="auto" w:fill="auto"/>
            <w:vAlign w:val="center"/>
          </w:tcPr>
          <w:p w14:paraId="1F443C52">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10</w:t>
            </w:r>
          </w:p>
        </w:tc>
      </w:tr>
      <w:tr w14:paraId="650C8FC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03ED4B24">
            <w:pPr>
              <w:widowControl/>
              <w:jc w:val="left"/>
              <w:rPr>
                <w:rFonts w:ascii="宋体" w:hAnsi="宋体" w:eastAsia="宋体" w:cs="宋体"/>
                <w:kern w:val="0"/>
                <w:sz w:val="22"/>
              </w:rPr>
            </w:pPr>
            <w:r>
              <w:rPr>
                <w:rFonts w:hint="eastAsia" w:ascii="宋体" w:hAnsi="宋体" w:eastAsia="宋体" w:cs="宋体"/>
                <w:kern w:val="0"/>
                <w:sz w:val="22"/>
              </w:rPr>
              <w:t>3、单价在20万元以上的设备</w:t>
            </w:r>
          </w:p>
        </w:tc>
        <w:tc>
          <w:tcPr>
            <w:tcW w:w="3155" w:type="dxa"/>
            <w:tcBorders>
              <w:top w:val="nil"/>
              <w:left w:val="nil"/>
              <w:bottom w:val="single" w:color="auto" w:sz="4" w:space="0"/>
              <w:right w:val="single" w:color="auto" w:sz="4" w:space="0"/>
            </w:tcBorders>
            <w:shd w:val="clear" w:color="auto" w:fill="auto"/>
            <w:vAlign w:val="center"/>
          </w:tcPr>
          <w:p w14:paraId="26D21B8F">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67F417F7">
            <w:pPr>
              <w:jc w:val="center"/>
              <w:rPr>
                <w:rFonts w:ascii="Times New Roman" w:hAnsi="Times New Roman" w:cs="Times New Roman"/>
                <w:sz w:val="22"/>
              </w:rPr>
            </w:pPr>
          </w:p>
        </w:tc>
      </w:tr>
      <w:tr w14:paraId="5FE23276">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791798B9">
            <w:pPr>
              <w:widowControl/>
              <w:jc w:val="left"/>
              <w:rPr>
                <w:rFonts w:ascii="宋体" w:hAnsi="宋体" w:eastAsia="宋体" w:cs="宋体"/>
                <w:kern w:val="0"/>
                <w:sz w:val="22"/>
              </w:rPr>
            </w:pPr>
            <w:r>
              <w:rPr>
                <w:rFonts w:hint="eastAsia" w:ascii="宋体" w:hAnsi="宋体" w:eastAsia="宋体" w:cs="宋体"/>
                <w:kern w:val="0"/>
                <w:sz w:val="22"/>
              </w:rPr>
              <w:t>4、其他固定资产</w:t>
            </w:r>
          </w:p>
        </w:tc>
        <w:tc>
          <w:tcPr>
            <w:tcW w:w="3155" w:type="dxa"/>
            <w:tcBorders>
              <w:top w:val="nil"/>
              <w:left w:val="nil"/>
              <w:bottom w:val="single" w:color="auto" w:sz="4" w:space="0"/>
              <w:right w:val="single" w:color="auto" w:sz="4" w:space="0"/>
            </w:tcBorders>
            <w:shd w:val="clear" w:color="auto" w:fill="auto"/>
            <w:vAlign w:val="center"/>
          </w:tcPr>
          <w:p w14:paraId="000CF3CE">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33B81823">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64</w:t>
            </w:r>
          </w:p>
        </w:tc>
      </w:tr>
    </w:tbl>
    <w:p w14:paraId="44E205BD">
      <w:pPr>
        <w:jc w:val="center"/>
        <w:outlineLvl w:val="1"/>
        <w:rPr>
          <w:rFonts w:hint="eastAsia" w:ascii="方正小标宋_GBK" w:eastAsia="方正小标宋_GBK"/>
          <w:sz w:val="44"/>
        </w:rPr>
      </w:pPr>
      <w:bookmarkStart w:id="2" w:name="_Toc2521141"/>
    </w:p>
    <w:p w14:paraId="2DB64439">
      <w:pPr>
        <w:jc w:val="center"/>
        <w:outlineLvl w:val="1"/>
        <w:rPr>
          <w:rFonts w:hint="eastAsia" w:ascii="方正小标宋_GBK" w:eastAsia="方正小标宋_GBK"/>
          <w:sz w:val="44"/>
        </w:rPr>
      </w:pPr>
    </w:p>
    <w:p w14:paraId="643B3A2C">
      <w:pPr>
        <w:jc w:val="center"/>
        <w:outlineLvl w:val="1"/>
        <w:rPr>
          <w:rFonts w:hint="eastAsia" w:ascii="方正小标宋_GBK" w:eastAsia="方正小标宋_GBK"/>
          <w:sz w:val="44"/>
        </w:rPr>
      </w:pPr>
    </w:p>
    <w:p w14:paraId="378B5E54">
      <w:pPr>
        <w:jc w:val="center"/>
        <w:outlineLvl w:val="1"/>
        <w:rPr>
          <w:rFonts w:hint="eastAsia" w:ascii="方正小标宋_GBK" w:eastAsia="方正小标宋_GBK"/>
          <w:sz w:val="44"/>
        </w:rPr>
      </w:pPr>
    </w:p>
    <w:p w14:paraId="4348267C">
      <w:pPr>
        <w:jc w:val="center"/>
        <w:outlineLvl w:val="1"/>
        <w:rPr>
          <w:rFonts w:hint="eastAsia" w:ascii="方正小标宋_GBK" w:eastAsia="方正小标宋_GBK"/>
          <w:sz w:val="44"/>
        </w:rPr>
      </w:pPr>
    </w:p>
    <w:bookmarkEnd w:id="2"/>
    <w:p w14:paraId="71E545B1">
      <w:pPr>
        <w:spacing w:line="300" w:lineRule="exact"/>
        <w:jc w:val="left"/>
        <w:sectPr>
          <w:pgSz w:w="16839" w:h="11907" w:orient="landscape"/>
          <w:pgMar w:top="1361" w:right="1020" w:bottom="1361" w:left="1020" w:header="851" w:footer="992" w:gutter="0"/>
          <w:cols w:space="425" w:num="1"/>
          <w:docGrid w:type="lines" w:linePitch="312" w:charSpace="0"/>
        </w:sectPr>
      </w:pPr>
    </w:p>
    <w:p w14:paraId="6D94CE4B">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八、名词解释</w:t>
      </w:r>
    </w:p>
    <w:p w14:paraId="205A4898">
      <w:pPr>
        <w:ind w:firstLine="640" w:firstLineChars="200"/>
        <w:rPr>
          <w:rFonts w:hint="eastAsia" w:ascii="仿宋" w:hAnsi="仿宋" w:eastAsia="仿宋" w:cs="仿宋"/>
          <w:sz w:val="32"/>
          <w:szCs w:val="32"/>
        </w:rPr>
      </w:pPr>
      <w:r>
        <w:rPr>
          <w:rFonts w:hint="eastAsia" w:ascii="仿宋" w:hAnsi="仿宋" w:eastAsia="仿宋" w:cs="仿宋"/>
          <w:sz w:val="32"/>
          <w:szCs w:val="32"/>
        </w:rPr>
        <w:t>1、一般公共预算拨款收入：指</w:t>
      </w:r>
      <w:r>
        <w:rPr>
          <w:rFonts w:hint="eastAsia" w:ascii="仿宋" w:hAnsi="仿宋" w:eastAsia="仿宋" w:cs="仿宋"/>
          <w:sz w:val="32"/>
          <w:szCs w:val="32"/>
          <w:lang w:eastAsia="zh-CN"/>
        </w:rPr>
        <w:t>区级</w:t>
      </w:r>
      <w:r>
        <w:rPr>
          <w:rFonts w:hint="eastAsia" w:ascii="仿宋" w:hAnsi="仿宋" w:eastAsia="仿宋" w:cs="仿宋"/>
          <w:sz w:val="32"/>
          <w:szCs w:val="32"/>
        </w:rPr>
        <w:t>财政当年拨付的资金。</w:t>
      </w:r>
    </w:p>
    <w:p w14:paraId="655D9549">
      <w:pPr>
        <w:ind w:firstLine="640" w:firstLineChars="200"/>
        <w:rPr>
          <w:rFonts w:hint="eastAsia" w:ascii="仿宋" w:hAnsi="仿宋" w:eastAsia="仿宋" w:cs="仿宋"/>
          <w:sz w:val="32"/>
          <w:szCs w:val="32"/>
        </w:rPr>
      </w:pPr>
      <w:r>
        <w:rPr>
          <w:rFonts w:hint="eastAsia" w:ascii="仿宋" w:hAnsi="仿宋" w:eastAsia="仿宋" w:cs="仿宋"/>
          <w:sz w:val="32"/>
          <w:szCs w:val="32"/>
        </w:rPr>
        <w:t>2、事业收入：指事业单位开展专业业务活动及辅助活动所取得的收入。</w:t>
      </w:r>
    </w:p>
    <w:p w14:paraId="3BD0D0D4">
      <w:pPr>
        <w:ind w:firstLine="640" w:firstLineChars="200"/>
        <w:rPr>
          <w:rFonts w:hint="eastAsia" w:ascii="仿宋" w:hAnsi="仿宋" w:eastAsia="仿宋" w:cs="仿宋"/>
          <w:sz w:val="32"/>
          <w:szCs w:val="32"/>
        </w:rPr>
      </w:pPr>
      <w:r>
        <w:rPr>
          <w:rFonts w:hint="eastAsia" w:ascii="仿宋" w:hAnsi="仿宋" w:eastAsia="仿宋" w:cs="仿宋"/>
          <w:sz w:val="32"/>
          <w:szCs w:val="32"/>
        </w:rPr>
        <w:t>3、其他收入：指除“一般公共预算拨款收入”、“事业收入”等以外的收入。主要是按规定动用的租房收入、存款利息收入等。</w:t>
      </w:r>
    </w:p>
    <w:p w14:paraId="3571E27B">
      <w:pPr>
        <w:ind w:firstLine="640" w:firstLineChars="200"/>
        <w:rPr>
          <w:rFonts w:hint="eastAsia" w:ascii="仿宋" w:hAnsi="仿宋" w:eastAsia="仿宋" w:cs="仿宋"/>
          <w:sz w:val="32"/>
          <w:szCs w:val="32"/>
        </w:rPr>
      </w:pPr>
      <w:r>
        <w:rPr>
          <w:rFonts w:hint="eastAsia" w:ascii="仿宋" w:hAnsi="仿宋" w:eastAsia="仿宋" w:cs="仿宋"/>
          <w:sz w:val="32"/>
          <w:szCs w:val="32"/>
        </w:rPr>
        <w:t>4、基本支出：指为保障机构正常运转、完成日常工作任务而发生的人员支出和公用支出。</w:t>
      </w:r>
    </w:p>
    <w:p w14:paraId="29FB8E02">
      <w:pPr>
        <w:ind w:firstLine="640" w:firstLineChars="200"/>
        <w:rPr>
          <w:rFonts w:hint="eastAsia" w:ascii="仿宋" w:hAnsi="仿宋" w:eastAsia="仿宋" w:cs="仿宋"/>
          <w:sz w:val="32"/>
          <w:szCs w:val="32"/>
        </w:rPr>
      </w:pPr>
      <w:r>
        <w:rPr>
          <w:rFonts w:hint="eastAsia" w:ascii="仿宋" w:hAnsi="仿宋" w:eastAsia="仿宋" w:cs="仿宋"/>
          <w:sz w:val="32"/>
          <w:szCs w:val="32"/>
        </w:rPr>
        <w:t>5、项目支出：指在基本支出之外为完成特定行政任务和事业发展目标所发生的支出。</w:t>
      </w:r>
    </w:p>
    <w:p w14:paraId="7D95EAA3">
      <w:pPr>
        <w:ind w:firstLine="640" w:firstLineChars="200"/>
        <w:rPr>
          <w:rFonts w:hint="eastAsia" w:ascii="仿宋" w:hAnsi="仿宋" w:eastAsia="仿宋" w:cs="仿宋"/>
          <w:sz w:val="32"/>
          <w:szCs w:val="32"/>
        </w:rPr>
      </w:pPr>
      <w:r>
        <w:rPr>
          <w:rFonts w:hint="eastAsia" w:ascii="仿宋" w:hAnsi="仿宋" w:eastAsia="仿宋" w:cs="仿宋"/>
          <w:sz w:val="32"/>
          <w:szCs w:val="32"/>
        </w:rPr>
        <w:t>6、上缴上级支出：指下级单位上缴上级的支出。</w:t>
      </w:r>
    </w:p>
    <w:p w14:paraId="246B79EE">
      <w:pPr>
        <w:ind w:firstLine="640" w:firstLineChars="200"/>
        <w:rPr>
          <w:rFonts w:hint="eastAsia" w:ascii="仿宋" w:hAnsi="仿宋" w:eastAsia="仿宋" w:cs="仿宋"/>
          <w:sz w:val="32"/>
          <w:szCs w:val="32"/>
        </w:rPr>
      </w:pPr>
      <w:r>
        <w:rPr>
          <w:rFonts w:hint="eastAsia" w:ascii="仿宋" w:hAnsi="仿宋" w:eastAsia="仿宋" w:cs="仿宋"/>
          <w:sz w:val="32"/>
          <w:szCs w:val="32"/>
        </w:rPr>
        <w:t>7、“三公”经费：纳入</w:t>
      </w:r>
      <w:r>
        <w:rPr>
          <w:rFonts w:hint="eastAsia" w:ascii="仿宋" w:hAnsi="仿宋" w:eastAsia="仿宋" w:cs="仿宋"/>
          <w:sz w:val="32"/>
          <w:szCs w:val="32"/>
          <w:lang w:eastAsia="zh-CN"/>
        </w:rPr>
        <w:t>区级</w:t>
      </w:r>
      <w:r>
        <w:rPr>
          <w:rFonts w:hint="eastAsia" w:ascii="仿宋" w:hAnsi="仿宋" w:eastAsia="仿宋" w:cs="仿宋"/>
          <w:sz w:val="32"/>
          <w:szCs w:val="32"/>
        </w:rPr>
        <w:t>财政预算管理的“三公”经费，是指</w:t>
      </w:r>
      <w:r>
        <w:rPr>
          <w:rFonts w:hint="eastAsia" w:ascii="仿宋" w:hAnsi="仿宋" w:eastAsia="仿宋" w:cs="仿宋"/>
          <w:sz w:val="32"/>
          <w:szCs w:val="32"/>
          <w:lang w:eastAsia="zh-CN"/>
        </w:rPr>
        <w:t>区级</w:t>
      </w:r>
      <w:r>
        <w:rPr>
          <w:rFonts w:hint="eastAsia" w:ascii="仿宋" w:hAnsi="仿宋" w:eastAsia="仿宋" w:cs="仿宋"/>
          <w:sz w:val="32"/>
          <w:szCs w:val="32"/>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93D4070">
      <w:pPr>
        <w:ind w:firstLine="640" w:firstLineChars="200"/>
        <w:rPr>
          <w:rFonts w:hint="eastAsia" w:ascii="仿宋" w:hAnsi="仿宋" w:eastAsia="仿宋" w:cs="仿宋"/>
          <w:sz w:val="32"/>
          <w:szCs w:val="32"/>
        </w:rPr>
      </w:pPr>
      <w:r>
        <w:rPr>
          <w:rFonts w:hint="eastAsia" w:ascii="仿宋" w:hAnsi="仿宋" w:eastAsia="仿宋" w:cs="仿宋"/>
          <w:sz w:val="32"/>
          <w:szCs w:val="32"/>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21B788A2">
      <w:pPr>
        <w:ind w:firstLine="640" w:firstLineChars="200"/>
        <w:rPr>
          <w:rFonts w:hint="eastAsia" w:ascii="仿宋" w:hAnsi="仿宋" w:eastAsia="仿宋" w:cs="仿宋"/>
          <w:sz w:val="32"/>
          <w:szCs w:val="32"/>
        </w:rPr>
      </w:pPr>
      <w:r>
        <w:rPr>
          <w:rFonts w:hint="eastAsia" w:ascii="仿宋" w:hAnsi="仿宋" w:eastAsia="仿宋" w:cs="仿宋"/>
          <w:sz w:val="32"/>
          <w:szCs w:val="32"/>
        </w:rPr>
        <w:t>9、上年结转：指以前年度尚未完成、结转到本年仍按原规定用途继续使用的资金。</w:t>
      </w:r>
    </w:p>
    <w:p w14:paraId="5F28F223">
      <w:pPr>
        <w:ind w:firstLine="640" w:firstLineChars="200"/>
        <w:rPr>
          <w:rFonts w:hint="eastAsia" w:ascii="仿宋" w:hAnsi="仿宋" w:eastAsia="仿宋" w:cs="仿宋"/>
          <w:sz w:val="32"/>
          <w:szCs w:val="32"/>
        </w:rPr>
      </w:pPr>
      <w:r>
        <w:rPr>
          <w:rFonts w:hint="eastAsia" w:ascii="仿宋" w:hAnsi="仿宋" w:eastAsia="仿宋" w:cs="仿宋"/>
          <w:sz w:val="32"/>
          <w:szCs w:val="32"/>
        </w:rPr>
        <w:t>10、事业单位经营支出：指事业单位在专业业务活动及其辅助活动之外开展非独立核算经营活动发生的支出。</w:t>
      </w:r>
    </w:p>
    <w:p w14:paraId="1AD3CC90">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九、其他需要说明的事项</w:t>
      </w:r>
    </w:p>
    <w:p w14:paraId="19344801">
      <w:pPr>
        <w:ind w:firstLine="640" w:firstLineChars="200"/>
        <w:rPr>
          <w:rFonts w:hint="eastAsia" w:ascii="仿宋" w:hAnsi="仿宋" w:eastAsia="仿宋" w:cs="仿宋"/>
          <w:sz w:val="32"/>
          <w:szCs w:val="32"/>
        </w:rPr>
      </w:pPr>
      <w:r>
        <w:rPr>
          <w:rFonts w:hint="eastAsia" w:ascii="仿宋" w:hAnsi="仿宋" w:eastAsia="仿宋" w:cs="仿宋"/>
          <w:sz w:val="32"/>
          <w:szCs w:val="32"/>
        </w:rPr>
        <w:t>我部门无其他需要说明的事项。</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3CA02"/>
    <w:multiLevelType w:val="singleLevel"/>
    <w:tmpl w:val="9CF3CA0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032"/>
    <w:rsid w:val="00034786"/>
    <w:rsid w:val="00037AF6"/>
    <w:rsid w:val="00042F57"/>
    <w:rsid w:val="0006483E"/>
    <w:rsid w:val="00075D5F"/>
    <w:rsid w:val="0008102F"/>
    <w:rsid w:val="000B529B"/>
    <w:rsid w:val="000C3A19"/>
    <w:rsid w:val="001245BB"/>
    <w:rsid w:val="001251A3"/>
    <w:rsid w:val="00165294"/>
    <w:rsid w:val="001B4EF3"/>
    <w:rsid w:val="001F7873"/>
    <w:rsid w:val="00241FD4"/>
    <w:rsid w:val="00251B12"/>
    <w:rsid w:val="00296113"/>
    <w:rsid w:val="002A673A"/>
    <w:rsid w:val="002C07BE"/>
    <w:rsid w:val="002C5E13"/>
    <w:rsid w:val="002C62BC"/>
    <w:rsid w:val="002E0EB8"/>
    <w:rsid w:val="002F3E58"/>
    <w:rsid w:val="0030542C"/>
    <w:rsid w:val="00311B7A"/>
    <w:rsid w:val="00372FA3"/>
    <w:rsid w:val="003D417F"/>
    <w:rsid w:val="003F60E9"/>
    <w:rsid w:val="004248B8"/>
    <w:rsid w:val="00424943"/>
    <w:rsid w:val="0043175C"/>
    <w:rsid w:val="00437296"/>
    <w:rsid w:val="00451590"/>
    <w:rsid w:val="00451871"/>
    <w:rsid w:val="004631FC"/>
    <w:rsid w:val="004706DE"/>
    <w:rsid w:val="00472923"/>
    <w:rsid w:val="00496109"/>
    <w:rsid w:val="004B0C3A"/>
    <w:rsid w:val="004D5788"/>
    <w:rsid w:val="004E3066"/>
    <w:rsid w:val="004E74CD"/>
    <w:rsid w:val="00516E04"/>
    <w:rsid w:val="00565588"/>
    <w:rsid w:val="00572067"/>
    <w:rsid w:val="00573562"/>
    <w:rsid w:val="00590ECE"/>
    <w:rsid w:val="00592ADD"/>
    <w:rsid w:val="00614A29"/>
    <w:rsid w:val="00643AA7"/>
    <w:rsid w:val="00673D76"/>
    <w:rsid w:val="00674CD7"/>
    <w:rsid w:val="006854F0"/>
    <w:rsid w:val="006B1C4A"/>
    <w:rsid w:val="006B610D"/>
    <w:rsid w:val="006E49F5"/>
    <w:rsid w:val="007013C8"/>
    <w:rsid w:val="00717B1E"/>
    <w:rsid w:val="00753836"/>
    <w:rsid w:val="0075393C"/>
    <w:rsid w:val="00754592"/>
    <w:rsid w:val="00776C08"/>
    <w:rsid w:val="007C219A"/>
    <w:rsid w:val="007E1DA8"/>
    <w:rsid w:val="007F6C26"/>
    <w:rsid w:val="00813208"/>
    <w:rsid w:val="008334AE"/>
    <w:rsid w:val="00836FED"/>
    <w:rsid w:val="0083724E"/>
    <w:rsid w:val="00845CD2"/>
    <w:rsid w:val="00852B0D"/>
    <w:rsid w:val="00881692"/>
    <w:rsid w:val="00883D1A"/>
    <w:rsid w:val="008A25C2"/>
    <w:rsid w:val="008A6576"/>
    <w:rsid w:val="008B3CC5"/>
    <w:rsid w:val="008B52CD"/>
    <w:rsid w:val="008E4261"/>
    <w:rsid w:val="008F4662"/>
    <w:rsid w:val="00905D08"/>
    <w:rsid w:val="00922AEB"/>
    <w:rsid w:val="00925753"/>
    <w:rsid w:val="009425F4"/>
    <w:rsid w:val="00966C5C"/>
    <w:rsid w:val="00973104"/>
    <w:rsid w:val="00995BF0"/>
    <w:rsid w:val="009A16D5"/>
    <w:rsid w:val="009A353D"/>
    <w:rsid w:val="009B0B77"/>
    <w:rsid w:val="009B511E"/>
    <w:rsid w:val="00A44E3D"/>
    <w:rsid w:val="00A72D2E"/>
    <w:rsid w:val="00A74447"/>
    <w:rsid w:val="00A74CE5"/>
    <w:rsid w:val="00A911E7"/>
    <w:rsid w:val="00A939D9"/>
    <w:rsid w:val="00B07D9E"/>
    <w:rsid w:val="00B20712"/>
    <w:rsid w:val="00B43238"/>
    <w:rsid w:val="00B45DD3"/>
    <w:rsid w:val="00B52632"/>
    <w:rsid w:val="00B727A9"/>
    <w:rsid w:val="00B75216"/>
    <w:rsid w:val="00B91D52"/>
    <w:rsid w:val="00B9490F"/>
    <w:rsid w:val="00BA1ACD"/>
    <w:rsid w:val="00BD09F8"/>
    <w:rsid w:val="00CA7176"/>
    <w:rsid w:val="00CB3D48"/>
    <w:rsid w:val="00CB4665"/>
    <w:rsid w:val="00CC75B0"/>
    <w:rsid w:val="00CD2773"/>
    <w:rsid w:val="00CE143B"/>
    <w:rsid w:val="00D0024A"/>
    <w:rsid w:val="00D27003"/>
    <w:rsid w:val="00DB4A9B"/>
    <w:rsid w:val="00E167C7"/>
    <w:rsid w:val="00E2482E"/>
    <w:rsid w:val="00E73D47"/>
    <w:rsid w:val="00EC47F6"/>
    <w:rsid w:val="00EE156D"/>
    <w:rsid w:val="00EE65B8"/>
    <w:rsid w:val="00F149E2"/>
    <w:rsid w:val="00F66032"/>
    <w:rsid w:val="00F87C1E"/>
    <w:rsid w:val="00F958C2"/>
    <w:rsid w:val="01210AD7"/>
    <w:rsid w:val="037262D0"/>
    <w:rsid w:val="05D005B6"/>
    <w:rsid w:val="08A330C1"/>
    <w:rsid w:val="0A242DCE"/>
    <w:rsid w:val="0AFC4C76"/>
    <w:rsid w:val="0CDD48BD"/>
    <w:rsid w:val="0CFB64C5"/>
    <w:rsid w:val="0D883FD8"/>
    <w:rsid w:val="0F321949"/>
    <w:rsid w:val="0F5E41E5"/>
    <w:rsid w:val="10455723"/>
    <w:rsid w:val="12160D65"/>
    <w:rsid w:val="13513FE1"/>
    <w:rsid w:val="1381451A"/>
    <w:rsid w:val="15F3690F"/>
    <w:rsid w:val="16712F07"/>
    <w:rsid w:val="17FD0A16"/>
    <w:rsid w:val="18D44EDD"/>
    <w:rsid w:val="19545BA1"/>
    <w:rsid w:val="1B7C0301"/>
    <w:rsid w:val="1BB241CF"/>
    <w:rsid w:val="1BE165C3"/>
    <w:rsid w:val="1DAD3120"/>
    <w:rsid w:val="1DFD0A82"/>
    <w:rsid w:val="218E38AD"/>
    <w:rsid w:val="220A6758"/>
    <w:rsid w:val="26F1780C"/>
    <w:rsid w:val="28922BE8"/>
    <w:rsid w:val="29D10334"/>
    <w:rsid w:val="2A3B7081"/>
    <w:rsid w:val="2EAA57DE"/>
    <w:rsid w:val="2F29785D"/>
    <w:rsid w:val="31DD0A05"/>
    <w:rsid w:val="33326382"/>
    <w:rsid w:val="339F2B34"/>
    <w:rsid w:val="34C65BDB"/>
    <w:rsid w:val="36801CC7"/>
    <w:rsid w:val="3E207DC7"/>
    <w:rsid w:val="3E375B3B"/>
    <w:rsid w:val="3F9B220B"/>
    <w:rsid w:val="411533E9"/>
    <w:rsid w:val="42C56ABF"/>
    <w:rsid w:val="446A08D6"/>
    <w:rsid w:val="44E0637A"/>
    <w:rsid w:val="44F46BBC"/>
    <w:rsid w:val="45E3361B"/>
    <w:rsid w:val="475D67E8"/>
    <w:rsid w:val="48457128"/>
    <w:rsid w:val="49602411"/>
    <w:rsid w:val="49651392"/>
    <w:rsid w:val="49BC2866"/>
    <w:rsid w:val="4A2B739E"/>
    <w:rsid w:val="4A76466D"/>
    <w:rsid w:val="4A951198"/>
    <w:rsid w:val="4AAE5490"/>
    <w:rsid w:val="4B833311"/>
    <w:rsid w:val="4D5D3747"/>
    <w:rsid w:val="50CE4DA3"/>
    <w:rsid w:val="52042971"/>
    <w:rsid w:val="52096ADA"/>
    <w:rsid w:val="529B1910"/>
    <w:rsid w:val="53621820"/>
    <w:rsid w:val="574B39D3"/>
    <w:rsid w:val="597C3A72"/>
    <w:rsid w:val="59AA493D"/>
    <w:rsid w:val="5C4670E5"/>
    <w:rsid w:val="5C576276"/>
    <w:rsid w:val="5D7915F0"/>
    <w:rsid w:val="601043E5"/>
    <w:rsid w:val="644B4E08"/>
    <w:rsid w:val="65311F17"/>
    <w:rsid w:val="67DB01FC"/>
    <w:rsid w:val="682F2773"/>
    <w:rsid w:val="6B483445"/>
    <w:rsid w:val="6C833A12"/>
    <w:rsid w:val="6D997736"/>
    <w:rsid w:val="6DB33B09"/>
    <w:rsid w:val="706A2BB6"/>
    <w:rsid w:val="72BB6F7E"/>
    <w:rsid w:val="75177B3E"/>
    <w:rsid w:val="75AF5457"/>
    <w:rsid w:val="76806036"/>
    <w:rsid w:val="76F31CEF"/>
    <w:rsid w:val="770E324C"/>
    <w:rsid w:val="78072F3F"/>
    <w:rsid w:val="783F79AA"/>
    <w:rsid w:val="787A120F"/>
    <w:rsid w:val="79235E4F"/>
    <w:rsid w:val="79322E00"/>
    <w:rsid w:val="79673FB9"/>
    <w:rsid w:val="7B034157"/>
    <w:rsid w:val="7DF71496"/>
    <w:rsid w:val="7E5B18A7"/>
    <w:rsid w:val="7F7E9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alloon Text"/>
    <w:basedOn w:val="1"/>
    <w:link w:val="15"/>
    <w:unhideWhenUsed/>
    <w:qFormat/>
    <w:uiPriority w:val="99"/>
    <w:rPr>
      <w:sz w:val="18"/>
      <w:szCs w:val="18"/>
    </w:rPr>
  </w:style>
  <w:style w:type="paragraph" w:styleId="3">
    <w:name w:val="footer"/>
    <w:basedOn w:val="1"/>
    <w:link w:val="14"/>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13"/>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
    <w:name w:val="toc 1"/>
    <w:basedOn w:val="1"/>
    <w:next w:val="1"/>
    <w:qFormat/>
    <w:uiPriority w:val="39"/>
    <w:rPr>
      <w:rFonts w:ascii="Times New Roman" w:hAnsi="Times New Roman" w:eastAsia="宋体" w:cs="Times New Roman"/>
      <w:szCs w:val="24"/>
    </w:rPr>
  </w:style>
  <w:style w:type="paragraph" w:styleId="6">
    <w:name w:val="footnote text"/>
    <w:basedOn w:val="1"/>
    <w:link w:val="17"/>
    <w:unhideWhenUsed/>
    <w:qFormat/>
    <w:uiPriority w:val="99"/>
    <w:pPr>
      <w:snapToGrid w:val="0"/>
      <w:jc w:val="left"/>
    </w:pPr>
    <w:rPr>
      <w:rFonts w:ascii="Calibri" w:hAnsi="Calibri" w:eastAsia="宋体" w:cs="Times New Roman"/>
      <w:sz w:val="18"/>
      <w:szCs w:val="18"/>
    </w:rPr>
  </w:style>
  <w:style w:type="paragraph" w:styleId="7">
    <w:name w:val="toc 2"/>
    <w:basedOn w:val="1"/>
    <w:next w:val="1"/>
    <w:qFormat/>
    <w:uiPriority w:val="39"/>
    <w:pPr>
      <w:ind w:left="420" w:leftChars="200"/>
    </w:pPr>
    <w:rPr>
      <w:rFonts w:ascii="Times New Roman" w:hAnsi="Times New Roman" w:eastAsia="宋体" w:cs="Times New Roman"/>
      <w:szCs w:val="24"/>
    </w:rPr>
  </w:style>
  <w:style w:type="character" w:styleId="10">
    <w:name w:val="page number"/>
    <w:unhideWhenUsed/>
    <w:qFormat/>
    <w:uiPriority w:val="99"/>
  </w:style>
  <w:style w:type="character" w:styleId="11">
    <w:name w:val="Hyperlink"/>
    <w:unhideWhenUsed/>
    <w:qFormat/>
    <w:uiPriority w:val="99"/>
    <w:rPr>
      <w:color w:val="0000FF"/>
      <w:u w:val="single"/>
    </w:rPr>
  </w:style>
  <w:style w:type="character" w:styleId="12">
    <w:name w:val="footnote reference"/>
    <w:unhideWhenUsed/>
    <w:qFormat/>
    <w:uiPriority w:val="99"/>
    <w:rPr>
      <w:vertAlign w:val="superscript"/>
    </w:rPr>
  </w:style>
  <w:style w:type="character" w:customStyle="1" w:styleId="13">
    <w:name w:val="页眉 Char"/>
    <w:basedOn w:val="9"/>
    <w:link w:val="4"/>
    <w:qFormat/>
    <w:uiPriority w:val="99"/>
    <w:rPr>
      <w:rFonts w:ascii="Times New Roman" w:hAnsi="Times New Roman" w:eastAsia="宋体" w:cs="Times New Roman"/>
      <w:sz w:val="18"/>
      <w:szCs w:val="18"/>
    </w:rPr>
  </w:style>
  <w:style w:type="character" w:customStyle="1" w:styleId="14">
    <w:name w:val="页脚 Char"/>
    <w:basedOn w:val="9"/>
    <w:link w:val="3"/>
    <w:qFormat/>
    <w:uiPriority w:val="99"/>
    <w:rPr>
      <w:rFonts w:ascii="Times New Roman" w:hAnsi="Times New Roman" w:eastAsia="宋体" w:cs="Times New Roman"/>
      <w:sz w:val="18"/>
      <w:szCs w:val="18"/>
    </w:rPr>
  </w:style>
  <w:style w:type="character" w:customStyle="1" w:styleId="15">
    <w:name w:val="批注框文本 Char"/>
    <w:basedOn w:val="9"/>
    <w:link w:val="2"/>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 w:type="character" w:customStyle="1" w:styleId="17">
    <w:name w:val="脚注文本 Char"/>
    <w:basedOn w:val="9"/>
    <w:link w:val="6"/>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b:Sources xmlns:b="http://schemas.openxmlformats.org/officeDocument/2006/bibliography" StyleName="APA" xmlns:b="http://schemas.openxmlformats.org/officeDocument/2006/bibliography" SelectedStyle="\APA.XSL"/>

</file>

<file path=customXml/itemProps1.xml><?xml version="1.0" encoding="utf-8"?>
<ds:datastoreItem xmlns:ds="http://schemas.openxmlformats.org/officeDocument/2006/customXml" ds:itemID="{04425098-CEB7-4813-B90D-AE258FE7494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3066</Words>
  <Characters>17480</Characters>
  <Lines>145</Lines>
  <Paragraphs>41</Paragraphs>
  <TotalTime>12</TotalTime>
  <ScaleCrop>false</ScaleCrop>
  <LinksUpToDate>false</LinksUpToDate>
  <CharactersWithSpaces>20505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2019-01-15T08:52:00Z</dcterms:created>
  <dc:creator>guest</dc:creator>
  <cp:lastModifiedBy>uos</cp:lastModifiedBy>
  <cp:lastPrinted>2017-11-09T09:12:00Z</cp:lastPrinted>
  <dcterms:modified xsi:type="dcterms:W3CDTF">2026-10-21T20:26:46Z</dcterms:modified>
  <dc:title>河北省财政厅2019年部门预算信息公开情况说明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0B8C81A6C9CC7D9E86AFD86A83715FCA_43</vt:lpwstr>
  </property>
</Properties>
</file>