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BD212">
      <w:pPr>
        <w:widowControl w:val="0"/>
        <w:wordWrap/>
        <w:spacing w:line="560" w:lineRule="exact"/>
        <w:ind w:left="0" w:leftChars="0" w:right="0"/>
        <w:jc w:val="both"/>
        <w:textAlignment w:val="auto"/>
        <w:outlineLvl w:val="9"/>
        <w:rPr>
          <w:rFonts w:hint="eastAsia" w:ascii="宋体" w:hAnsi="宋体" w:cs="宋体"/>
          <w:b/>
          <w:bCs/>
          <w:sz w:val="44"/>
          <w:szCs w:val="44"/>
        </w:rPr>
      </w:pPr>
    </w:p>
    <w:p w14:paraId="4215D3D6">
      <w:pPr>
        <w:widowControl w:val="0"/>
        <w:wordWrap/>
        <w:spacing w:line="560" w:lineRule="exact"/>
        <w:ind w:left="0" w:leftChars="0" w:right="0"/>
        <w:jc w:val="center"/>
        <w:textAlignment w:val="auto"/>
        <w:outlineLvl w:val="9"/>
        <w:rPr>
          <w:rFonts w:hint="default" w:ascii="宋体" w:hAnsi="宋体" w:cs="宋体"/>
          <w:b/>
          <w:bCs/>
          <w:sz w:val="44"/>
          <w:szCs w:val="44"/>
          <w:lang w:val="en-US" w:eastAsia="zh-CN"/>
        </w:rPr>
      </w:pPr>
      <w:r>
        <w:rPr>
          <w:rFonts w:hint="eastAsia" w:ascii="宋体" w:hAnsi="宋体" w:cs="宋体"/>
          <w:b/>
          <w:bCs/>
          <w:sz w:val="44"/>
          <w:szCs w:val="44"/>
          <w:lang w:val="en-US" w:eastAsia="zh-CN"/>
        </w:rPr>
        <w:t>石家庄市鹿泉区城市管理综合执法大队</w:t>
      </w:r>
    </w:p>
    <w:p w14:paraId="0E6F8F3B">
      <w:pPr>
        <w:widowControl w:val="0"/>
        <w:wordWrap/>
        <w:spacing w:line="560" w:lineRule="exact"/>
        <w:ind w:left="0" w:leftChars="0" w:right="0"/>
        <w:jc w:val="center"/>
        <w:textAlignment w:val="auto"/>
        <w:outlineLvl w:val="9"/>
        <w:rPr>
          <w:rFonts w:hint="eastAsia" w:ascii="宋体" w:hAnsi="宋体" w:cs="宋体"/>
          <w:b/>
          <w:bCs/>
          <w:sz w:val="44"/>
          <w:szCs w:val="44"/>
        </w:rPr>
      </w:pPr>
      <w:r>
        <w:rPr>
          <w:rFonts w:hint="eastAsia" w:ascii="宋体" w:hAnsi="宋体" w:cs="宋体"/>
          <w:b/>
          <w:bCs/>
          <w:color w:val="auto"/>
          <w:sz w:val="44"/>
          <w:szCs w:val="44"/>
          <w:lang w:val="en-US" w:eastAsia="zh-CN"/>
        </w:rPr>
        <w:t>2025</w:t>
      </w:r>
      <w:r>
        <w:rPr>
          <w:rFonts w:hint="eastAsia" w:ascii="宋体" w:hAnsi="宋体" w:cs="宋体"/>
          <w:b/>
          <w:bCs/>
          <w:sz w:val="44"/>
          <w:szCs w:val="44"/>
          <w:lang w:val="en-US" w:eastAsia="zh-CN"/>
        </w:rPr>
        <w:t>年度整体支出绩效</w:t>
      </w:r>
      <w:r>
        <w:rPr>
          <w:rFonts w:hint="eastAsia" w:ascii="宋体" w:hAnsi="宋体" w:cs="宋体"/>
          <w:b/>
          <w:bCs/>
          <w:sz w:val="44"/>
          <w:szCs w:val="44"/>
        </w:rPr>
        <w:t>自评报告</w:t>
      </w:r>
    </w:p>
    <w:p w14:paraId="57D527CD">
      <w:pPr>
        <w:widowControl w:val="0"/>
        <w:wordWrap/>
        <w:spacing w:line="560" w:lineRule="exact"/>
        <w:ind w:left="0" w:leftChars="0" w:right="0"/>
        <w:jc w:val="both"/>
        <w:textAlignment w:val="auto"/>
        <w:outlineLvl w:val="9"/>
        <w:rPr>
          <w:rFonts w:ascii="华文楷体" w:eastAsia="华文楷体"/>
          <w:sz w:val="32"/>
          <w:szCs w:val="32"/>
        </w:rPr>
      </w:pPr>
    </w:p>
    <w:p w14:paraId="233E908C">
      <w:pPr>
        <w:widowControl w:val="0"/>
        <w:wordWrap/>
        <w:adjustRightInd w:val="0"/>
        <w:snapToGrid w:val="0"/>
        <w:spacing w:line="560" w:lineRule="exact"/>
        <w:ind w:left="0" w:leftChars="0" w:right="0" w:firstLine="640" w:firstLineChars="200"/>
        <w:jc w:val="both"/>
        <w:textAlignment w:val="auto"/>
        <w:outlineLvl w:val="9"/>
        <w:rPr>
          <w:rFonts w:ascii="仿宋" w:hAnsi="仿宋" w:eastAsia="仿宋"/>
          <w:sz w:val="32"/>
          <w:szCs w:val="32"/>
        </w:rPr>
      </w:pPr>
      <w:r>
        <w:rPr>
          <w:rFonts w:hint="eastAsia" w:ascii="仿宋" w:hAnsi="仿宋" w:eastAsia="仿宋"/>
          <w:sz w:val="32"/>
          <w:szCs w:val="32"/>
        </w:rPr>
        <w:t>贯彻落实</w:t>
      </w:r>
      <w:r>
        <w:rPr>
          <w:rFonts w:hint="eastAsia" w:ascii="仿宋" w:hAnsi="仿宋" w:eastAsia="仿宋"/>
          <w:sz w:val="32"/>
          <w:szCs w:val="32"/>
          <w:lang w:eastAsia="zh-CN"/>
        </w:rPr>
        <w:t>石家庄市鹿泉区人民政府《关于全面实施预算绩效管理的实施意见》（鹿发﹝</w:t>
      </w:r>
      <w:r>
        <w:rPr>
          <w:rFonts w:hint="eastAsia" w:ascii="仿宋" w:hAnsi="仿宋" w:eastAsia="仿宋"/>
          <w:sz w:val="32"/>
          <w:szCs w:val="32"/>
          <w:lang w:val="en-US" w:eastAsia="zh-CN"/>
        </w:rPr>
        <w:t>2019</w:t>
      </w:r>
      <w:r>
        <w:rPr>
          <w:rFonts w:hint="eastAsia" w:ascii="仿宋" w:hAnsi="仿宋" w:eastAsia="仿宋"/>
          <w:sz w:val="32"/>
          <w:szCs w:val="32"/>
          <w:lang w:eastAsia="zh-CN"/>
        </w:rPr>
        <w:t>﹞</w:t>
      </w:r>
      <w:r>
        <w:rPr>
          <w:rFonts w:hint="eastAsia" w:ascii="仿宋" w:hAnsi="仿宋" w:eastAsia="仿宋"/>
          <w:sz w:val="32"/>
          <w:szCs w:val="32"/>
          <w:lang w:val="en-US" w:eastAsia="zh-CN"/>
        </w:rPr>
        <w:t>8号</w:t>
      </w:r>
      <w:r>
        <w:rPr>
          <w:rFonts w:hint="eastAsia" w:ascii="仿宋" w:hAnsi="仿宋" w:eastAsia="仿宋"/>
          <w:sz w:val="32"/>
          <w:szCs w:val="32"/>
          <w:lang w:eastAsia="zh-CN"/>
        </w:rPr>
        <w:t>）</w:t>
      </w:r>
      <w:r>
        <w:rPr>
          <w:rFonts w:hint="eastAsia" w:ascii="仿宋" w:hAnsi="仿宋" w:eastAsia="仿宋"/>
          <w:sz w:val="32"/>
          <w:szCs w:val="32"/>
        </w:rPr>
        <w:t>文件精神，遵循“科学性、规范性、客观性和公正性”的原则，</w:t>
      </w:r>
      <w:r>
        <w:rPr>
          <w:rFonts w:hint="eastAsia" w:ascii="仿宋" w:hAnsi="仿宋" w:eastAsia="仿宋"/>
          <w:sz w:val="32"/>
          <w:szCs w:val="32"/>
          <w:lang w:val="en-US" w:eastAsia="zh-CN"/>
        </w:rPr>
        <w:t>对石家庄市鹿泉区城市管理综合行政执法大队</w:t>
      </w:r>
      <w:r>
        <w:rPr>
          <w:rFonts w:hint="eastAsia" w:ascii="仿宋" w:hAnsi="仿宋" w:eastAsia="仿宋"/>
          <w:sz w:val="32"/>
          <w:szCs w:val="32"/>
          <w:lang w:eastAsia="zh-CN"/>
        </w:rPr>
        <w:t>部门</w:t>
      </w:r>
      <w:r>
        <w:rPr>
          <w:rFonts w:hint="eastAsia" w:ascii="仿宋" w:hAnsi="仿宋" w:eastAsia="仿宋"/>
          <w:color w:val="auto"/>
          <w:sz w:val="32"/>
          <w:szCs w:val="32"/>
          <w:lang w:val="en-US" w:eastAsia="zh-CN"/>
        </w:rPr>
        <w:t>2025</w:t>
      </w:r>
      <w:r>
        <w:rPr>
          <w:rFonts w:hint="eastAsia" w:ascii="仿宋" w:hAnsi="仿宋" w:eastAsia="仿宋"/>
          <w:sz w:val="32"/>
          <w:szCs w:val="32"/>
          <w:lang w:val="en-US" w:eastAsia="zh-CN"/>
        </w:rPr>
        <w:t>年</w:t>
      </w:r>
      <w:r>
        <w:rPr>
          <w:rFonts w:hint="eastAsia" w:ascii="仿宋" w:hAnsi="仿宋" w:eastAsia="仿宋"/>
          <w:sz w:val="32"/>
          <w:szCs w:val="32"/>
          <w:lang w:eastAsia="zh-CN"/>
        </w:rPr>
        <w:t>整体支出情况</w:t>
      </w:r>
      <w:r>
        <w:rPr>
          <w:rFonts w:hint="eastAsia" w:ascii="仿宋" w:hAnsi="仿宋" w:eastAsia="仿宋"/>
          <w:sz w:val="32"/>
          <w:szCs w:val="32"/>
        </w:rPr>
        <w:t>实施了财政支出绩效自评价，形成本评价报告。</w:t>
      </w:r>
      <w:bookmarkStart w:id="0" w:name="_GoBack"/>
      <w:bookmarkEnd w:id="0"/>
    </w:p>
    <w:p w14:paraId="799C1114">
      <w:pPr>
        <w:widowControl w:val="0"/>
        <w:wordWrap/>
        <w:adjustRightInd w:val="0"/>
        <w:snapToGrid w:val="0"/>
        <w:spacing w:line="560" w:lineRule="exact"/>
        <w:ind w:left="0" w:leftChars="0" w:right="0"/>
        <w:jc w:val="both"/>
        <w:textAlignment w:val="auto"/>
        <w:outlineLvl w:val="9"/>
        <w:rPr>
          <w:rFonts w:ascii="黑体" w:hAnsi="黑体" w:eastAsia="黑体"/>
          <w:b/>
          <w:bCs/>
          <w:sz w:val="32"/>
          <w:szCs w:val="36"/>
        </w:rPr>
      </w:pPr>
      <w:r>
        <w:rPr>
          <w:rFonts w:hint="eastAsia" w:ascii="仿宋" w:hAnsi="仿宋" w:eastAsia="仿宋"/>
          <w:sz w:val="32"/>
          <w:szCs w:val="32"/>
        </w:rPr>
        <w:t xml:space="preserve">    </w:t>
      </w:r>
      <w:r>
        <w:rPr>
          <w:rFonts w:hint="eastAsia" w:ascii="黑体" w:hAnsi="黑体" w:eastAsia="黑体"/>
          <w:sz w:val="32"/>
          <w:szCs w:val="32"/>
        </w:rPr>
        <w:t>一、</w:t>
      </w:r>
      <w:r>
        <w:rPr>
          <w:rFonts w:hint="eastAsia" w:ascii="黑体" w:hAnsi="黑体" w:eastAsia="黑体"/>
          <w:sz w:val="32"/>
          <w:szCs w:val="32"/>
          <w:lang w:eastAsia="zh-CN"/>
        </w:rPr>
        <w:t>部门</w:t>
      </w:r>
      <w:r>
        <w:rPr>
          <w:rFonts w:hint="eastAsia" w:ascii="黑体" w:hAnsi="黑体" w:eastAsia="黑体"/>
          <w:sz w:val="32"/>
          <w:szCs w:val="36"/>
        </w:rPr>
        <w:t>基本情况</w:t>
      </w:r>
    </w:p>
    <w:p w14:paraId="1868374B">
      <w:pPr>
        <w:widowControl w:val="0"/>
        <w:wordWrap/>
        <w:adjustRightInd w:val="0"/>
        <w:snapToGrid w:val="0"/>
        <w:spacing w:line="560" w:lineRule="exact"/>
        <w:ind w:left="0" w:leftChars="0" w:right="0" w:firstLine="643" w:firstLineChars="200"/>
        <w:jc w:val="both"/>
        <w:textAlignment w:val="auto"/>
        <w:outlineLvl w:val="9"/>
        <w:rPr>
          <w:rFonts w:ascii="仿宋" w:hAnsi="仿宋" w:eastAsia="仿宋" w:cs="楷体_GB2312"/>
          <w:b/>
          <w:bCs/>
          <w:sz w:val="32"/>
          <w:szCs w:val="32"/>
        </w:rPr>
      </w:pPr>
      <w:r>
        <w:rPr>
          <w:rFonts w:hint="eastAsia" w:ascii="仿宋" w:hAnsi="仿宋" w:eastAsia="仿宋" w:cs="楷体_GB2312"/>
          <w:b/>
          <w:bCs/>
          <w:sz w:val="32"/>
          <w:szCs w:val="32"/>
        </w:rPr>
        <w:t>（一）</w:t>
      </w:r>
      <w:r>
        <w:rPr>
          <w:rFonts w:hint="eastAsia" w:ascii="仿宋" w:hAnsi="仿宋" w:eastAsia="仿宋" w:cs="楷体_GB2312"/>
          <w:b/>
          <w:bCs/>
          <w:sz w:val="32"/>
          <w:szCs w:val="32"/>
          <w:lang w:eastAsia="zh-CN"/>
        </w:rPr>
        <w:t>部门</w:t>
      </w:r>
      <w:r>
        <w:rPr>
          <w:rFonts w:hint="eastAsia" w:ascii="仿宋" w:hAnsi="仿宋" w:eastAsia="仿宋" w:cs="楷体_GB2312"/>
          <w:b/>
          <w:bCs/>
          <w:sz w:val="32"/>
          <w:szCs w:val="32"/>
        </w:rPr>
        <w:t>概况</w:t>
      </w:r>
    </w:p>
    <w:p w14:paraId="5345AADC">
      <w:pPr>
        <w:pStyle w:val="14"/>
        <w:jc w:val="both"/>
        <w:rPr>
          <w:rFonts w:hint="default" w:ascii="仿宋_GB2312" w:hAnsi="Calibri" w:eastAsia="仿宋_GB2312" w:cs="仿宋_GB2312"/>
          <w:kern w:val="0"/>
          <w:sz w:val="32"/>
          <w:szCs w:val="32"/>
          <w:lang w:val="en-US" w:eastAsia="zh-CN" w:bidi="ar-SA"/>
        </w:rPr>
      </w:pPr>
      <w:r>
        <w:rPr>
          <w:rFonts w:hint="eastAsia" w:ascii="仿宋_GB2312" w:hAnsi="Calibri" w:eastAsia="仿宋_GB2312" w:cs="仿宋_GB2312"/>
          <w:kern w:val="0"/>
          <w:sz w:val="32"/>
          <w:szCs w:val="32"/>
          <w:lang w:val="en-US" w:eastAsia="zh-CN" w:bidi="ar-SA"/>
        </w:rPr>
        <w:t>1、部门职能</w:t>
      </w:r>
    </w:p>
    <w:p w14:paraId="693C5A3D">
      <w:pPr>
        <w:keepNext w:val="0"/>
        <w:keepLines w:val="0"/>
        <w:widowControl/>
        <w:suppressLineNumbers w:val="0"/>
        <w:spacing w:before="0" w:beforeAutospacing="0" w:after="0" w:afterAutospacing="0" w:line="500" w:lineRule="atLeast"/>
        <w:ind w:left="0" w:right="0" w:firstLine="560"/>
        <w:jc w:val="left"/>
        <w:rPr>
          <w:rFonts w:hint="default" w:ascii="Times New Roman" w:hAnsi="Times New Roman" w:cs="Times New Roman"/>
          <w:b w:val="0"/>
          <w:i w:val="0"/>
          <w:caps w:val="0"/>
          <w:color w:val="000000"/>
          <w:spacing w:val="0"/>
          <w:sz w:val="28"/>
          <w:szCs w:val="28"/>
        </w:rPr>
      </w:pPr>
      <w:r>
        <w:rPr>
          <w:rFonts w:hint="default" w:ascii="Times New Roman" w:hAnsi="Times New Roman" w:eastAsia="宋体" w:cs="Times New Roman"/>
          <w:b w:val="0"/>
          <w:i w:val="0"/>
          <w:caps w:val="0"/>
          <w:color w:val="000000"/>
          <w:spacing w:val="0"/>
          <w:kern w:val="0"/>
          <w:sz w:val="28"/>
          <w:szCs w:val="28"/>
          <w:lang w:val="en-US" w:eastAsia="zh-CN" w:bidi="ar"/>
        </w:rPr>
        <w:t>负责辖区内住建、城管、规划、园林等相关综合行政执法工作，以及上级部门交办的其它工作。</w:t>
      </w:r>
    </w:p>
    <w:p w14:paraId="287AB022">
      <w:pPr>
        <w:keepNext w:val="0"/>
        <w:keepLines w:val="0"/>
        <w:widowControl/>
        <w:suppressLineNumbers w:val="0"/>
        <w:spacing w:before="0" w:beforeAutospacing="0" w:after="0" w:afterAutospacing="0" w:line="500" w:lineRule="atLeast"/>
        <w:ind w:left="0" w:right="0" w:firstLine="560"/>
        <w:jc w:val="left"/>
        <w:rPr>
          <w:rFonts w:hint="default" w:ascii="Times New Roman" w:hAnsi="Times New Roman" w:cs="Times New Roman"/>
          <w:b w:val="0"/>
          <w:i w:val="0"/>
          <w:caps w:val="0"/>
          <w:color w:val="000000"/>
          <w:spacing w:val="0"/>
          <w:sz w:val="28"/>
          <w:szCs w:val="28"/>
        </w:rPr>
      </w:pPr>
      <w:r>
        <w:rPr>
          <w:rFonts w:hint="default" w:ascii="Times New Roman" w:hAnsi="Times New Roman" w:eastAsia="宋体" w:cs="Times New Roman"/>
          <w:b w:val="0"/>
          <w:i w:val="0"/>
          <w:caps w:val="0"/>
          <w:color w:val="000000"/>
          <w:spacing w:val="0"/>
          <w:kern w:val="0"/>
          <w:sz w:val="28"/>
          <w:szCs w:val="28"/>
          <w:lang w:val="en-US" w:eastAsia="zh-CN" w:bidi="ar"/>
        </w:rPr>
        <w:t>负责主城区（不含开发区）管护范围内环卫保洁工作；扶着主城区（不含开发区）垃圾收集转运站等环卫设施、设备的日常维护；负责主城区（不含开发区）生活垃圾等收集、清运工作。</w:t>
      </w:r>
    </w:p>
    <w:p w14:paraId="45D3668B">
      <w:pPr>
        <w:keepNext w:val="0"/>
        <w:keepLines w:val="0"/>
        <w:widowControl/>
        <w:suppressLineNumbers w:val="0"/>
        <w:spacing w:before="0" w:beforeAutospacing="0" w:after="0" w:afterAutospacing="0" w:line="500" w:lineRule="atLeast"/>
        <w:ind w:left="0" w:right="0" w:firstLine="560"/>
        <w:jc w:val="left"/>
        <w:rPr>
          <w:rFonts w:hint="default" w:ascii="Times New Roman" w:hAnsi="Times New Roman" w:cs="Times New Roman"/>
          <w:b w:val="0"/>
          <w:i w:val="0"/>
          <w:caps w:val="0"/>
          <w:color w:val="000000"/>
          <w:spacing w:val="0"/>
          <w:sz w:val="28"/>
          <w:szCs w:val="28"/>
        </w:rPr>
      </w:pPr>
      <w:r>
        <w:rPr>
          <w:rFonts w:hint="default" w:ascii="Times New Roman" w:hAnsi="Times New Roman" w:eastAsia="宋体" w:cs="Times New Roman"/>
          <w:b w:val="0"/>
          <w:i w:val="0"/>
          <w:caps w:val="0"/>
          <w:color w:val="000000"/>
          <w:spacing w:val="0"/>
          <w:kern w:val="0"/>
          <w:sz w:val="28"/>
          <w:szCs w:val="28"/>
          <w:lang w:val="en-US" w:eastAsia="zh-CN" w:bidi="ar"/>
        </w:rPr>
        <w:t>单位负责全区生活垃圾无害化处理、生活垃圾压缩站日常运维工作；负责配合各乡镇（区）做好生活垃圾收集、清运、处理及环卫保洁工作。</w:t>
      </w:r>
    </w:p>
    <w:p w14:paraId="3787BEAE">
      <w:pPr>
        <w:keepNext w:val="0"/>
        <w:keepLines w:val="0"/>
        <w:widowControl/>
        <w:suppressLineNumbers w:val="0"/>
        <w:spacing w:before="0" w:beforeAutospacing="0" w:after="0" w:afterAutospacing="0" w:line="500" w:lineRule="atLeast"/>
        <w:ind w:left="0" w:right="0" w:firstLine="560"/>
        <w:jc w:val="left"/>
        <w:rPr>
          <w:rFonts w:hint="default" w:ascii="Times New Roman" w:hAnsi="Times New Roman" w:cs="Times New Roman"/>
          <w:b w:val="0"/>
          <w:i w:val="0"/>
          <w:caps w:val="0"/>
          <w:color w:val="000000"/>
          <w:spacing w:val="0"/>
          <w:sz w:val="28"/>
          <w:szCs w:val="28"/>
        </w:rPr>
      </w:pPr>
      <w:r>
        <w:rPr>
          <w:rFonts w:hint="default" w:ascii="Times New Roman" w:hAnsi="Times New Roman" w:eastAsia="宋体" w:cs="Times New Roman"/>
          <w:b w:val="0"/>
          <w:i w:val="0"/>
          <w:caps w:val="0"/>
          <w:color w:val="000000"/>
          <w:spacing w:val="0"/>
          <w:kern w:val="0"/>
          <w:sz w:val="28"/>
          <w:szCs w:val="28"/>
          <w:lang w:val="en-US" w:eastAsia="zh-CN" w:bidi="ar"/>
        </w:rPr>
        <w:t>负责城东综合市场的日常维护，为市场内的经营单位（户）提供优质服务。</w:t>
      </w:r>
    </w:p>
    <w:p w14:paraId="6B1AD4A1">
      <w:pPr>
        <w:spacing w:line="580" w:lineRule="exact"/>
        <w:ind w:firstLine="640" w:firstLineChars="200"/>
        <w:jc w:val="both"/>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2、组织机构及人员、资产情况</w:t>
      </w:r>
    </w:p>
    <w:p w14:paraId="726C3264">
      <w:pPr>
        <w:spacing w:line="580" w:lineRule="exact"/>
        <w:ind w:firstLine="640" w:firstLineChars="200"/>
        <w:jc w:val="both"/>
        <w:rPr>
          <w:rFonts w:hint="default" w:ascii="仿宋" w:hAnsi="仿宋" w:eastAsia="仿宋" w:cs="Times New Roman"/>
          <w:color w:val="auto"/>
          <w:sz w:val="32"/>
          <w:szCs w:val="32"/>
          <w:highlight w:val="none"/>
          <w:lang w:val="en-US" w:eastAsia="zh-CN"/>
        </w:rPr>
      </w:pPr>
      <w:r>
        <w:rPr>
          <w:rFonts w:hint="eastAsia" w:ascii="仿宋_GB2312" w:eastAsia="仿宋_GB2312" w:cs="仿宋_GB2312"/>
          <w:color w:val="auto"/>
          <w:kern w:val="0"/>
          <w:sz w:val="32"/>
          <w:szCs w:val="32"/>
          <w:highlight w:val="none"/>
          <w:lang w:val="en-US" w:eastAsia="zh-CN"/>
        </w:rPr>
        <w:t>我单位为财政补助事业单位，</w:t>
      </w:r>
      <w:r>
        <w:rPr>
          <w:rFonts w:hint="eastAsia" w:ascii="仿宋" w:hAnsi="仿宋" w:eastAsia="仿宋" w:cs="仿宋"/>
          <w:b w:val="0"/>
          <w:bCs w:val="0"/>
          <w:color w:val="auto"/>
          <w:kern w:val="2"/>
          <w:sz w:val="32"/>
          <w:szCs w:val="32"/>
          <w:highlight w:val="none"/>
        </w:rPr>
        <w:t>下</w:t>
      </w:r>
      <w:r>
        <w:rPr>
          <w:rFonts w:hint="eastAsia" w:ascii="仿宋_GB2312" w:eastAsia="仿宋_GB2312" w:cs="仿宋_GB2312"/>
          <w:color w:val="auto"/>
          <w:kern w:val="0"/>
          <w:sz w:val="32"/>
          <w:szCs w:val="32"/>
          <w:highlight w:val="none"/>
          <w:lang w:val="en-US" w:eastAsia="zh-CN"/>
        </w:rPr>
        <w:t>设</w:t>
      </w:r>
      <w:r>
        <w:rPr>
          <w:rFonts w:hint="eastAsia" w:ascii="仿宋_GB2312" w:eastAsia="仿宋_GB2312" w:cs="仿宋_GB2312"/>
          <w:color w:val="auto"/>
          <w:kern w:val="0"/>
          <w:sz w:val="32"/>
          <w:szCs w:val="32"/>
          <w:highlight w:val="none"/>
        </w:rPr>
        <w:t>石家庄市鹿泉区城镇服务管理中心</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color w:val="auto"/>
          <w:kern w:val="0"/>
          <w:sz w:val="32"/>
          <w:szCs w:val="32"/>
          <w:highlight w:val="none"/>
        </w:rPr>
        <w:t>石家庄市鹿泉区环境卫生管护中心</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color w:val="auto"/>
          <w:kern w:val="0"/>
          <w:sz w:val="32"/>
          <w:szCs w:val="32"/>
          <w:highlight w:val="none"/>
        </w:rPr>
        <w:t>石家庄市鹿泉区城乡卫生管护中心</w:t>
      </w:r>
      <w:r>
        <w:rPr>
          <w:rFonts w:hint="eastAsia" w:ascii="仿宋_GB2312" w:eastAsia="仿宋_GB2312" w:cs="仿宋_GB2312"/>
          <w:color w:val="auto"/>
          <w:kern w:val="0"/>
          <w:sz w:val="32"/>
          <w:szCs w:val="32"/>
          <w:highlight w:val="none"/>
          <w:lang w:val="en-US" w:eastAsia="zh-CN"/>
        </w:rPr>
        <w:t>3个下属单位。现有</w:t>
      </w:r>
      <w:r>
        <w:rPr>
          <w:rFonts w:hint="eastAsia" w:ascii="仿宋" w:hAnsi="仿宋" w:eastAsia="仿宋" w:cs="Times New Roman"/>
          <w:color w:val="auto"/>
          <w:sz w:val="32"/>
          <w:szCs w:val="32"/>
          <w:highlight w:val="none"/>
        </w:rPr>
        <w:t>事业</w:t>
      </w:r>
      <w:r>
        <w:rPr>
          <w:rFonts w:hint="eastAsia" w:ascii="仿宋" w:hAnsi="仿宋" w:eastAsia="仿宋" w:cs="Times New Roman"/>
          <w:color w:val="auto"/>
          <w:sz w:val="32"/>
          <w:szCs w:val="32"/>
          <w:highlight w:val="none"/>
          <w:lang w:val="en-US" w:eastAsia="zh-CN"/>
        </w:rPr>
        <w:t>在编人员132</w:t>
      </w:r>
      <w:r>
        <w:rPr>
          <w:rFonts w:hint="eastAsia" w:ascii="仿宋" w:hAnsi="仿宋" w:eastAsia="仿宋" w:cs="Times New Roman"/>
          <w:color w:val="auto"/>
          <w:sz w:val="32"/>
          <w:szCs w:val="32"/>
          <w:highlight w:val="none"/>
        </w:rPr>
        <w:t>人、</w:t>
      </w:r>
      <w:r>
        <w:rPr>
          <w:rFonts w:hint="eastAsia" w:ascii="仿宋" w:hAnsi="仿宋" w:eastAsia="仿宋" w:cs="Times New Roman"/>
          <w:color w:val="auto"/>
          <w:sz w:val="32"/>
          <w:szCs w:val="32"/>
          <w:highlight w:val="none"/>
          <w:lang w:val="en-US" w:eastAsia="zh-CN"/>
        </w:rPr>
        <w:t>离退休人员41人、劳动聘用人员323</w:t>
      </w:r>
      <w:r>
        <w:rPr>
          <w:rFonts w:hint="eastAsia" w:ascii="仿宋" w:hAnsi="仿宋" w:eastAsia="仿宋" w:cs="Times New Roman"/>
          <w:color w:val="auto"/>
          <w:sz w:val="32"/>
          <w:szCs w:val="32"/>
          <w:highlight w:val="none"/>
        </w:rPr>
        <w:t>人</w:t>
      </w:r>
      <w:r>
        <w:rPr>
          <w:rFonts w:hint="eastAsia" w:ascii="仿宋" w:hAnsi="仿宋" w:eastAsia="仿宋" w:cs="Times New Roman"/>
          <w:color w:val="auto"/>
          <w:sz w:val="32"/>
          <w:szCs w:val="32"/>
          <w:highlight w:val="none"/>
          <w:lang w:eastAsia="zh-CN"/>
        </w:rPr>
        <w:t>（</w:t>
      </w:r>
      <w:r>
        <w:rPr>
          <w:rFonts w:hint="eastAsia" w:ascii="仿宋" w:hAnsi="仿宋" w:eastAsia="仿宋" w:cs="Times New Roman"/>
          <w:color w:val="auto"/>
          <w:sz w:val="32"/>
          <w:szCs w:val="32"/>
          <w:highlight w:val="none"/>
          <w:lang w:val="en-US" w:eastAsia="zh-CN"/>
        </w:rPr>
        <w:t>其中涉军劳务派遣14人</w:t>
      </w:r>
      <w:r>
        <w:rPr>
          <w:rFonts w:hint="eastAsia" w:ascii="仿宋" w:hAnsi="仿宋" w:eastAsia="仿宋" w:cs="Times New Roman"/>
          <w:color w:val="auto"/>
          <w:sz w:val="32"/>
          <w:szCs w:val="32"/>
          <w:highlight w:val="none"/>
          <w:lang w:eastAsia="zh-CN"/>
        </w:rPr>
        <w:t>）</w:t>
      </w:r>
      <w:r>
        <w:rPr>
          <w:rFonts w:hint="eastAsia"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lang w:val="en-US" w:eastAsia="zh-CN"/>
        </w:rPr>
        <w:t>截止2025年底，我部门资产总计32018.8万元。</w:t>
      </w:r>
    </w:p>
    <w:p w14:paraId="18EEE034">
      <w:pPr>
        <w:widowControl w:val="0"/>
        <w:numPr>
          <w:ilvl w:val="0"/>
          <w:numId w:val="1"/>
        </w:numPr>
        <w:wordWrap/>
        <w:adjustRightInd w:val="0"/>
        <w:snapToGrid w:val="0"/>
        <w:spacing w:line="560" w:lineRule="exact"/>
        <w:ind w:left="0" w:leftChars="0" w:right="0" w:firstLine="643" w:firstLineChars="200"/>
        <w:jc w:val="both"/>
        <w:textAlignment w:val="auto"/>
        <w:outlineLvl w:val="9"/>
        <w:rPr>
          <w:rFonts w:ascii="仿宋_GB2312" w:hAnsi="Times New Roman" w:eastAsia="仿宋_GB2312" w:cs="Times New Roman"/>
          <w:sz w:val="32"/>
          <w:szCs w:val="32"/>
        </w:rPr>
      </w:pPr>
      <w:r>
        <w:rPr>
          <w:rFonts w:hint="eastAsia" w:ascii="仿宋" w:hAnsi="仿宋" w:eastAsia="仿宋" w:cs="楷体_GB2312"/>
          <w:b/>
          <w:bCs/>
          <w:sz w:val="32"/>
          <w:szCs w:val="32"/>
          <w:lang w:eastAsia="zh-CN"/>
        </w:rPr>
        <w:t>部门收支预决算情况</w:t>
      </w:r>
    </w:p>
    <w:p w14:paraId="48D3CF50">
      <w:pPr>
        <w:widowControl w:val="0"/>
        <w:numPr>
          <w:ilvl w:val="0"/>
          <w:numId w:val="0"/>
        </w:numPr>
        <w:wordWrap/>
        <w:adjustRightInd w:val="0"/>
        <w:snapToGrid w:val="0"/>
        <w:spacing w:line="560" w:lineRule="exact"/>
        <w:ind w:right="0" w:rightChars="0" w:firstLine="640" w:firstLineChars="200"/>
        <w:jc w:val="both"/>
        <w:textAlignment w:val="auto"/>
        <w:outlineLvl w:val="9"/>
        <w:rPr>
          <w:rFonts w:ascii="仿宋_GB2312" w:hAnsi="Times New Roman" w:eastAsia="仿宋_GB2312" w:cs="Times New Roman"/>
          <w:color w:val="auto"/>
          <w:sz w:val="32"/>
          <w:szCs w:val="32"/>
        </w:rPr>
      </w:pPr>
      <w:r>
        <w:rPr>
          <w:rFonts w:hint="eastAsia" w:ascii="仿宋_GB2312" w:hAnsi="Times New Roman" w:eastAsia="仿宋_GB2312" w:cs="仿宋_GB2312"/>
          <w:color w:val="auto"/>
          <w:sz w:val="32"/>
          <w:szCs w:val="32"/>
        </w:rPr>
        <w:t>本部门</w:t>
      </w:r>
      <w:r>
        <w:rPr>
          <w:rFonts w:ascii="仿宋_GB2312" w:hAnsi="Times New Roman" w:eastAsia="仿宋_GB2312" w:cs="仿宋_GB2312"/>
          <w:color w:val="auto"/>
          <w:sz w:val="32"/>
          <w:szCs w:val="32"/>
        </w:rPr>
        <w:t>202</w:t>
      </w:r>
      <w:r>
        <w:rPr>
          <w:rFonts w:hint="eastAsia" w:ascii="仿宋_GB2312" w:hAnsi="Times New Roman" w:eastAsia="仿宋_GB2312" w:cs="仿宋_GB2312"/>
          <w:color w:val="auto"/>
          <w:sz w:val="32"/>
          <w:szCs w:val="32"/>
          <w:lang w:val="en-US" w:eastAsia="zh-CN"/>
        </w:rPr>
        <w:t>5</w:t>
      </w:r>
      <w:r>
        <w:rPr>
          <w:rFonts w:hint="eastAsia" w:ascii="仿宋_GB2312" w:hAnsi="Times New Roman" w:eastAsia="仿宋_GB2312" w:cs="仿宋_GB2312"/>
          <w:color w:val="auto"/>
          <w:sz w:val="32"/>
          <w:szCs w:val="32"/>
        </w:rPr>
        <w:t>年度</w:t>
      </w:r>
      <w:r>
        <w:rPr>
          <w:rFonts w:hint="eastAsia" w:ascii="仿宋_GB2312" w:hAnsi="Times New Roman" w:eastAsia="仿宋_GB2312" w:cs="仿宋_GB2312"/>
          <w:color w:val="auto"/>
          <w:sz w:val="32"/>
          <w:szCs w:val="32"/>
          <w:lang w:val="en-US" w:eastAsia="zh-CN"/>
        </w:rPr>
        <w:t>决算本年</w:t>
      </w:r>
      <w:r>
        <w:rPr>
          <w:rFonts w:hint="eastAsia" w:ascii="仿宋_GB2312" w:hAnsi="Times New Roman" w:eastAsia="仿宋_GB2312" w:cs="仿宋_GB2312"/>
          <w:color w:val="auto"/>
          <w:sz w:val="32"/>
          <w:szCs w:val="32"/>
        </w:rPr>
        <w:t>收入</w:t>
      </w:r>
      <w:r>
        <w:rPr>
          <w:rFonts w:hint="eastAsia" w:ascii="仿宋" w:hAnsi="仿宋" w:eastAsia="仿宋" w:cs="仿宋"/>
          <w:b w:val="0"/>
          <w:bCs w:val="0"/>
          <w:color w:val="auto"/>
          <w:sz w:val="30"/>
          <w:szCs w:val="30"/>
          <w:highlight w:val="none"/>
          <w:lang w:val="en-US" w:eastAsia="zh-CN"/>
        </w:rPr>
        <w:t>14425.46</w:t>
      </w:r>
      <w:r>
        <w:rPr>
          <w:rFonts w:hint="eastAsia" w:ascii="仿宋_GB2312" w:hAnsi="Times New Roman" w:eastAsia="仿宋_GB2312" w:cs="仿宋_GB2312"/>
          <w:color w:val="auto"/>
          <w:sz w:val="32"/>
          <w:szCs w:val="32"/>
        </w:rPr>
        <w:t>万元</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较年初预算</w:t>
      </w:r>
      <w:r>
        <w:rPr>
          <w:rFonts w:hint="eastAsia" w:ascii="仿宋_GB2312" w:hAnsi="Times New Roman" w:eastAsia="仿宋_GB2312" w:cs="仿宋_GB2312"/>
          <w:color w:val="auto"/>
          <w:sz w:val="32"/>
          <w:szCs w:val="32"/>
          <w:lang w:eastAsia="zh-CN"/>
        </w:rPr>
        <w:t>减少</w:t>
      </w:r>
      <w:r>
        <w:rPr>
          <w:rFonts w:hint="eastAsia" w:ascii="仿宋_GB2312" w:hAnsi="Times New Roman" w:eastAsia="仿宋_GB2312" w:cs="仿宋_GB2312"/>
          <w:color w:val="auto"/>
          <w:sz w:val="32"/>
          <w:szCs w:val="32"/>
          <w:lang w:val="en-US" w:eastAsia="zh-CN"/>
        </w:rPr>
        <w:t>1799.17</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eastAsia="zh-CN"/>
        </w:rPr>
        <w:t>降低</w:t>
      </w:r>
      <w:r>
        <w:rPr>
          <w:rFonts w:hint="eastAsia" w:ascii="仿宋_GB2312" w:hAnsi="Times New Roman" w:eastAsia="仿宋_GB2312" w:cs="仿宋_GB2312"/>
          <w:color w:val="auto"/>
          <w:sz w:val="32"/>
          <w:szCs w:val="32"/>
          <w:lang w:val="en-US" w:eastAsia="zh-CN"/>
        </w:rPr>
        <w:t>11.09</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00B0F0"/>
          <w:sz w:val="32"/>
          <w:szCs w:val="32"/>
        </w:rPr>
        <w:t>；</w:t>
      </w:r>
      <w:r>
        <w:rPr>
          <w:rFonts w:hint="eastAsia" w:ascii="仿宋_GB2312" w:hAnsi="Times New Roman" w:eastAsia="仿宋_GB2312" w:cs="仿宋_GB2312"/>
          <w:color w:val="auto"/>
          <w:sz w:val="32"/>
          <w:szCs w:val="32"/>
          <w:lang w:val="en-US" w:eastAsia="zh-CN"/>
        </w:rPr>
        <w:t>决算本年</w:t>
      </w:r>
      <w:r>
        <w:rPr>
          <w:rFonts w:hint="eastAsia" w:ascii="仿宋_GB2312" w:hAnsi="Times New Roman" w:eastAsia="仿宋_GB2312" w:cs="仿宋_GB2312"/>
          <w:color w:val="auto"/>
          <w:sz w:val="32"/>
          <w:szCs w:val="32"/>
        </w:rPr>
        <w:t>支出</w:t>
      </w:r>
      <w:r>
        <w:rPr>
          <w:rFonts w:hint="eastAsia" w:ascii="仿宋_GB2312" w:hAnsi="Times New Roman" w:eastAsia="仿宋_GB2312" w:cs="仿宋_GB2312"/>
          <w:color w:val="auto"/>
          <w:sz w:val="32"/>
          <w:szCs w:val="32"/>
          <w:lang w:val="en-US" w:eastAsia="zh-CN"/>
        </w:rPr>
        <w:t>14431.39</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val="en-US" w:eastAsia="zh-CN"/>
        </w:rPr>
        <w:t>较年初预算</w:t>
      </w:r>
      <w:r>
        <w:rPr>
          <w:rFonts w:hint="eastAsia" w:ascii="仿宋_GB2312" w:hAnsi="Times New Roman" w:eastAsia="仿宋_GB2312" w:cs="仿宋_GB2312"/>
          <w:color w:val="auto"/>
          <w:sz w:val="32"/>
          <w:szCs w:val="32"/>
          <w:lang w:eastAsia="zh-CN"/>
        </w:rPr>
        <w:t>减少</w:t>
      </w:r>
      <w:r>
        <w:rPr>
          <w:rFonts w:hint="eastAsia" w:ascii="仿宋_GB2312" w:hAnsi="Times New Roman" w:eastAsia="仿宋_GB2312" w:cs="仿宋_GB2312"/>
          <w:color w:val="auto"/>
          <w:sz w:val="32"/>
          <w:szCs w:val="32"/>
          <w:lang w:val="en-US" w:eastAsia="zh-CN"/>
        </w:rPr>
        <w:t>1793.25</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eastAsia="zh-CN"/>
        </w:rPr>
        <w:t>降低</w:t>
      </w:r>
      <w:r>
        <w:rPr>
          <w:rFonts w:hint="eastAsia" w:ascii="仿宋_GB2312" w:hAnsi="Times New Roman" w:eastAsia="仿宋_GB2312" w:cs="仿宋_GB2312"/>
          <w:color w:val="auto"/>
          <w:sz w:val="32"/>
          <w:szCs w:val="32"/>
          <w:lang w:val="en-US" w:eastAsia="zh-CN"/>
        </w:rPr>
        <w:t>12.43</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。具体情况如下：</w:t>
      </w:r>
    </w:p>
    <w:p w14:paraId="1387D82A">
      <w:pPr>
        <w:numPr>
          <w:ilvl w:val="0"/>
          <w:numId w:val="0"/>
        </w:numPr>
        <w:adjustRightInd w:val="0"/>
        <w:snapToGrid w:val="0"/>
        <w:spacing w:line="580" w:lineRule="exact"/>
        <w:ind w:firstLine="640" w:firstLineChars="200"/>
        <w:jc w:val="both"/>
        <w:rPr>
          <w:rFonts w:hint="eastAsia" w:ascii="仿宋_GB2312" w:hAnsi="Times New Roman" w:eastAsia="仿宋_GB2312" w:cs="仿宋_GB2312"/>
          <w:color w:val="auto"/>
          <w:sz w:val="32"/>
          <w:szCs w:val="32"/>
        </w:rPr>
      </w:pPr>
      <w:r>
        <w:rPr>
          <w:rFonts w:hint="eastAsia" w:ascii="仿宋_GB2312" w:hAnsi="Times New Roman" w:eastAsia="仿宋_GB2312" w:cs="仿宋_GB2312"/>
          <w:color w:val="auto"/>
          <w:sz w:val="32"/>
          <w:szCs w:val="32"/>
          <w:lang w:val="en-US" w:eastAsia="zh-CN"/>
        </w:rPr>
        <w:t>1、</w:t>
      </w:r>
      <w:r>
        <w:rPr>
          <w:rFonts w:hint="eastAsia" w:ascii="仿宋_GB2312" w:hAnsi="Times New Roman" w:eastAsia="仿宋_GB2312" w:cs="仿宋_GB2312"/>
          <w:color w:val="auto"/>
          <w:sz w:val="32"/>
          <w:szCs w:val="32"/>
        </w:rPr>
        <w:t>一般公共预算财政拨款</w:t>
      </w:r>
      <w:r>
        <w:rPr>
          <w:rFonts w:hint="eastAsia" w:ascii="仿宋_GB2312" w:hAnsi="Times New Roman" w:eastAsia="仿宋_GB2312" w:cs="仿宋_GB2312"/>
          <w:color w:val="auto"/>
          <w:sz w:val="32"/>
          <w:szCs w:val="32"/>
          <w:lang w:val="en-US" w:eastAsia="zh-CN"/>
        </w:rPr>
        <w:t>决算本年</w:t>
      </w:r>
      <w:r>
        <w:rPr>
          <w:rFonts w:hint="eastAsia" w:ascii="仿宋_GB2312" w:hAnsi="Times New Roman" w:eastAsia="仿宋_GB2312" w:cs="仿宋_GB2312"/>
          <w:color w:val="auto"/>
          <w:sz w:val="32"/>
          <w:szCs w:val="32"/>
        </w:rPr>
        <w:t>收入</w:t>
      </w:r>
      <w:r>
        <w:rPr>
          <w:rFonts w:hint="eastAsia" w:ascii="仿宋_GB2312" w:hAnsi="Times New Roman" w:eastAsia="仿宋_GB2312" w:cs="仿宋_GB2312"/>
          <w:color w:val="auto"/>
          <w:sz w:val="32"/>
          <w:szCs w:val="32"/>
          <w:highlight w:val="none"/>
          <w:lang w:val="en-US" w:eastAsia="zh-CN"/>
        </w:rPr>
        <w:t>13309.99</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val="en-US" w:eastAsia="zh-CN"/>
        </w:rPr>
        <w:t>较年初预算增加4541.62</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val="en-US" w:eastAsia="zh-CN"/>
        </w:rPr>
        <w:t>增长51.8</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决算本年</w:t>
      </w:r>
      <w:r>
        <w:rPr>
          <w:rFonts w:hint="eastAsia" w:ascii="仿宋_GB2312" w:hAnsi="Times New Roman" w:eastAsia="仿宋_GB2312" w:cs="仿宋_GB2312"/>
          <w:color w:val="auto"/>
          <w:sz w:val="32"/>
          <w:szCs w:val="32"/>
        </w:rPr>
        <w:t>支出</w:t>
      </w:r>
      <w:r>
        <w:rPr>
          <w:rFonts w:hint="eastAsia" w:ascii="仿宋_GB2312" w:hAnsi="Times New Roman" w:eastAsia="仿宋_GB2312" w:cs="仿宋_GB2312"/>
          <w:color w:val="auto"/>
          <w:sz w:val="32"/>
          <w:szCs w:val="32"/>
          <w:highlight w:val="none"/>
          <w:lang w:val="en-US" w:eastAsia="zh-CN"/>
        </w:rPr>
        <w:t>13309.99</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val="en-US" w:eastAsia="zh-CN"/>
        </w:rPr>
        <w:t>较年初预算增加4541.62</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val="en-US" w:eastAsia="zh-CN"/>
        </w:rPr>
        <w:t>增长34.12</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w:t>
      </w:r>
    </w:p>
    <w:p w14:paraId="2B7CB5D5">
      <w:pPr>
        <w:numPr>
          <w:ilvl w:val="0"/>
          <w:numId w:val="0"/>
        </w:numPr>
        <w:adjustRightInd w:val="0"/>
        <w:snapToGrid w:val="0"/>
        <w:spacing w:line="580" w:lineRule="exact"/>
        <w:ind w:firstLine="640" w:firstLineChars="200"/>
        <w:jc w:val="both"/>
        <w:rPr>
          <w:rFonts w:hint="eastAsia" w:ascii="仿宋_GB2312" w:hAnsi="Times New Roman" w:eastAsia="仿宋_GB2312" w:cs="仿宋_GB2312"/>
          <w:color w:val="auto"/>
          <w:sz w:val="32"/>
          <w:szCs w:val="32"/>
        </w:rPr>
      </w:pPr>
      <w:r>
        <w:rPr>
          <w:rFonts w:hint="eastAsia" w:ascii="仿宋_GB2312" w:hAnsi="Times New Roman" w:eastAsia="仿宋_GB2312" w:cs="仿宋_GB2312"/>
          <w:color w:val="auto"/>
          <w:sz w:val="32"/>
          <w:szCs w:val="32"/>
          <w:lang w:val="en-US" w:eastAsia="zh-CN"/>
        </w:rPr>
        <w:t>2、</w:t>
      </w:r>
      <w:r>
        <w:rPr>
          <w:rFonts w:hint="eastAsia" w:ascii="仿宋_GB2312" w:hAnsi="Times New Roman" w:eastAsia="仿宋_GB2312" w:cs="仿宋_GB2312"/>
          <w:color w:val="auto"/>
          <w:sz w:val="32"/>
          <w:szCs w:val="32"/>
        </w:rPr>
        <w:t>政府性基金预算财政拨款</w:t>
      </w:r>
      <w:r>
        <w:rPr>
          <w:rFonts w:hint="eastAsia" w:ascii="仿宋_GB2312" w:hAnsi="Times New Roman" w:eastAsia="仿宋_GB2312" w:cs="仿宋_GB2312"/>
          <w:color w:val="auto"/>
          <w:sz w:val="32"/>
          <w:szCs w:val="32"/>
          <w:lang w:val="en-US" w:eastAsia="zh-CN"/>
        </w:rPr>
        <w:t>决算本年</w:t>
      </w:r>
      <w:r>
        <w:rPr>
          <w:rFonts w:hint="eastAsia" w:ascii="仿宋_GB2312" w:hAnsi="Times New Roman" w:eastAsia="仿宋_GB2312" w:cs="仿宋_GB2312"/>
          <w:color w:val="auto"/>
          <w:sz w:val="32"/>
          <w:szCs w:val="32"/>
        </w:rPr>
        <w:t>收入</w:t>
      </w:r>
      <w:r>
        <w:rPr>
          <w:rFonts w:hint="eastAsia" w:ascii="仿宋_GB2312" w:hAnsi="Times New Roman" w:eastAsia="仿宋_GB2312" w:cs="仿宋_GB2312"/>
          <w:color w:val="auto"/>
          <w:sz w:val="32"/>
          <w:szCs w:val="32"/>
          <w:highlight w:val="none"/>
          <w:lang w:val="en-US" w:eastAsia="zh-CN"/>
        </w:rPr>
        <w:t>1115.01</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val="en-US" w:eastAsia="zh-CN"/>
        </w:rPr>
        <w:t>较年初预算减少6341.26</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eastAsia="zh-CN"/>
        </w:rPr>
        <w:t>降低</w:t>
      </w:r>
      <w:r>
        <w:rPr>
          <w:rFonts w:hint="eastAsia" w:ascii="仿宋_GB2312" w:hAnsi="Times New Roman" w:eastAsia="仿宋_GB2312" w:cs="仿宋_GB2312"/>
          <w:color w:val="auto"/>
          <w:sz w:val="32"/>
          <w:szCs w:val="32"/>
          <w:lang w:val="en-US" w:eastAsia="zh-CN"/>
        </w:rPr>
        <w:t>85.05</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lang w:val="en-US" w:eastAsia="zh-CN"/>
        </w:rPr>
        <w:t>决算本年</w:t>
      </w:r>
      <w:r>
        <w:rPr>
          <w:rFonts w:hint="eastAsia" w:ascii="仿宋_GB2312" w:hAnsi="Times New Roman" w:eastAsia="仿宋_GB2312" w:cs="仿宋_GB2312"/>
          <w:color w:val="auto"/>
          <w:sz w:val="32"/>
          <w:szCs w:val="32"/>
        </w:rPr>
        <w:t>支出</w:t>
      </w:r>
      <w:r>
        <w:rPr>
          <w:rFonts w:hint="eastAsia" w:ascii="仿宋_GB2312" w:hAnsi="Times New Roman" w:eastAsia="仿宋_GB2312" w:cs="仿宋_GB2312"/>
          <w:color w:val="auto"/>
          <w:sz w:val="32"/>
          <w:szCs w:val="32"/>
          <w:highlight w:val="none"/>
          <w:lang w:val="en-US" w:eastAsia="zh-CN"/>
        </w:rPr>
        <w:t>1115.01</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val="en-US" w:eastAsia="zh-CN"/>
        </w:rPr>
        <w:t>较年初预算减少6339.26</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eastAsia="zh-CN"/>
        </w:rPr>
        <w:t>降低</w:t>
      </w:r>
      <w:r>
        <w:rPr>
          <w:rFonts w:hint="eastAsia" w:ascii="仿宋_GB2312" w:hAnsi="Times New Roman" w:eastAsia="仿宋_GB2312" w:cs="仿宋_GB2312"/>
          <w:color w:val="auto"/>
          <w:sz w:val="32"/>
          <w:szCs w:val="32"/>
          <w:lang w:val="en-US" w:eastAsia="zh-CN"/>
        </w:rPr>
        <w:t>85.02</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w:t>
      </w:r>
    </w:p>
    <w:p w14:paraId="0B05DB8E">
      <w:pPr>
        <w:numPr>
          <w:ilvl w:val="0"/>
          <w:numId w:val="0"/>
        </w:numPr>
        <w:adjustRightInd w:val="0"/>
        <w:snapToGrid w:val="0"/>
        <w:spacing w:line="580" w:lineRule="exact"/>
        <w:ind w:firstLine="640" w:firstLineChars="200"/>
        <w:jc w:val="both"/>
        <w:rPr>
          <w:rFonts w:hint="eastAsia" w:ascii="仿宋_GB2312" w:hAnsi="Times New Roman" w:eastAsia="仿宋_GB2312" w:cs="仿宋_GB2312"/>
          <w:color w:val="auto"/>
          <w:sz w:val="32"/>
          <w:szCs w:val="32"/>
          <w:lang w:val="en-US" w:eastAsia="zh-CN"/>
        </w:rPr>
      </w:pPr>
      <w:r>
        <w:rPr>
          <w:rFonts w:hint="eastAsia" w:ascii="仿宋_GB2312" w:hAnsi="Times New Roman" w:eastAsia="仿宋_GB2312" w:cs="仿宋_GB2312"/>
          <w:color w:val="auto"/>
          <w:sz w:val="32"/>
          <w:szCs w:val="32"/>
          <w:lang w:val="en-US" w:eastAsia="zh-CN"/>
        </w:rPr>
        <w:t>3、经营收入决算本年收入0.46万元，年初预算收入0万元，较年初预算增加0.46万元，全额新增；本年决算经营支出6.38万元，年初预算支出0万元，为新增支出</w:t>
      </w:r>
    </w:p>
    <w:p w14:paraId="7C00B6A1">
      <w:pPr>
        <w:numPr>
          <w:ilvl w:val="0"/>
          <w:numId w:val="0"/>
        </w:numPr>
        <w:adjustRightInd w:val="0"/>
        <w:snapToGrid w:val="0"/>
        <w:spacing w:line="580" w:lineRule="exact"/>
        <w:ind w:firstLine="640" w:firstLineChars="200"/>
        <w:jc w:val="both"/>
        <w:rPr>
          <w:rFonts w:hint="default" w:ascii="仿宋_GB2312" w:hAnsi="Times New Roman" w:eastAsia="仿宋_GB2312" w:cs="仿宋_GB2312"/>
          <w:color w:val="auto"/>
          <w:sz w:val="32"/>
          <w:szCs w:val="32"/>
          <w:lang w:val="en-US" w:eastAsia="zh-CN"/>
        </w:rPr>
      </w:pPr>
      <w:r>
        <w:rPr>
          <w:rFonts w:hint="eastAsia" w:ascii="仿宋_GB2312" w:hAnsi="Times New Roman" w:eastAsia="仿宋_GB2312" w:cs="仿宋_GB2312"/>
          <w:color w:val="auto"/>
          <w:sz w:val="32"/>
          <w:szCs w:val="32"/>
          <w:lang w:val="en-US" w:eastAsia="zh-CN"/>
        </w:rPr>
        <w:t>4、其他收入决算本年收入0万元，本年支出0万元。</w:t>
      </w:r>
    </w:p>
    <w:p w14:paraId="60B16309">
      <w:pPr>
        <w:widowControl w:val="0"/>
        <w:wordWrap/>
        <w:adjustRightInd w:val="0"/>
        <w:snapToGrid w:val="0"/>
        <w:spacing w:line="560" w:lineRule="exact"/>
        <w:ind w:left="0" w:leftChars="0" w:right="0" w:firstLine="643" w:firstLineChars="200"/>
        <w:jc w:val="both"/>
        <w:textAlignment w:val="auto"/>
        <w:outlineLvl w:val="9"/>
        <w:rPr>
          <w:rFonts w:hint="eastAsia" w:ascii="仿宋" w:hAnsi="仿宋" w:eastAsia="仿宋" w:cs="楷体_GB2312"/>
          <w:b/>
          <w:bCs/>
          <w:color w:val="auto"/>
          <w:sz w:val="32"/>
          <w:szCs w:val="32"/>
          <w:lang w:eastAsia="zh-CN"/>
        </w:rPr>
      </w:pPr>
      <w:r>
        <w:rPr>
          <w:rFonts w:hint="eastAsia" w:ascii="仿宋" w:hAnsi="仿宋" w:eastAsia="仿宋" w:cs="楷体_GB2312"/>
          <w:b/>
          <w:bCs/>
          <w:color w:val="auto"/>
          <w:sz w:val="32"/>
          <w:szCs w:val="32"/>
          <w:lang w:eastAsia="zh-CN"/>
        </w:rPr>
        <w:t>（三）部门整体支出绩效目标、指标</w:t>
      </w:r>
    </w:p>
    <w:p w14:paraId="499CE9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000000"/>
          <w:sz w:val="32"/>
          <w:szCs w:val="32"/>
          <w:lang w:val="en-US" w:eastAsia="zh-CN"/>
        </w:rPr>
      </w:pPr>
      <w:r>
        <w:rPr>
          <w:rFonts w:hint="eastAsia" w:ascii="仿宋_GB2312" w:hAnsi="仿宋_GB2312" w:eastAsia="仿宋_GB2312" w:cs="仿宋_GB2312"/>
          <w:color w:val="000000"/>
          <w:sz w:val="32"/>
          <w:szCs w:val="32"/>
          <w:lang w:val="en-US" w:eastAsia="zh-CN"/>
        </w:rPr>
        <w:t>2025年，我大队将全面学习贯彻落实党的二十届三中全会精神和习近平总书记对城市管理重要指示批示精神，把“打造人民满意城管”作为工作的出发点和落脚点，按照“135”总体工作思路，努力在提升城市管理科学化、精细化、智能化水平上打头阵、当先锋，为奋力谱写鹿泉高质量发展新篇章贡献城管力量。</w:t>
      </w:r>
    </w:p>
    <w:p w14:paraId="3CD399C3">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部门</w:t>
      </w:r>
      <w:r>
        <w:rPr>
          <w:rFonts w:hint="eastAsia" w:ascii="仿宋" w:hAnsi="仿宋" w:eastAsia="仿宋" w:cs="仿宋"/>
          <w:color w:val="auto"/>
          <w:sz w:val="32"/>
          <w:szCs w:val="32"/>
          <w:lang w:val="en-US" w:eastAsia="zh-CN"/>
        </w:rPr>
        <w:t>总目标：细化预算编制工作，认真做好预算编制；加强财务管理，严格审核制度，落实预算执行，确保资金使用的透明度和规范性；抓好“三公经费”控制管理，确保各项业务工作任务圆满完成。</w:t>
      </w:r>
    </w:p>
    <w:p w14:paraId="310BC676">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预决算公开：2025年按照上级要求，我单位在政府网站进行了预决算公开。</w:t>
      </w:r>
    </w:p>
    <w:p w14:paraId="73061C8A">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资产管理：我部门继续进一步加强资产的管理，制定完善了《资产管理内控制度》等制度，明确了具体责任人，完善了固定资产档案，严格报批、销审等手续，做好资产登记工作，单位无资产流失现象。</w:t>
      </w:r>
    </w:p>
    <w:p w14:paraId="554B365F">
      <w:pPr>
        <w:adjustRightInd w:val="0"/>
        <w:snapToGrid w:val="0"/>
        <w:spacing w:line="580" w:lineRule="exact"/>
        <w:ind w:firstLine="640" w:firstLineChars="200"/>
        <w:jc w:val="both"/>
        <w:rPr>
          <w:rFonts w:hint="eastAsia" w:ascii="仿宋_GB2312" w:hAnsi="Times New Roman" w:eastAsia="仿宋_GB2312" w:cs="仿宋_GB2312"/>
          <w:color w:val="auto"/>
          <w:sz w:val="32"/>
          <w:szCs w:val="32"/>
          <w:lang w:eastAsia="zh-CN"/>
        </w:rPr>
      </w:pPr>
      <w:r>
        <w:rPr>
          <w:rFonts w:hint="eastAsia" w:ascii="仿宋" w:hAnsi="仿宋" w:eastAsia="仿宋" w:cs="仿宋"/>
          <w:color w:val="auto"/>
          <w:sz w:val="32"/>
          <w:szCs w:val="32"/>
          <w:lang w:val="en-US" w:eastAsia="zh-CN"/>
        </w:rPr>
        <w:t>三公经费控制情况：我部门持续贯彻落实上级有关精神，严格控制“三公经费”支出，取得了良好的效果。具体情况如下：</w:t>
      </w:r>
      <w:r>
        <w:rPr>
          <w:rFonts w:hint="eastAsia" w:ascii="仿宋" w:hAnsi="仿宋" w:eastAsia="仿宋" w:cs="仿宋"/>
          <w:color w:val="auto"/>
          <w:sz w:val="32"/>
          <w:szCs w:val="32"/>
        </w:rPr>
        <w:t>本部门202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年度“三公”经费财政拨款支出预算为</w:t>
      </w:r>
      <w:r>
        <w:rPr>
          <w:rFonts w:hint="eastAsia" w:ascii="仿宋" w:hAnsi="仿宋" w:eastAsia="仿宋" w:cs="仿宋"/>
          <w:color w:val="auto"/>
          <w:sz w:val="32"/>
          <w:szCs w:val="32"/>
          <w:lang w:val="en-US" w:eastAsia="zh-CN"/>
        </w:rPr>
        <w:t>32.4</w:t>
      </w:r>
      <w:r>
        <w:rPr>
          <w:rFonts w:hint="eastAsia" w:ascii="仿宋" w:hAnsi="仿宋" w:eastAsia="仿宋" w:cs="仿宋"/>
          <w:color w:val="auto"/>
          <w:sz w:val="32"/>
          <w:szCs w:val="32"/>
        </w:rPr>
        <w:t>万元，支出决算为</w:t>
      </w:r>
      <w:r>
        <w:rPr>
          <w:rFonts w:hint="eastAsia" w:ascii="仿宋_GB2312" w:hAnsi="Times New Roman" w:eastAsia="仿宋_GB2312" w:cs="仿宋_GB2312"/>
          <w:color w:val="auto"/>
          <w:sz w:val="32"/>
          <w:szCs w:val="32"/>
          <w:lang w:val="en-US" w:eastAsia="zh-CN"/>
        </w:rPr>
        <w:t>28.02</w:t>
      </w:r>
      <w:r>
        <w:rPr>
          <w:rFonts w:hint="eastAsia" w:ascii="仿宋" w:hAnsi="仿宋" w:eastAsia="仿宋" w:cs="仿宋"/>
          <w:color w:val="auto"/>
          <w:sz w:val="32"/>
          <w:szCs w:val="32"/>
        </w:rPr>
        <w:t>万元，</w:t>
      </w:r>
      <w:r>
        <w:rPr>
          <w:rFonts w:hint="eastAsia" w:ascii="仿宋_GB2312" w:hAnsi="Times New Roman" w:eastAsia="仿宋_GB2312" w:cs="仿宋_GB2312"/>
          <w:color w:val="auto"/>
          <w:sz w:val="32"/>
          <w:szCs w:val="32"/>
        </w:rPr>
        <w:t>完成预算的</w:t>
      </w:r>
      <w:r>
        <w:rPr>
          <w:rFonts w:hint="eastAsia" w:ascii="仿宋_GB2312" w:hAnsi="Times New Roman" w:eastAsia="仿宋_GB2312" w:cs="仿宋_GB2312"/>
          <w:color w:val="auto"/>
          <w:sz w:val="32"/>
          <w:szCs w:val="32"/>
          <w:lang w:val="en-US" w:eastAsia="zh-CN"/>
        </w:rPr>
        <w:t>86.48</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较预算减少</w:t>
      </w:r>
      <w:r>
        <w:rPr>
          <w:rFonts w:hint="eastAsia" w:ascii="仿宋_GB2312" w:hAnsi="Times New Roman" w:eastAsia="仿宋_GB2312" w:cs="仿宋_GB2312"/>
          <w:color w:val="auto"/>
          <w:sz w:val="32"/>
          <w:szCs w:val="32"/>
          <w:lang w:val="en-US" w:eastAsia="zh-CN"/>
        </w:rPr>
        <w:t>4.38</w:t>
      </w:r>
      <w:r>
        <w:rPr>
          <w:rFonts w:hint="eastAsia" w:ascii="仿宋_GB2312" w:hAnsi="Times New Roman" w:eastAsia="仿宋_GB2312" w:cs="仿宋_GB2312"/>
          <w:color w:val="auto"/>
          <w:sz w:val="32"/>
          <w:szCs w:val="32"/>
        </w:rPr>
        <w:t>万元，降低</w:t>
      </w:r>
      <w:r>
        <w:rPr>
          <w:rFonts w:hint="eastAsia" w:ascii="仿宋_GB2312" w:hAnsi="Times New Roman" w:eastAsia="仿宋_GB2312" w:cs="仿宋_GB2312"/>
          <w:color w:val="auto"/>
          <w:sz w:val="32"/>
          <w:szCs w:val="32"/>
          <w:lang w:val="en-US" w:eastAsia="zh-CN"/>
        </w:rPr>
        <w:t>13.52</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，主要是</w:t>
      </w:r>
      <w:r>
        <w:rPr>
          <w:rFonts w:hint="eastAsia" w:ascii="仿宋_GB2312" w:hAnsi="Times New Roman" w:eastAsia="仿宋_GB2312" w:cs="仿宋_GB2312"/>
          <w:color w:val="auto"/>
          <w:sz w:val="32"/>
          <w:szCs w:val="32"/>
          <w:lang w:val="en-US" w:eastAsia="zh-CN"/>
        </w:rPr>
        <w:t>严格按照预算执行，厉行勤俭节约</w:t>
      </w:r>
      <w:r>
        <w:rPr>
          <w:rFonts w:hint="eastAsia" w:ascii="仿宋_GB2312" w:hAnsi="Times New Roman" w:eastAsia="仿宋_GB2312" w:cs="仿宋_GB2312"/>
          <w:color w:val="auto"/>
          <w:sz w:val="32"/>
          <w:szCs w:val="32"/>
        </w:rPr>
        <w:t>；较</w:t>
      </w:r>
      <w:r>
        <w:rPr>
          <w:rFonts w:ascii="仿宋_GB2312" w:hAnsi="Times New Roman" w:eastAsia="仿宋_GB2312" w:cs="仿宋_GB2312"/>
          <w:color w:val="auto"/>
          <w:sz w:val="32"/>
          <w:szCs w:val="32"/>
        </w:rPr>
        <w:t>202</w:t>
      </w:r>
      <w:r>
        <w:rPr>
          <w:rFonts w:hint="eastAsia" w:ascii="仿宋_GB2312" w:hAnsi="Times New Roman" w:eastAsia="仿宋_GB2312" w:cs="仿宋_GB2312"/>
          <w:color w:val="auto"/>
          <w:sz w:val="32"/>
          <w:szCs w:val="32"/>
          <w:lang w:val="en-US" w:eastAsia="zh-CN"/>
        </w:rPr>
        <w:t>4</w:t>
      </w:r>
      <w:r>
        <w:rPr>
          <w:rFonts w:hint="eastAsia" w:ascii="仿宋_GB2312" w:hAnsi="Times New Roman" w:eastAsia="仿宋_GB2312" w:cs="仿宋_GB2312"/>
          <w:color w:val="auto"/>
          <w:sz w:val="32"/>
          <w:szCs w:val="32"/>
        </w:rPr>
        <w:t>年度决算</w:t>
      </w:r>
      <w:r>
        <w:rPr>
          <w:rFonts w:hint="eastAsia" w:ascii="仿宋_GB2312" w:hAnsi="Times New Roman" w:eastAsia="仿宋_GB2312" w:cs="仿宋_GB2312"/>
          <w:color w:val="auto"/>
          <w:sz w:val="32"/>
          <w:szCs w:val="32"/>
          <w:lang w:eastAsia="zh-CN"/>
        </w:rPr>
        <w:t>减少</w:t>
      </w:r>
      <w:r>
        <w:rPr>
          <w:rFonts w:hint="eastAsia" w:ascii="仿宋_GB2312" w:hAnsi="Times New Roman" w:eastAsia="仿宋_GB2312" w:cs="仿宋_GB2312"/>
          <w:color w:val="auto"/>
          <w:sz w:val="32"/>
          <w:szCs w:val="32"/>
          <w:lang w:val="en-US" w:eastAsia="zh-CN"/>
        </w:rPr>
        <w:t>1.68</w:t>
      </w:r>
      <w:r>
        <w:rPr>
          <w:rFonts w:hint="eastAsia" w:ascii="仿宋_GB2312" w:hAnsi="Times New Roman" w:eastAsia="仿宋_GB2312" w:cs="仿宋_GB2312"/>
          <w:color w:val="auto"/>
          <w:sz w:val="32"/>
          <w:szCs w:val="32"/>
        </w:rPr>
        <w:t>万元，</w:t>
      </w:r>
      <w:r>
        <w:rPr>
          <w:rFonts w:hint="eastAsia" w:ascii="仿宋_GB2312" w:hAnsi="Times New Roman" w:eastAsia="仿宋_GB2312" w:cs="仿宋_GB2312"/>
          <w:color w:val="auto"/>
          <w:sz w:val="32"/>
          <w:szCs w:val="32"/>
          <w:lang w:eastAsia="zh-CN"/>
        </w:rPr>
        <w:t>降低</w:t>
      </w:r>
      <w:r>
        <w:rPr>
          <w:rFonts w:hint="eastAsia" w:ascii="仿宋_GB2312" w:hAnsi="Times New Roman" w:eastAsia="仿宋_GB2312" w:cs="仿宋_GB2312"/>
          <w:color w:val="auto"/>
          <w:sz w:val="32"/>
          <w:szCs w:val="32"/>
          <w:lang w:val="en-US" w:eastAsia="zh-CN"/>
        </w:rPr>
        <w:t>5.66</w:t>
      </w:r>
      <w:r>
        <w:rPr>
          <w:rFonts w:ascii="仿宋_GB2312" w:hAnsi="Times New Roman" w:eastAsia="仿宋_GB2312" w:cs="仿宋_GB2312"/>
          <w:color w:val="auto"/>
          <w:sz w:val="32"/>
          <w:szCs w:val="32"/>
        </w:rPr>
        <w:t>%</w:t>
      </w:r>
      <w:r>
        <w:rPr>
          <w:rFonts w:hint="eastAsia" w:ascii="仿宋_GB2312" w:hAnsi="Times New Roman" w:eastAsia="仿宋_GB2312" w:cs="仿宋_GB2312"/>
          <w:color w:val="auto"/>
          <w:sz w:val="32"/>
          <w:szCs w:val="32"/>
        </w:rPr>
        <w:t>，主要是</w:t>
      </w:r>
      <w:r>
        <w:rPr>
          <w:rFonts w:hint="eastAsia" w:ascii="仿宋_GB2312" w:hAnsi="Times New Roman" w:eastAsia="仿宋_GB2312" w:cs="仿宋_GB2312"/>
          <w:color w:val="auto"/>
          <w:sz w:val="32"/>
          <w:szCs w:val="32"/>
          <w:lang w:eastAsia="zh-CN"/>
        </w:rPr>
        <w:t>加强车辆管理，节能增效。</w:t>
      </w:r>
    </w:p>
    <w:p w14:paraId="23DED9B1">
      <w:pPr>
        <w:pStyle w:val="10"/>
        <w:pageBreakBefore w:val="0"/>
        <w:widowControl w:val="0"/>
        <w:kinsoku/>
        <w:wordWrap/>
        <w:overflowPunct/>
        <w:topLinePunct w:val="0"/>
        <w:autoSpaceDE/>
        <w:autoSpaceDN/>
        <w:bidi w:val="0"/>
        <w:spacing w:line="540" w:lineRule="exact"/>
        <w:ind w:left="0" w:leftChars="0" w:right="0" w:rightChars="0"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内部管理制度建设：健全完善单位财务管理制度，新制订内部控制管理制度，加强合理使用和管理；制定内部监督检查制度，强化内部制度执行的监督管理。</w:t>
      </w:r>
    </w:p>
    <w:p w14:paraId="6ECCD4DB">
      <w:pPr>
        <w:pStyle w:val="10"/>
        <w:pageBreakBefore w:val="0"/>
        <w:widowControl w:val="0"/>
        <w:kinsoku/>
        <w:wordWrap/>
        <w:overflowPunct/>
        <w:topLinePunct w:val="0"/>
        <w:autoSpaceDE/>
        <w:autoSpaceDN/>
        <w:bidi w:val="0"/>
        <w:spacing w:line="540" w:lineRule="exact"/>
        <w:ind w:right="0" w:rightChars="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项目绩效总目标完成情况：2025年我部门完成各项工作任务。</w:t>
      </w:r>
    </w:p>
    <w:p w14:paraId="70552C60">
      <w:pPr>
        <w:pStyle w:val="10"/>
        <w:pageBreakBefore w:val="0"/>
        <w:widowControl w:val="0"/>
        <w:kinsoku/>
        <w:wordWrap/>
        <w:overflowPunct/>
        <w:topLinePunct w:val="0"/>
        <w:autoSpaceDE/>
        <w:autoSpaceDN/>
        <w:bidi w:val="0"/>
        <w:spacing w:line="540" w:lineRule="exact"/>
        <w:ind w:right="0" w:rightChars="0"/>
        <w:jc w:val="both"/>
        <w:rPr>
          <w:rFonts w:hint="default"/>
          <w:color w:val="auto"/>
          <w:lang w:val="en-US" w:eastAsia="zh-CN"/>
        </w:rPr>
      </w:pPr>
      <w:r>
        <w:rPr>
          <w:rFonts w:hint="eastAsia" w:ascii="仿宋" w:hAnsi="仿宋" w:eastAsia="仿宋" w:cs="仿宋"/>
          <w:color w:val="auto"/>
          <w:sz w:val="32"/>
          <w:szCs w:val="32"/>
          <w:lang w:val="en-US" w:eastAsia="zh-CN"/>
        </w:rPr>
        <w:t>从整体情况来看，严格按照年初预算进行部门整体支出。在支出过程中，能严格遵守各项规章制度。</w:t>
      </w:r>
    </w:p>
    <w:p w14:paraId="5198C8F8">
      <w:pPr>
        <w:widowControl w:val="0"/>
        <w:wordWrap/>
        <w:adjustRightInd w:val="0"/>
        <w:snapToGrid w:val="0"/>
        <w:spacing w:line="560" w:lineRule="exact"/>
        <w:ind w:left="0" w:leftChars="0" w:right="0" w:firstLine="640" w:firstLineChars="200"/>
        <w:jc w:val="both"/>
        <w:textAlignment w:val="auto"/>
        <w:outlineLvl w:val="9"/>
        <w:rPr>
          <w:rFonts w:ascii="黑体" w:hAnsi="黑体" w:eastAsia="黑体"/>
          <w:sz w:val="32"/>
          <w:szCs w:val="32"/>
        </w:rPr>
      </w:pPr>
      <w:r>
        <w:rPr>
          <w:rFonts w:hint="eastAsia" w:ascii="黑体" w:hAnsi="黑体" w:eastAsia="黑体"/>
          <w:sz w:val="32"/>
          <w:szCs w:val="32"/>
        </w:rPr>
        <w:t>二、自评工作</w:t>
      </w:r>
      <w:r>
        <w:rPr>
          <w:rFonts w:hint="eastAsia" w:ascii="黑体" w:hAnsi="黑体" w:eastAsia="黑体"/>
          <w:sz w:val="32"/>
          <w:szCs w:val="32"/>
          <w:lang w:eastAsia="zh-CN"/>
        </w:rPr>
        <w:t>开展</w:t>
      </w:r>
      <w:r>
        <w:rPr>
          <w:rFonts w:hint="eastAsia" w:ascii="黑体" w:hAnsi="黑体" w:eastAsia="黑体"/>
          <w:sz w:val="32"/>
          <w:szCs w:val="32"/>
        </w:rPr>
        <w:t>情况</w:t>
      </w:r>
    </w:p>
    <w:p w14:paraId="1265E028">
      <w:pPr>
        <w:widowControl w:val="0"/>
        <w:wordWrap/>
        <w:spacing w:line="560" w:lineRule="exact"/>
        <w:ind w:left="0" w:leftChars="0" w:right="0"/>
        <w:jc w:val="both"/>
        <w:textAlignment w:val="auto"/>
        <w:outlineLvl w:val="9"/>
        <w:rPr>
          <w:rFonts w:ascii="仿宋" w:hAnsi="仿宋" w:eastAsia="仿宋" w:cs="楷体_GB2312"/>
          <w:sz w:val="32"/>
          <w:szCs w:val="32"/>
        </w:rPr>
      </w:pPr>
      <w:r>
        <w:rPr>
          <w:rFonts w:hint="eastAsia" w:ascii="仿宋" w:hAnsi="仿宋" w:eastAsia="仿宋"/>
          <w:sz w:val="32"/>
          <w:szCs w:val="32"/>
        </w:rPr>
        <w:t xml:space="preserve">    </w:t>
      </w:r>
      <w:r>
        <w:rPr>
          <w:rFonts w:hint="eastAsia" w:ascii="仿宋" w:hAnsi="仿宋" w:eastAsia="仿宋" w:cs="楷体_GB2312"/>
          <w:b/>
          <w:bCs/>
          <w:sz w:val="32"/>
          <w:szCs w:val="32"/>
        </w:rPr>
        <w:t>（一）自评的组织工作</w:t>
      </w:r>
    </w:p>
    <w:p w14:paraId="683976A2">
      <w:pPr>
        <w:spacing w:line="600" w:lineRule="exact"/>
        <w:ind w:firstLine="640" w:firstLineChars="200"/>
        <w:jc w:val="both"/>
        <w:rPr>
          <w:rFonts w:hint="eastAsia" w:ascii="仿宋" w:hAnsi="仿宋" w:eastAsia="仿宋" w:cs="仿宋"/>
          <w:sz w:val="32"/>
          <w:szCs w:val="32"/>
        </w:rPr>
      </w:pPr>
      <w:r>
        <w:rPr>
          <w:rFonts w:hint="eastAsia" w:ascii="仿宋" w:hAnsi="仿宋" w:eastAsia="仿宋"/>
          <w:sz w:val="32"/>
          <w:szCs w:val="32"/>
          <w:lang w:val="en-US" w:eastAsia="zh-CN"/>
        </w:rPr>
        <w:t>根据区财政局《关于开展2026年绩效自评工作的通知》相关要求，对2025年部门所有区级预算项目进行绩效自评，我部门收到通知后高度重视，对此项工作进行了安排部署，成立部门预算项目绩效评价领导小组，严格按照文件要求对标对表，通过查账目、检查系统运行情况等方式，认真对照绩效自评，对我部门2025年区级预算项目进行自查自评，形成绩效评价报告。</w:t>
      </w:r>
    </w:p>
    <w:p w14:paraId="68F92299">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本次评价通过</w:t>
      </w:r>
      <w:r>
        <w:rPr>
          <w:rFonts w:hint="eastAsia" w:ascii="仿宋" w:hAnsi="仿宋" w:eastAsia="仿宋" w:cs="仿宋"/>
          <w:sz w:val="32"/>
          <w:szCs w:val="32"/>
          <w:lang w:val="en-US" w:eastAsia="zh-CN"/>
        </w:rPr>
        <w:t>全面、</w:t>
      </w:r>
      <w:r>
        <w:rPr>
          <w:rFonts w:hint="eastAsia" w:ascii="仿宋" w:hAnsi="仿宋" w:eastAsia="仿宋" w:cs="仿宋"/>
          <w:sz w:val="32"/>
          <w:szCs w:val="32"/>
        </w:rPr>
        <w:t>客观</w:t>
      </w:r>
      <w:r>
        <w:rPr>
          <w:rFonts w:hint="eastAsia" w:ascii="仿宋" w:hAnsi="仿宋" w:eastAsia="仿宋" w:cs="仿宋"/>
          <w:sz w:val="32"/>
          <w:szCs w:val="32"/>
          <w:lang w:eastAsia="zh-CN"/>
        </w:rPr>
        <w:t>、</w:t>
      </w:r>
      <w:r>
        <w:rPr>
          <w:rFonts w:hint="eastAsia" w:ascii="仿宋" w:hAnsi="仿宋" w:eastAsia="仿宋" w:cs="仿宋"/>
          <w:sz w:val="32"/>
          <w:szCs w:val="32"/>
        </w:rPr>
        <w:t>公正地核查项目经费使用情况及预期目标实现程度，考评资金支出效率和综合效果，</w:t>
      </w:r>
      <w:r>
        <w:rPr>
          <w:rFonts w:hint="default" w:ascii="仿宋" w:hAnsi="仿宋" w:eastAsia="仿宋" w:cs="仿宋"/>
          <w:kern w:val="2"/>
          <w:sz w:val="32"/>
          <w:szCs w:val="32"/>
          <w:lang w:val="en-US" w:eastAsia="zh-CN" w:bidi="ar-SA"/>
        </w:rPr>
        <w:t>整理分析形成绩效报告</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确保评价结果的可信度和有效性</w:t>
      </w:r>
      <w:r>
        <w:rPr>
          <w:rFonts w:hint="eastAsia" w:ascii="仿宋" w:hAnsi="仿宋" w:eastAsia="仿宋" w:cs="仿宋"/>
          <w:kern w:val="2"/>
          <w:sz w:val="32"/>
          <w:szCs w:val="32"/>
          <w:lang w:val="en-US" w:eastAsia="zh-CN" w:bidi="ar-SA"/>
        </w:rPr>
        <w:t>，能够</w:t>
      </w:r>
      <w:r>
        <w:rPr>
          <w:rFonts w:hint="default" w:ascii="仿宋" w:hAnsi="仿宋" w:eastAsia="仿宋" w:cs="仿宋"/>
          <w:kern w:val="2"/>
          <w:sz w:val="32"/>
          <w:szCs w:val="32"/>
          <w:lang w:val="en-US" w:eastAsia="zh-CN" w:bidi="ar-SA"/>
        </w:rPr>
        <w:t>清晰明了地反映项目的整体绩效情况</w:t>
      </w:r>
      <w:r>
        <w:rPr>
          <w:rFonts w:hint="eastAsia" w:ascii="仿宋" w:hAnsi="仿宋" w:eastAsia="仿宋" w:cs="仿宋"/>
          <w:kern w:val="2"/>
          <w:sz w:val="32"/>
          <w:szCs w:val="32"/>
          <w:lang w:val="en-US" w:eastAsia="zh-CN" w:bidi="ar-SA"/>
        </w:rPr>
        <w:t>。同时，</w:t>
      </w:r>
      <w:r>
        <w:rPr>
          <w:rFonts w:hint="eastAsia" w:ascii="仿宋" w:hAnsi="仿宋" w:eastAsia="仿宋" w:cs="仿宋"/>
          <w:sz w:val="32"/>
          <w:szCs w:val="32"/>
        </w:rPr>
        <w:t>及时总结经验，分析存在的问题及原因，进一步推进财政资金科学化、精细化管理，不断提高财政专项资金管理水平和使用效率。</w:t>
      </w:r>
    </w:p>
    <w:p w14:paraId="701BAB11">
      <w:pPr>
        <w:widowControl w:val="0"/>
        <w:numPr>
          <w:ilvl w:val="0"/>
          <w:numId w:val="2"/>
        </w:numPr>
        <w:wordWrap/>
        <w:spacing w:line="560" w:lineRule="exact"/>
        <w:ind w:left="630" w:leftChars="0" w:right="0" w:firstLine="0" w:firstLineChars="0"/>
        <w:jc w:val="both"/>
        <w:textAlignment w:val="auto"/>
        <w:outlineLvl w:val="9"/>
        <w:rPr>
          <w:rFonts w:hint="eastAsia" w:ascii="仿宋" w:hAnsi="仿宋" w:eastAsia="仿宋" w:cs="楷体_GB2312"/>
          <w:b/>
          <w:bCs/>
          <w:sz w:val="32"/>
          <w:szCs w:val="32"/>
        </w:rPr>
      </w:pPr>
      <w:r>
        <w:rPr>
          <w:rFonts w:hint="eastAsia" w:ascii="仿宋" w:hAnsi="仿宋" w:eastAsia="仿宋" w:cs="楷体_GB2312"/>
          <w:b/>
          <w:bCs/>
          <w:sz w:val="32"/>
          <w:szCs w:val="32"/>
        </w:rPr>
        <w:t>自评的方法和过程</w:t>
      </w:r>
    </w:p>
    <w:p w14:paraId="42975C57">
      <w:pPr>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1、自评方法</w:t>
      </w:r>
    </w:p>
    <w:p w14:paraId="63A64AF1">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评价原则：1、评估的客观公正性原则。在项目评估中尊重客观规律，深入调查研究，不带主观随意性，讲求科学性。2、分析的系统性原则。从项目内部要素的内在联系，以及与外部条件的广泛联系入手，进行全面的动态的分析论证。3、评估的效益性原则。投入与产出的经济社会效益比例。4、评估方法的规范化原则。所采用的定性和定量分析方法，必须符合客观实际，体现事物的内在联系。5、评估指标的科学性。确定指标体系中权重集合的科学合理程度，评估指标具有可操作性。</w:t>
      </w:r>
    </w:p>
    <w:p w14:paraId="6356E4CA">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评价指标体系：主要从项目资金的投入、业务管理和财务管理过程、项目计划产出和项目计划效益四个方面对评价目标进行逐步分解，从定性和定量两个角度综合考量。</w:t>
      </w:r>
    </w:p>
    <w:p w14:paraId="18CDD1CF">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评价方法：绩效评价工作采用单位自评价和财政再评价相结合的方式开展。自评价采取数据收集汇总、指标分析、询问查证等方法，形成了自评价报告。</w:t>
      </w:r>
    </w:p>
    <w:p w14:paraId="44A10F18">
      <w:pPr>
        <w:spacing w:line="600" w:lineRule="exact"/>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评价工作过程</w:t>
      </w:r>
    </w:p>
    <w:p w14:paraId="11741D92">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本次绩效评价自评价工作分为三个阶段：</w:t>
      </w:r>
    </w:p>
    <w:p w14:paraId="16BD2346">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第一阶段：成立评价工作小组，制定项目绩效评价具体实施方案。</w:t>
      </w:r>
    </w:p>
    <w:p w14:paraId="102DCE69">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第二阶段：按照区财政局要求，进行自查。</w:t>
      </w:r>
    </w:p>
    <w:p w14:paraId="1019925D">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第三阶段：由评价工作小组对项目进行抽样核查，总结评价结论，最终形成自评报告。</w:t>
      </w:r>
    </w:p>
    <w:p w14:paraId="5ABB63EF">
      <w:pPr>
        <w:widowControl w:val="0"/>
        <w:wordWrap/>
        <w:spacing w:line="560" w:lineRule="exact"/>
        <w:ind w:left="0" w:leftChars="0" w:right="0"/>
        <w:jc w:val="both"/>
        <w:textAlignment w:val="auto"/>
        <w:outlineLvl w:val="9"/>
        <w:rPr>
          <w:rFonts w:hint="eastAsia" w:ascii="黑体" w:hAnsi="黑体" w:eastAsia="黑体"/>
          <w:b/>
          <w:bCs/>
          <w:sz w:val="32"/>
          <w:szCs w:val="32"/>
          <w:lang w:eastAsia="zh-CN"/>
        </w:rPr>
      </w:pPr>
      <w:r>
        <w:rPr>
          <w:rFonts w:hint="eastAsia" w:ascii="仿宋" w:hAnsi="仿宋" w:eastAsia="仿宋" w:cs="楷体_GB2312"/>
          <w:b/>
          <w:bCs/>
          <w:sz w:val="32"/>
          <w:szCs w:val="32"/>
        </w:rPr>
        <w:t xml:space="preserve">    </w:t>
      </w:r>
      <w:r>
        <w:rPr>
          <w:rFonts w:hint="eastAsia" w:ascii="仿宋" w:hAnsi="仿宋" w:eastAsia="仿宋"/>
          <w:b/>
          <w:bCs/>
          <w:sz w:val="32"/>
          <w:szCs w:val="32"/>
        </w:rPr>
        <w:t xml:space="preserve"> </w:t>
      </w:r>
      <w:r>
        <w:rPr>
          <w:rFonts w:hint="eastAsia" w:ascii="黑体" w:hAnsi="黑体" w:eastAsia="黑体"/>
          <w:sz w:val="32"/>
          <w:szCs w:val="32"/>
        </w:rPr>
        <w:t>三、</w:t>
      </w:r>
      <w:r>
        <w:rPr>
          <w:rFonts w:hint="eastAsia" w:ascii="黑体" w:hAnsi="黑体" w:eastAsia="黑体"/>
          <w:sz w:val="32"/>
          <w:szCs w:val="32"/>
          <w:lang w:eastAsia="zh-CN"/>
        </w:rPr>
        <w:t>部门整体支出</w:t>
      </w:r>
      <w:r>
        <w:rPr>
          <w:rFonts w:hint="eastAsia" w:ascii="黑体" w:hAnsi="黑体" w:eastAsia="黑体"/>
          <w:sz w:val="32"/>
          <w:szCs w:val="32"/>
        </w:rPr>
        <w:t>绩效</w:t>
      </w:r>
      <w:r>
        <w:rPr>
          <w:rFonts w:hint="eastAsia" w:ascii="黑体" w:hAnsi="黑体" w:eastAsia="黑体"/>
          <w:sz w:val="32"/>
          <w:szCs w:val="32"/>
          <w:lang w:eastAsia="zh-CN"/>
        </w:rPr>
        <w:t>目标实现情况及指标分析</w:t>
      </w:r>
    </w:p>
    <w:p w14:paraId="1250F7B1">
      <w:pPr>
        <w:widowControl w:val="0"/>
        <w:numPr>
          <w:ilvl w:val="0"/>
          <w:numId w:val="3"/>
        </w:numPr>
        <w:wordWrap/>
        <w:spacing w:line="560" w:lineRule="exact"/>
        <w:ind w:left="0" w:leftChars="0" w:right="0" w:firstLine="643" w:firstLineChars="200"/>
        <w:jc w:val="both"/>
        <w:textAlignment w:val="auto"/>
        <w:outlineLvl w:val="9"/>
        <w:rPr>
          <w:rFonts w:ascii="仿宋" w:hAnsi="仿宋" w:eastAsia="仿宋" w:cs="楷体_GB2312"/>
          <w:b/>
          <w:bCs/>
          <w:sz w:val="32"/>
          <w:szCs w:val="32"/>
        </w:rPr>
      </w:pPr>
      <w:r>
        <w:rPr>
          <w:rFonts w:hint="eastAsia" w:ascii="仿宋" w:hAnsi="仿宋" w:eastAsia="仿宋" w:cs="楷体_GB2312"/>
          <w:b/>
          <w:bCs/>
          <w:sz w:val="32"/>
          <w:szCs w:val="32"/>
          <w:lang w:eastAsia="zh-CN"/>
        </w:rPr>
        <w:t>总体绩效目标实现情况</w:t>
      </w:r>
    </w:p>
    <w:p w14:paraId="23CBFD2A">
      <w:pPr>
        <w:pStyle w:val="17"/>
        <w:jc w:val="both"/>
        <w:rPr>
          <w:rFonts w:hint="default" w:eastAsia="方正仿宋_GBK"/>
          <w:color w:val="auto"/>
          <w:lang w:val="en-US" w:eastAsia="zh-CN"/>
        </w:rPr>
      </w:pPr>
      <w:r>
        <w:rPr>
          <w:rFonts w:hint="eastAsia" w:ascii="仿宋" w:hAnsi="仿宋" w:eastAsia="仿宋" w:cs="仿宋"/>
          <w:kern w:val="2"/>
          <w:sz w:val="32"/>
          <w:szCs w:val="32"/>
          <w:lang w:val="en-US" w:eastAsia="zh-CN" w:bidi="ar-SA"/>
        </w:rPr>
        <w:t>2025年我单位实施项目86项，预算总金额14218.81万元，预算总支出10411.68万元，预算执行率为73.22%。</w:t>
      </w:r>
      <w:r>
        <w:rPr>
          <w:rFonts w:hint="default" w:ascii="仿宋" w:hAnsi="仿宋" w:eastAsia="仿宋" w:cs="仿宋"/>
          <w:kern w:val="2"/>
          <w:sz w:val="32"/>
          <w:szCs w:val="32"/>
          <w:lang w:val="en-US" w:eastAsia="zh-CN" w:bidi="ar-SA"/>
        </w:rPr>
        <w:t>在</w:t>
      </w:r>
      <w:r>
        <w:rPr>
          <w:rFonts w:hint="eastAsia" w:ascii="仿宋_GB2312" w:hAnsi="仿宋_GB2312" w:eastAsia="仿宋_GB2312" w:cs="仿宋_GB2312"/>
          <w:kern w:val="2"/>
          <w:sz w:val="32"/>
          <w:szCs w:val="32"/>
          <w:lang w:val="en-US" w:eastAsia="zh-CN" w:bidi="ar-SA"/>
        </w:rPr>
        <w:t>市容整治、环境提升、城管执法、垃圾分类、</w:t>
      </w:r>
      <w:r>
        <w:rPr>
          <w:rFonts w:hint="eastAsia" w:ascii="仿宋_GB2312" w:hAnsi="仿宋_GB2312" w:eastAsia="仿宋_GB2312" w:cs="仿宋_GB2312"/>
          <w:b w:val="0"/>
          <w:bCs w:val="0"/>
          <w:color w:val="auto"/>
          <w:sz w:val="32"/>
          <w:szCs w:val="32"/>
          <w:lang w:val="en-US" w:eastAsia="zh-CN"/>
        </w:rPr>
        <w:t>农村生活垃圾治理</w:t>
      </w:r>
      <w:r>
        <w:rPr>
          <w:rFonts w:hint="default" w:ascii="仿宋" w:hAnsi="仿宋" w:eastAsia="仿宋" w:cs="仿宋"/>
          <w:kern w:val="2"/>
          <w:sz w:val="32"/>
          <w:szCs w:val="32"/>
          <w:lang w:val="en-US" w:eastAsia="zh-CN" w:bidi="ar-SA"/>
        </w:rPr>
        <w:t>等方面加强精细化管理，通过提升城区品质、实施城市精细化管理，为广大群众提供一个环境美丽、洁净舒适的城市生活环境，实现城市容貌治理效能和文明城市建设常态化的双提升。</w:t>
      </w:r>
    </w:p>
    <w:p w14:paraId="3E752BE8">
      <w:pPr>
        <w:widowControl w:val="0"/>
        <w:wordWrap/>
        <w:spacing w:line="560" w:lineRule="exact"/>
        <w:ind w:left="0" w:leftChars="0" w:right="0"/>
        <w:jc w:val="both"/>
        <w:textAlignment w:val="auto"/>
        <w:outlineLvl w:val="9"/>
        <w:rPr>
          <w:rFonts w:hint="eastAsia" w:ascii="仿宋" w:hAnsi="仿宋" w:eastAsia="仿宋"/>
          <w:b/>
          <w:bCs/>
          <w:sz w:val="32"/>
          <w:szCs w:val="32"/>
          <w:lang w:eastAsia="zh-CN"/>
        </w:rPr>
      </w:pPr>
      <w:r>
        <w:rPr>
          <w:rFonts w:hint="eastAsia" w:ascii="仿宋" w:hAnsi="仿宋" w:eastAsia="仿宋"/>
          <w:b/>
          <w:bCs/>
          <w:sz w:val="32"/>
          <w:szCs w:val="32"/>
        </w:rPr>
        <w:t xml:space="preserve">   </w:t>
      </w:r>
      <w:r>
        <w:rPr>
          <w:rFonts w:hint="eastAsia" w:ascii="仿宋" w:hAnsi="仿宋" w:eastAsia="仿宋" w:cs="楷体_GB2312"/>
          <w:b/>
          <w:bCs/>
          <w:sz w:val="32"/>
          <w:szCs w:val="32"/>
        </w:rPr>
        <w:t xml:space="preserve"> （二）</w:t>
      </w:r>
      <w:r>
        <w:rPr>
          <w:rFonts w:hint="eastAsia" w:ascii="仿宋" w:hAnsi="仿宋" w:eastAsia="仿宋" w:cs="楷体_GB2312"/>
          <w:b/>
          <w:bCs/>
          <w:sz w:val="32"/>
          <w:szCs w:val="32"/>
          <w:lang w:eastAsia="zh-CN"/>
        </w:rPr>
        <w:t>分项绩效目标实现情况及指标分析</w:t>
      </w:r>
    </w:p>
    <w:p w14:paraId="123F6FC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right="0" w:firstLine="320" w:firstLineChars="1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聚焦“市容环卫提质、队伍建设提能、民生服务提标”三大目标，不断优化管理和服务质效，推进城市管理水平得到全面提升。</w:t>
      </w:r>
    </w:p>
    <w:p w14:paraId="68EA73CF">
      <w:pPr>
        <w:widowControl w:val="0"/>
        <w:wordWrap/>
        <w:spacing w:line="560" w:lineRule="exact"/>
        <w:ind w:left="0" w:leftChars="0" w:right="0" w:firstLine="640" w:firstLineChars="200"/>
        <w:jc w:val="both"/>
        <w:textAlignment w:val="auto"/>
        <w:outlineLvl w:val="9"/>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绩效目标：经费保障及时到位，保证人员开支，</w:t>
      </w:r>
      <w:r>
        <w:rPr>
          <w:rFonts w:hint="default" w:ascii="仿宋" w:hAnsi="仿宋" w:eastAsia="仿宋" w:cs="仿宋"/>
          <w:b w:val="0"/>
          <w:bCs w:val="0"/>
          <w:color w:val="auto"/>
          <w:sz w:val="32"/>
          <w:szCs w:val="32"/>
          <w:lang w:val="en-US" w:eastAsia="zh-CN"/>
        </w:rPr>
        <w:t>保障日常工作正常运转，及时</w:t>
      </w:r>
      <w:r>
        <w:rPr>
          <w:rFonts w:hint="eastAsia" w:ascii="仿宋" w:hAnsi="仿宋" w:eastAsia="仿宋" w:cs="仿宋"/>
          <w:b w:val="0"/>
          <w:bCs w:val="0"/>
          <w:color w:val="auto"/>
          <w:sz w:val="32"/>
          <w:szCs w:val="32"/>
          <w:lang w:val="en-US" w:eastAsia="zh-CN"/>
        </w:rPr>
        <w:t>高</w:t>
      </w:r>
      <w:r>
        <w:rPr>
          <w:rFonts w:hint="default" w:ascii="仿宋" w:hAnsi="仿宋" w:eastAsia="仿宋" w:cs="仿宋"/>
          <w:b w:val="0"/>
          <w:bCs w:val="0"/>
          <w:color w:val="auto"/>
          <w:sz w:val="32"/>
          <w:szCs w:val="32"/>
          <w:lang w:val="en-US" w:eastAsia="zh-CN"/>
        </w:rPr>
        <w:t>效治理相关违法行为，提升城乡环境容貌水平</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提高群众满意度</w:t>
      </w:r>
      <w:r>
        <w:rPr>
          <w:rFonts w:hint="eastAsia" w:ascii="仿宋" w:hAnsi="仿宋" w:eastAsia="仿宋" w:cs="仿宋"/>
          <w:b w:val="0"/>
          <w:bCs w:val="0"/>
          <w:color w:val="auto"/>
          <w:sz w:val="32"/>
          <w:szCs w:val="32"/>
          <w:lang w:val="en-US" w:eastAsia="zh-CN"/>
        </w:rPr>
        <w:t>。对城市基础设施进行精细化管理，保障城市基础设施的正常运行和维修保养，提高城市基础设施的完好率和安全性，保</w:t>
      </w:r>
      <w:r>
        <w:rPr>
          <w:rFonts w:hint="default" w:ascii="仿宋" w:hAnsi="仿宋" w:eastAsia="仿宋" w:cs="仿宋"/>
          <w:b w:val="0"/>
          <w:bCs w:val="0"/>
          <w:color w:val="auto"/>
          <w:sz w:val="32"/>
          <w:szCs w:val="32"/>
          <w:lang w:val="en-US" w:eastAsia="zh-CN"/>
        </w:rPr>
        <w:t>障城管项目基础设施、软硬件正常运转</w:t>
      </w:r>
      <w:r>
        <w:rPr>
          <w:rFonts w:hint="eastAsia" w:ascii="仿宋" w:hAnsi="仿宋" w:eastAsia="仿宋" w:cs="仿宋"/>
          <w:b w:val="0"/>
          <w:bCs w:val="0"/>
          <w:color w:val="auto"/>
          <w:sz w:val="32"/>
          <w:szCs w:val="32"/>
          <w:lang w:val="en-US" w:eastAsia="zh-CN"/>
        </w:rPr>
        <w:t>，打造宜居生活环境，维护社会长久发展</w:t>
      </w:r>
      <w:r>
        <w:rPr>
          <w:rFonts w:hint="default" w:ascii="仿宋" w:hAnsi="仿宋" w:eastAsia="仿宋" w:cs="仿宋"/>
          <w:b w:val="0"/>
          <w:bCs w:val="0"/>
          <w:color w:val="auto"/>
          <w:sz w:val="32"/>
          <w:szCs w:val="32"/>
          <w:lang w:val="en-US" w:eastAsia="zh-CN"/>
        </w:rPr>
        <w:t>。</w:t>
      </w:r>
    </w:p>
    <w:p w14:paraId="07B0672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leftChars="0" w:right="0" w:rightChars="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 w:hAnsi="仿宋" w:eastAsia="仿宋" w:cs="仿宋"/>
          <w:b w:val="0"/>
          <w:bCs w:val="0"/>
          <w:color w:val="auto"/>
          <w:sz w:val="32"/>
          <w:szCs w:val="32"/>
          <w:lang w:val="en-US" w:eastAsia="zh-CN"/>
        </w:rPr>
        <w:t>绩效指标：</w:t>
      </w:r>
      <w:r>
        <w:rPr>
          <w:rFonts w:hint="eastAsia" w:ascii="仿宋_GB2312" w:hAnsi="仿宋_GB2312" w:eastAsia="仿宋_GB2312" w:cs="仿宋_GB2312"/>
          <w:b w:val="0"/>
          <w:bCs w:val="0"/>
          <w:color w:val="auto"/>
          <w:kern w:val="2"/>
          <w:sz w:val="32"/>
          <w:szCs w:val="32"/>
          <w:lang w:val="en-US" w:eastAsia="zh-CN" w:bidi="ar-SA"/>
        </w:rPr>
        <w:t>通过开展现场执法指引、集中培训和网络学习等多类型法治培训，切实提升执法人员法律素养、业务能力和执法水平。全年共开展执法培训14次，培训执法人员260余人次。</w:t>
      </w:r>
      <w:r>
        <w:rPr>
          <w:rFonts w:hint="eastAsia" w:ascii="仿宋_GB2312" w:hAnsi="仿宋_GB2312" w:eastAsia="仿宋_GB2312" w:cs="仿宋_GB2312"/>
          <w:color w:val="auto"/>
          <w:kern w:val="2"/>
          <w:sz w:val="32"/>
          <w:szCs w:val="32"/>
          <w:lang w:val="en-US" w:eastAsia="zh-CN" w:bidi="ar-SA"/>
        </w:rPr>
        <w:t>深化“强转树”专项行动，组织40名执法队员开展为期5天集中军训，通过战训结合不断提高城管执法队伍战斗力。</w:t>
      </w:r>
      <w:r>
        <w:rPr>
          <w:rFonts w:hint="eastAsia" w:ascii="仿宋_GB2312" w:hAnsi="仿宋_GB2312" w:eastAsia="仿宋_GB2312" w:cs="仿宋_GB2312"/>
          <w:b w:val="0"/>
          <w:bCs w:val="0"/>
          <w:color w:val="auto"/>
          <w:kern w:val="2"/>
          <w:sz w:val="32"/>
          <w:szCs w:val="32"/>
          <w:lang w:val="en-US" w:eastAsia="zh-CN" w:bidi="ar-SA"/>
        </w:rPr>
        <w:t>持续推进重点领域执法。严格落实行政执法“三项制度”，聚焦违规渣土车运输、</w:t>
      </w:r>
      <w:r>
        <w:rPr>
          <w:rFonts w:hint="eastAsia" w:ascii="仿宋_GB2312" w:hAnsi="仿宋_GB2312" w:eastAsia="仿宋_GB2312" w:cs="仿宋_GB2312"/>
          <w:color w:val="auto"/>
          <w:kern w:val="2"/>
          <w:sz w:val="32"/>
          <w:szCs w:val="32"/>
          <w:lang w:val="en-US" w:eastAsia="zh-CN" w:bidi="ar-SA"/>
        </w:rPr>
        <w:t>住建领域处罚、规划领域处罚、市容环卫处罚，</w:t>
      </w:r>
      <w:r>
        <w:rPr>
          <w:rFonts w:hint="eastAsia" w:ascii="仿宋_GB2312" w:hAnsi="仿宋_GB2312" w:eastAsia="仿宋_GB2312" w:cs="仿宋_GB2312"/>
          <w:b w:val="0"/>
          <w:bCs w:val="0"/>
          <w:color w:val="auto"/>
          <w:kern w:val="2"/>
          <w:sz w:val="32"/>
          <w:szCs w:val="32"/>
          <w:lang w:val="en-US" w:eastAsia="zh-CN" w:bidi="ar-SA"/>
        </w:rPr>
        <w:t>重拳出击。市容管理中</w:t>
      </w:r>
      <w:r>
        <w:rPr>
          <w:rFonts w:hint="eastAsia" w:ascii="仿宋_GB2312" w:hAnsi="仿宋_GB2312" w:eastAsia="仿宋_GB2312" w:cs="仿宋_GB2312"/>
          <w:color w:val="auto"/>
          <w:kern w:val="2"/>
          <w:sz w:val="32"/>
          <w:szCs w:val="32"/>
          <w:highlight w:val="none"/>
          <w:lang w:val="en-US" w:eastAsia="zh-CN" w:bidi="ar-SA"/>
        </w:rPr>
        <w:t>采取定人定岗，错时管理，无缝隙监管、车辆与徒步巡查执勤等方式，</w:t>
      </w:r>
      <w:r>
        <w:rPr>
          <w:rFonts w:hint="eastAsia" w:ascii="仿宋_GB2312" w:hAnsi="仿宋_GB2312" w:eastAsia="仿宋_GB2312" w:cs="仿宋_GB2312"/>
          <w:color w:val="auto"/>
          <w:sz w:val="32"/>
          <w:szCs w:val="40"/>
          <w:lang w:val="en-US" w:eastAsia="zh-CN"/>
        </w:rPr>
        <w:t>对沿街外摆、流动摊点等进行全时段管控，并</w:t>
      </w:r>
      <w:r>
        <w:rPr>
          <w:rFonts w:hint="eastAsia" w:ascii="仿宋_GB2312" w:hAnsi="仿宋_GB2312" w:eastAsia="仿宋_GB2312" w:cs="仿宋_GB2312"/>
          <w:color w:val="auto"/>
          <w:kern w:val="2"/>
          <w:sz w:val="32"/>
          <w:szCs w:val="32"/>
          <w:lang w:val="en-US" w:eastAsia="zh-CN" w:bidi="ar-SA"/>
        </w:rPr>
        <w:t>针对季节性特点和重要时间节点，开展占道经营、非机动车秩序摆放等专项整治行动</w:t>
      </w:r>
      <w:r>
        <w:rPr>
          <w:rFonts w:hint="eastAsia" w:ascii="仿宋_GB2312" w:hAnsi="仿宋_GB2312" w:eastAsia="仿宋_GB2312" w:cs="仿宋_GB2312"/>
          <w:color w:val="auto"/>
          <w:kern w:val="2"/>
          <w:sz w:val="32"/>
          <w:szCs w:val="32"/>
          <w:highlight w:val="none"/>
          <w:lang w:val="en-US" w:eastAsia="zh-CN" w:bidi="ar-SA"/>
        </w:rPr>
        <w:t>。全年</w:t>
      </w:r>
      <w:r>
        <w:rPr>
          <w:rFonts w:hint="eastAsia" w:ascii="仿宋_GB2312" w:hAnsi="仿宋_GB2312" w:eastAsia="仿宋_GB2312" w:cs="仿宋_GB2312"/>
          <w:color w:val="auto"/>
          <w:sz w:val="32"/>
          <w:szCs w:val="40"/>
          <w:lang w:val="en-US" w:eastAsia="zh-CN"/>
        </w:rPr>
        <w:t>累计劝导占道经营行为3621余次，拆除违规户外广告15块。2025年3月开展了</w:t>
      </w:r>
      <w:r>
        <w:rPr>
          <w:rFonts w:hint="eastAsia" w:ascii="仿宋_GB2312" w:hAnsi="仿宋_GB2312" w:eastAsia="仿宋_GB2312" w:cs="仿宋_GB2312"/>
          <w:color w:val="auto"/>
          <w:kern w:val="2"/>
          <w:sz w:val="32"/>
          <w:szCs w:val="32"/>
          <w:lang w:val="en-US" w:eastAsia="zh-CN" w:bidi="ar-SA"/>
        </w:rPr>
        <w:t>非机动车秩序摆放专项整治工作，通过构建协同治理体系、创新宣传引导模式、实施精准靶向治理，</w:t>
      </w:r>
      <w:r>
        <w:rPr>
          <w:rFonts w:hint="eastAsia" w:ascii="宋体" w:hAnsi="宋体" w:eastAsia="仿宋_GB2312" w:cs="仿宋_GB2312"/>
          <w:color w:val="auto"/>
          <w:sz w:val="32"/>
          <w:szCs w:val="32"/>
          <w:lang w:val="en-US" w:eastAsia="zh-CN"/>
        </w:rPr>
        <w:t>大力开展“清街行动”，整治重点区域160处，规范停放非机动车6127辆、共享单车1927辆，暂扣违规车辆130辆。坚持疏堵结合，在镇宁路、市政广场等区域新增非机动车位300米，协调共享单车企业优化电子围栏108处。</w:t>
      </w:r>
      <w:r>
        <w:rPr>
          <w:rFonts w:hint="eastAsia" w:ascii="宋体" w:hAnsi="宋体" w:eastAsia="仿宋_GB2312" w:cs="仿宋_GB2312"/>
          <w:b w:val="0"/>
          <w:bCs w:val="0"/>
          <w:color w:val="auto"/>
          <w:sz w:val="32"/>
          <w:szCs w:val="32"/>
          <w:lang w:val="en-US" w:eastAsia="zh-CN"/>
        </w:rPr>
        <w:t>通过集中整治，</w:t>
      </w:r>
      <w:r>
        <w:rPr>
          <w:rFonts w:hint="eastAsia" w:ascii="仿宋_GB2312" w:hAnsi="仿宋_GB2312" w:eastAsia="仿宋_GB2312" w:cs="仿宋_GB2312"/>
          <w:b w:val="0"/>
          <w:bCs w:val="0"/>
          <w:color w:val="auto"/>
          <w:sz w:val="32"/>
          <w:szCs w:val="32"/>
          <w:lang w:val="en-US" w:eastAsia="zh-CN"/>
        </w:rPr>
        <w:t>城市交通秩序明显改善，市容环境品质显著提升。</w:t>
      </w:r>
    </w:p>
    <w:p w14:paraId="456029A6">
      <w:pPr>
        <w:keepNext w:val="0"/>
        <w:keepLines w:val="0"/>
        <w:pageBreakBefore w:val="0"/>
        <w:widowControl/>
        <w:kinsoku/>
        <w:wordWrap/>
        <w:overflowPunct w:val="0"/>
        <w:topLinePunct w:val="0"/>
        <w:autoSpaceDE/>
        <w:autoSpaceDN/>
        <w:bidi w:val="0"/>
        <w:adjustRightInd w:val="0"/>
        <w:snapToGrid w:val="0"/>
        <w:spacing w:after="0"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color w:val="auto"/>
          <w:sz w:val="32"/>
          <w:szCs w:val="32"/>
          <w:lang w:val="en-US" w:eastAsia="zh-CN"/>
        </w:rPr>
        <w:t>城市</w:t>
      </w:r>
      <w:r>
        <w:rPr>
          <w:rFonts w:hint="eastAsia" w:ascii="仿宋" w:hAnsi="仿宋" w:eastAsia="仿宋" w:cs="仿宋"/>
          <w:color w:val="auto"/>
          <w:sz w:val="32"/>
          <w:szCs w:val="32"/>
        </w:rPr>
        <w:t>基础设施建设不断加快</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为了</w:t>
      </w:r>
      <w:r>
        <w:rPr>
          <w:rFonts w:hint="eastAsia" w:ascii="仿宋" w:hAnsi="仿宋" w:eastAsia="仿宋" w:cs="仿宋"/>
          <w:b w:val="0"/>
          <w:bCs w:val="0"/>
          <w:color w:val="auto"/>
          <w:sz w:val="32"/>
          <w:szCs w:val="32"/>
          <w:lang w:val="en-US" w:eastAsia="zh-CN"/>
        </w:rPr>
        <w:t>提升</w:t>
      </w:r>
      <w:r>
        <w:rPr>
          <w:rFonts w:hint="default" w:ascii="仿宋" w:hAnsi="仿宋" w:eastAsia="仿宋" w:cs="仿宋"/>
          <w:b w:val="0"/>
          <w:bCs w:val="0"/>
          <w:color w:val="auto"/>
          <w:sz w:val="32"/>
          <w:szCs w:val="32"/>
          <w:lang w:val="en-US" w:eastAsia="zh-CN"/>
        </w:rPr>
        <w:t>居民的生活质量，</w:t>
      </w:r>
      <w:r>
        <w:rPr>
          <w:rFonts w:hint="eastAsia" w:ascii="仿宋" w:hAnsi="仿宋" w:eastAsia="仿宋" w:cs="仿宋"/>
          <w:b w:val="0"/>
          <w:bCs w:val="0"/>
          <w:color w:val="auto"/>
          <w:sz w:val="32"/>
          <w:szCs w:val="32"/>
          <w:lang w:val="en-US" w:eastAsia="zh-CN"/>
        </w:rPr>
        <w:t>使市民</w:t>
      </w:r>
      <w:r>
        <w:rPr>
          <w:rFonts w:hint="default" w:ascii="仿宋" w:hAnsi="仿宋" w:eastAsia="仿宋" w:cs="仿宋"/>
          <w:b w:val="0"/>
          <w:bCs w:val="0"/>
          <w:color w:val="auto"/>
          <w:sz w:val="32"/>
          <w:szCs w:val="32"/>
          <w:lang w:val="en-US" w:eastAsia="zh-CN"/>
        </w:rPr>
        <w:t>更好地融入城市生活</w:t>
      </w:r>
      <w:r>
        <w:rPr>
          <w:rFonts w:hint="eastAsia" w:ascii="仿宋" w:hAnsi="仿宋" w:eastAsia="仿宋" w:cs="仿宋"/>
          <w:b w:val="0"/>
          <w:bCs w:val="0"/>
          <w:color w:val="auto"/>
          <w:sz w:val="32"/>
          <w:szCs w:val="32"/>
          <w:lang w:val="en-US" w:eastAsia="zh-CN"/>
        </w:rPr>
        <w:t>，助力</w:t>
      </w:r>
      <w:r>
        <w:rPr>
          <w:rFonts w:hint="default" w:ascii="仿宋" w:hAnsi="仿宋" w:eastAsia="仿宋" w:cs="仿宋"/>
          <w:b w:val="0"/>
          <w:bCs w:val="0"/>
          <w:color w:val="auto"/>
          <w:sz w:val="32"/>
          <w:szCs w:val="32"/>
          <w:lang w:val="en-US" w:eastAsia="zh-CN"/>
        </w:rPr>
        <w:t>城市经济发展</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促进城市经济的增长和提升城市竞争力</w:t>
      </w:r>
      <w:r>
        <w:rPr>
          <w:rFonts w:hint="eastAsia" w:ascii="仿宋" w:hAnsi="仿宋" w:eastAsia="仿宋" w:cs="仿宋"/>
          <w:b w:val="0"/>
          <w:bCs w:val="0"/>
          <w:color w:val="auto"/>
          <w:sz w:val="32"/>
          <w:szCs w:val="32"/>
          <w:lang w:val="en-US" w:eastAsia="zh-CN"/>
        </w:rPr>
        <w:t>，我部门不断加快城市基础设施建设</w:t>
      </w:r>
      <w:r>
        <w:rPr>
          <w:rFonts w:hint="default" w:ascii="仿宋" w:hAnsi="仿宋" w:eastAsia="仿宋" w:cs="仿宋"/>
          <w:b w:val="0"/>
          <w:bCs w:val="0"/>
          <w:color w:val="auto"/>
          <w:sz w:val="32"/>
          <w:szCs w:val="32"/>
          <w:lang w:val="en-US" w:eastAsia="zh-CN"/>
        </w:rPr>
        <w:t>，为实现城市可持续发展和建设现代化城市提供有力保障。</w:t>
      </w:r>
    </w:p>
    <w:p w14:paraId="0A45BFFA">
      <w:pPr>
        <w:widowControl w:val="0"/>
        <w:wordWrap/>
        <w:spacing w:line="560" w:lineRule="exact"/>
        <w:ind w:left="0" w:leftChars="0" w:right="0" w:firstLine="640" w:firstLineChars="200"/>
        <w:jc w:val="both"/>
        <w:textAlignment w:val="auto"/>
        <w:outlineLvl w:val="9"/>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绩效目标：</w:t>
      </w:r>
      <w:r>
        <w:rPr>
          <w:rFonts w:hint="default" w:ascii="仿宋" w:hAnsi="仿宋" w:eastAsia="仿宋" w:cs="仿宋"/>
          <w:b w:val="0"/>
          <w:bCs w:val="0"/>
          <w:color w:val="auto"/>
          <w:sz w:val="32"/>
          <w:szCs w:val="32"/>
          <w:lang w:val="en-US" w:eastAsia="zh-CN"/>
        </w:rPr>
        <w:t>满足城市居民的基本生活需求，提高城市居民的生活质量，创造良好的城市环境</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提高城市基础设施的供应效率和质量，降低城市基础设施的供应成本，优化城市基础设施的配置和布局</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加强城市基础设施的维护和保养，提高城市基础设施的使用寿命和安全性，减少城市基础设施的故障率和损坏率</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推进城市基础设施建设领域的信息化、数字化、智能化建设，实现基础设施建设的数字化管理和智慧化运行，提高城市基础设施的运行效率和服务水平。</w:t>
      </w:r>
    </w:p>
    <w:p w14:paraId="6D8D8F5E">
      <w:pPr>
        <w:keepNext w:val="0"/>
        <w:keepLines w:val="0"/>
        <w:pageBreakBefore w:val="0"/>
        <w:kinsoku/>
        <w:wordWrap/>
        <w:overflowPunct/>
        <w:topLinePunct w:val="0"/>
        <w:autoSpaceDE/>
        <w:autoSpaceDN/>
        <w:bidi w:val="0"/>
        <w:adjustRightInd/>
        <w:snapToGrid/>
        <w:spacing w:line="578" w:lineRule="exact"/>
        <w:ind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 w:hAnsi="仿宋" w:eastAsia="仿宋" w:cs="仿宋"/>
          <w:b w:val="0"/>
          <w:bCs w:val="0"/>
          <w:color w:val="auto"/>
          <w:sz w:val="32"/>
          <w:szCs w:val="32"/>
          <w:lang w:val="en-US" w:eastAsia="zh-CN"/>
        </w:rPr>
        <w:t>绩效指标：</w:t>
      </w:r>
      <w:r>
        <w:rPr>
          <w:rFonts w:hint="eastAsia" w:ascii="仿宋_GB2312" w:hAnsi="仿宋_GB2312" w:eastAsia="仿宋_GB2312" w:cs="仿宋_GB2312"/>
          <w:color w:val="auto"/>
          <w:kern w:val="2"/>
          <w:sz w:val="32"/>
          <w:szCs w:val="32"/>
          <w:lang w:val="en-US" w:eastAsia="zh-CN" w:bidi="ar-SA"/>
        </w:rPr>
        <w:t>在城区新建五座一类公厕，满足了市民基本生活需求；</w:t>
      </w:r>
      <w:r>
        <w:rPr>
          <w:rFonts w:hint="eastAsia" w:ascii="仿宋_GB2312" w:hAnsi="仿宋_GB2312" w:eastAsia="仿宋_GB2312" w:cs="仿宋_GB2312"/>
          <w:color w:val="auto"/>
          <w:sz w:val="32"/>
          <w:szCs w:val="32"/>
          <w:lang w:val="en-US" w:eastAsia="zh-CN"/>
        </w:rPr>
        <w:t>打造</w:t>
      </w:r>
      <w:r>
        <w:rPr>
          <w:rFonts w:hint="eastAsia" w:ascii="仿宋_GB2312" w:hAnsi="仿宋_GB2312" w:eastAsia="仿宋_GB2312" w:cs="仿宋_GB2312"/>
          <w:b w:val="0"/>
          <w:bCs w:val="0"/>
          <w:color w:val="auto"/>
          <w:sz w:val="32"/>
          <w:szCs w:val="32"/>
          <w:lang w:val="en-US" w:eastAsia="zh-CN"/>
        </w:rPr>
        <w:t>5条精品街巷（石邑街、新北路、曹东路、翠屏大街、玉石路）；</w:t>
      </w:r>
      <w:r>
        <w:rPr>
          <w:rFonts w:hint="eastAsia" w:ascii="仿宋_GB2312" w:hAnsi="仿宋_GB2312" w:eastAsia="仿宋_GB2312" w:cs="仿宋_GB2312"/>
          <w:b w:val="0"/>
          <w:bCs w:val="0"/>
          <w:color w:val="auto"/>
          <w:kern w:val="2"/>
          <w:sz w:val="32"/>
          <w:szCs w:val="32"/>
          <w:lang w:val="en-US" w:eastAsia="zh-CN" w:bidi="ar-SA"/>
        </w:rPr>
        <w:t>设置34处便民服务点，9处便民夜市点；</w:t>
      </w:r>
      <w:r>
        <w:rPr>
          <w:rFonts w:hint="eastAsia" w:ascii="仿宋_GB2312" w:hAnsi="仿宋_GB2312" w:eastAsia="仿宋_GB2312" w:cs="仿宋_GB2312"/>
          <w:b w:val="0"/>
          <w:bCs w:val="0"/>
          <w:color w:val="auto"/>
          <w:sz w:val="32"/>
          <w:szCs w:val="32"/>
        </w:rPr>
        <w:t>建成日处理能力20吨的厨余垃圾处理站</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rPr>
        <w:t>提升改造125个居民小区集中投放点，安装智能回收箱、厨余智能设备，进一步提升了生活垃圾资源回收利用率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z w:val="32"/>
          <w:szCs w:val="32"/>
          <w:u w:val="none"/>
          <w:lang w:val="en-US" w:eastAsia="zh-CN"/>
        </w:rPr>
        <w:t>在时</w:t>
      </w:r>
      <w:r>
        <w:rPr>
          <w:rFonts w:hint="eastAsia" w:ascii="仿宋_GB2312" w:hAnsi="仿宋_GB2312" w:eastAsia="仿宋_GB2312" w:cs="仿宋_GB2312"/>
          <w:color w:val="auto"/>
          <w:sz w:val="32"/>
          <w:szCs w:val="32"/>
          <w:u w:val="none"/>
          <w:lang w:val="en-US" w:eastAsia="zh-CN"/>
        </w:rPr>
        <w:t>间紧、任务重，资金紧张情况下，对体育场地下停车场和海山公园地下停车场出让至区产业发展投资有限公司并对外开放，极大解决了周边区域“停车难”问题。</w:t>
      </w:r>
    </w:p>
    <w:p w14:paraId="036B5A54">
      <w:pPr>
        <w:widowControl w:val="0"/>
        <w:wordWrap/>
        <w:spacing w:line="560" w:lineRule="exact"/>
        <w:ind w:left="0" w:leftChars="0" w:right="0" w:firstLine="640" w:firstLineChars="200"/>
        <w:jc w:val="both"/>
        <w:textAlignment w:val="auto"/>
        <w:outlineLvl w:val="9"/>
        <w:rPr>
          <w:rFonts w:hint="eastAsia" w:ascii="仿宋" w:hAnsi="仿宋" w:eastAsia="仿宋_GB2312" w:cs="仿宋"/>
          <w:b w:val="0"/>
          <w:bCs w:val="0"/>
          <w:color w:val="4F81BD" w:themeColor="accent1"/>
          <w:sz w:val="32"/>
          <w:szCs w:val="32"/>
          <w:lang w:val="en-US" w:eastAsia="zh-CN"/>
          <w14:textFill>
            <w14:solidFill>
              <w14:schemeClr w14:val="accent1"/>
            </w14:solidFill>
          </w14:textFill>
        </w:rPr>
      </w:pPr>
    </w:p>
    <w:p w14:paraId="547F9CB0">
      <w:pPr>
        <w:widowControl w:val="0"/>
        <w:wordWrap/>
        <w:spacing w:line="560" w:lineRule="exact"/>
        <w:ind w:left="0" w:leftChars="0" w:right="0" w:firstLine="640" w:firstLineChars="200"/>
        <w:jc w:val="both"/>
        <w:textAlignment w:val="auto"/>
        <w:outlineLvl w:val="9"/>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环境卫生管护持续强化提升。为了</w:t>
      </w:r>
      <w:r>
        <w:rPr>
          <w:rFonts w:hint="default" w:ascii="仿宋" w:hAnsi="仿宋" w:eastAsia="仿宋" w:cs="仿宋"/>
          <w:b w:val="0"/>
          <w:bCs w:val="0"/>
          <w:color w:val="auto"/>
          <w:sz w:val="32"/>
          <w:szCs w:val="32"/>
          <w:lang w:val="en-US" w:eastAsia="zh-CN"/>
        </w:rPr>
        <w:t>创造清洁、美丽、卫生的城市环境，改善环境卫生设施，增强市民环保意识和参与度，</w:t>
      </w:r>
      <w:r>
        <w:rPr>
          <w:rFonts w:hint="eastAsia" w:ascii="仿宋" w:hAnsi="仿宋" w:eastAsia="仿宋" w:cs="仿宋"/>
          <w:b w:val="0"/>
          <w:bCs w:val="0"/>
          <w:color w:val="auto"/>
          <w:sz w:val="32"/>
          <w:szCs w:val="32"/>
          <w:lang w:val="en-US" w:eastAsia="zh-CN"/>
        </w:rPr>
        <w:t>我部门继续</w:t>
      </w:r>
      <w:r>
        <w:rPr>
          <w:rFonts w:hint="default" w:ascii="仿宋" w:hAnsi="仿宋" w:eastAsia="仿宋" w:cs="仿宋"/>
          <w:b w:val="0"/>
          <w:bCs w:val="0"/>
          <w:color w:val="auto"/>
          <w:sz w:val="32"/>
          <w:szCs w:val="32"/>
          <w:lang w:val="en-US" w:eastAsia="zh-CN"/>
        </w:rPr>
        <w:t>加强环境卫生</w:t>
      </w:r>
      <w:r>
        <w:rPr>
          <w:rFonts w:hint="eastAsia" w:ascii="仿宋" w:hAnsi="仿宋" w:eastAsia="仿宋" w:cs="仿宋"/>
          <w:b w:val="0"/>
          <w:bCs w:val="0"/>
          <w:color w:val="auto"/>
          <w:sz w:val="32"/>
          <w:szCs w:val="32"/>
          <w:lang w:val="en-US" w:eastAsia="zh-CN"/>
        </w:rPr>
        <w:t>管理，助力</w:t>
      </w:r>
      <w:r>
        <w:rPr>
          <w:rFonts w:hint="default" w:ascii="仿宋" w:hAnsi="仿宋" w:eastAsia="仿宋" w:cs="仿宋"/>
          <w:color w:val="auto"/>
          <w:kern w:val="2"/>
          <w:sz w:val="32"/>
          <w:szCs w:val="32"/>
          <w:lang w:val="en-US" w:eastAsia="zh-CN" w:bidi="ar-SA"/>
        </w:rPr>
        <w:t>生态宜居宜业宜游新城区</w:t>
      </w:r>
      <w:r>
        <w:rPr>
          <w:rFonts w:hint="default" w:ascii="仿宋" w:hAnsi="仿宋" w:eastAsia="仿宋" w:cs="仿宋"/>
          <w:b w:val="0"/>
          <w:bCs w:val="0"/>
          <w:color w:val="auto"/>
          <w:sz w:val="32"/>
          <w:szCs w:val="32"/>
          <w:lang w:val="en-US" w:eastAsia="zh-CN"/>
        </w:rPr>
        <w:t>。</w:t>
      </w:r>
    </w:p>
    <w:p w14:paraId="251E79AE">
      <w:pPr>
        <w:widowControl w:val="0"/>
        <w:wordWrap/>
        <w:spacing w:line="560" w:lineRule="exact"/>
        <w:ind w:left="0" w:leftChars="0" w:right="0" w:firstLine="640" w:firstLineChars="200"/>
        <w:jc w:val="both"/>
        <w:textAlignment w:val="auto"/>
        <w:outlineLvl w:val="9"/>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绩效目标：</w:t>
      </w:r>
      <w:r>
        <w:rPr>
          <w:rFonts w:hint="default" w:ascii="仿宋" w:hAnsi="仿宋" w:eastAsia="仿宋" w:cs="仿宋"/>
          <w:b w:val="0"/>
          <w:bCs w:val="0"/>
          <w:color w:val="auto"/>
          <w:sz w:val="32"/>
          <w:szCs w:val="32"/>
          <w:lang w:val="en-US" w:eastAsia="zh-CN"/>
        </w:rPr>
        <w:t>提高环境卫生质量和标准</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通过加强环境卫生的日常管理和监督，提高城市公共场所、社区、工业区的环境卫生质量和标准，创造更加清洁、美丽、卫生的城市环境</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减少环境污染和垃圾废弃物</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通过推广垃圾分类、回收、再利用等措施，减少环境污染和垃圾废弃物的产生，实现城市环境的可持续发展</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改善环境卫生设施</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通过加强环境卫生设施的建设和维护，提高城市公共厕所、垃圾箱、垃圾处理厂等设施的质量和数量，提供更加便捷、舒适、安全的环境卫生设施。</w:t>
      </w:r>
    </w:p>
    <w:p w14:paraId="123F1D8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leftChars="0" w:right="0" w:rightChars="0" w:firstLine="640" w:firstLineChars="200"/>
        <w:jc w:val="both"/>
        <w:textAlignment w:val="auto"/>
        <w:rPr>
          <w:rFonts w:hint="eastAsia" w:ascii="黑体" w:hAnsi="黑体" w:eastAsia="黑体" w:cs="黑体"/>
          <w:color w:val="auto"/>
          <w:spacing w:val="4"/>
          <w:sz w:val="32"/>
          <w:szCs w:val="32"/>
        </w:rPr>
      </w:pPr>
      <w:r>
        <w:rPr>
          <w:rFonts w:hint="eastAsia" w:ascii="仿宋" w:hAnsi="仿宋" w:eastAsia="仿宋" w:cs="仿宋"/>
          <w:b w:val="0"/>
          <w:bCs w:val="0"/>
          <w:color w:val="auto"/>
          <w:sz w:val="32"/>
          <w:szCs w:val="32"/>
          <w:lang w:val="en-US" w:eastAsia="zh-CN"/>
        </w:rPr>
        <w:t>绩效指标：</w:t>
      </w:r>
      <w:r>
        <w:rPr>
          <w:rFonts w:hint="eastAsia" w:ascii="仿宋_GB2312" w:eastAsia="仿宋_GB2312"/>
          <w:b w:val="0"/>
          <w:bCs w:val="0"/>
          <w:color w:val="auto"/>
          <w:sz w:val="32"/>
          <w:szCs w:val="32"/>
          <w:lang w:val="en-US" w:eastAsia="zh-CN"/>
        </w:rPr>
        <w:t>开展道路精细化保洁</w:t>
      </w:r>
      <w:r>
        <w:rPr>
          <w:rFonts w:hint="eastAsia" w:ascii="仿宋_GB2312" w:eastAsia="仿宋_GB2312"/>
          <w:b/>
          <w:bCs/>
          <w:color w:val="auto"/>
          <w:sz w:val="32"/>
          <w:szCs w:val="32"/>
          <w:lang w:val="en-US" w:eastAsia="zh-CN"/>
        </w:rPr>
        <w:t>。</w:t>
      </w:r>
      <w:r>
        <w:rPr>
          <w:rFonts w:hint="eastAsia" w:ascii="仿宋_GB2312" w:hAnsi="仿宋_GB2312" w:eastAsia="仿宋_GB2312" w:cs="仿宋_GB2312"/>
          <w:color w:val="auto"/>
          <w:sz w:val="32"/>
          <w:szCs w:val="40"/>
          <w:lang w:val="en-US" w:eastAsia="zh-CN"/>
        </w:rPr>
        <w:t>严格</w:t>
      </w:r>
      <w:r>
        <w:rPr>
          <w:rFonts w:hint="eastAsia" w:ascii="仿宋_GB2312" w:eastAsia="仿宋_GB2312"/>
          <w:color w:val="auto"/>
          <w:sz w:val="32"/>
          <w:szCs w:val="32"/>
          <w:lang w:eastAsia="zh-CN"/>
        </w:rPr>
        <w:t>落实</w:t>
      </w:r>
      <w:r>
        <w:rPr>
          <w:rFonts w:hint="eastAsia" w:ascii="仿宋_GB2312" w:eastAsia="仿宋_GB2312"/>
          <w:color w:val="auto"/>
          <w:sz w:val="32"/>
          <w:szCs w:val="32"/>
          <w:lang w:val="en-US" w:eastAsia="zh-CN"/>
        </w:rPr>
        <w:t>“四定”机制，以“全覆盖、无积尘”为标准，每日出动人员300余人，新能源车辆42辆，对负责范围内32条道路，173.55万平方米</w:t>
      </w:r>
      <w:r>
        <w:rPr>
          <w:rFonts w:hint="eastAsia" w:ascii="仿宋_GB2312" w:eastAsia="仿宋_GB2312"/>
          <w:color w:val="auto"/>
          <w:sz w:val="32"/>
          <w:szCs w:val="32"/>
          <w:lang w:eastAsia="zh-CN"/>
        </w:rPr>
        <w:t>作业</w:t>
      </w:r>
      <w:r>
        <w:rPr>
          <w:rFonts w:hint="eastAsia" w:ascii="仿宋_GB2312" w:eastAsia="仿宋_GB2312"/>
          <w:color w:val="auto"/>
          <w:sz w:val="32"/>
          <w:szCs w:val="32"/>
          <w:lang w:val="en-US" w:eastAsia="zh-CN"/>
        </w:rPr>
        <w:t>面积，54.46</w:t>
      </w:r>
      <w:r>
        <w:rPr>
          <w:rFonts w:hint="eastAsia" w:ascii="仿宋_GB2312" w:eastAsia="仿宋_GB2312"/>
          <w:color w:val="auto"/>
          <w:sz w:val="32"/>
          <w:szCs w:val="32"/>
          <w:lang w:eastAsia="zh-CN"/>
        </w:rPr>
        <w:t>公里</w:t>
      </w:r>
      <w:r>
        <w:rPr>
          <w:rFonts w:hint="eastAsia" w:ascii="仿宋_GB2312" w:eastAsia="仿宋_GB2312"/>
          <w:color w:val="auto"/>
          <w:sz w:val="32"/>
          <w:szCs w:val="32"/>
          <w:lang w:val="en-US" w:eastAsia="zh-CN"/>
        </w:rPr>
        <w:t>作业</w:t>
      </w:r>
      <w:r>
        <w:rPr>
          <w:rFonts w:hint="eastAsia" w:ascii="仿宋_GB2312" w:eastAsia="仿宋_GB2312"/>
          <w:color w:val="auto"/>
          <w:sz w:val="32"/>
          <w:szCs w:val="32"/>
          <w:lang w:eastAsia="zh-CN"/>
        </w:rPr>
        <w:t>里程，</w:t>
      </w:r>
      <w:r>
        <w:rPr>
          <w:rFonts w:hint="eastAsia" w:ascii="仿宋_GB2312" w:eastAsia="仿宋_GB2312"/>
          <w:color w:val="auto"/>
          <w:sz w:val="32"/>
          <w:szCs w:val="32"/>
          <w:lang w:val="en-US" w:eastAsia="zh-CN"/>
        </w:rPr>
        <w:t>进行全面保洁抑尘作业，主要道路机扫率达到100%。同时加大人工清扫保洁力度，根据街道类别实施人工18小时、</w:t>
      </w:r>
      <w:r>
        <w:rPr>
          <w:rFonts w:hint="default" w:ascii="仿宋_GB2312" w:hAnsi="仿宋_GB2312" w:eastAsia="仿宋_GB2312" w:cs="仿宋_GB2312"/>
          <w:color w:val="auto"/>
          <w:sz w:val="32"/>
          <w:szCs w:val="32"/>
          <w:lang w:val="en-US" w:eastAsia="zh-CN"/>
        </w:rPr>
        <w:t>13小时</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9小时</w:t>
      </w:r>
      <w:r>
        <w:rPr>
          <w:rFonts w:hint="eastAsia" w:ascii="仿宋_GB2312" w:eastAsia="仿宋_GB2312"/>
          <w:color w:val="auto"/>
          <w:sz w:val="32"/>
          <w:szCs w:val="32"/>
          <w:lang w:val="en-US" w:eastAsia="zh-CN"/>
        </w:rPr>
        <w:t>分类保洁策略，</w:t>
      </w:r>
      <w:r>
        <w:rPr>
          <w:rFonts w:hint="eastAsia" w:ascii="仿宋_GB2312" w:hAnsi="仿宋_GB2312" w:eastAsia="仿宋_GB2312" w:cs="仿宋_GB2312"/>
          <w:color w:val="auto"/>
          <w:sz w:val="32"/>
          <w:szCs w:val="32"/>
          <w:lang w:val="en-US" w:eastAsia="zh-CN"/>
        </w:rPr>
        <w:t>实现“机扫、冲洗、人工”三位一体无缝衔接</w:t>
      </w:r>
      <w:r>
        <w:rPr>
          <w:rFonts w:hint="eastAsia" w:ascii="仿宋_GB2312" w:eastAsia="仿宋_GB2312"/>
          <w:color w:val="auto"/>
          <w:sz w:val="32"/>
          <w:szCs w:val="32"/>
          <w:lang w:val="en-US" w:eastAsia="zh-CN"/>
        </w:rPr>
        <w:t>。做好辖区主要街道深度保洁的同时，工作触角向小街巷延伸，对负责的5条背街小巷</w:t>
      </w:r>
      <w:r>
        <w:rPr>
          <w:rFonts w:hint="eastAsia" w:ascii="仿宋_GB2312" w:hAnsi="仿宋_GB2312" w:eastAsia="仿宋_GB2312" w:cs="仿宋_GB2312"/>
          <w:color w:val="auto"/>
          <w:sz w:val="32"/>
          <w:szCs w:val="32"/>
          <w:lang w:val="en-US" w:eastAsia="zh-CN"/>
        </w:rPr>
        <w:t>建立“收、捡、洗、扫、保”作业模式，</w:t>
      </w:r>
      <w:r>
        <w:rPr>
          <w:rFonts w:hint="eastAsia" w:ascii="仿宋_GB2312" w:eastAsia="仿宋_GB2312"/>
          <w:color w:val="auto"/>
          <w:sz w:val="32"/>
          <w:szCs w:val="32"/>
          <w:lang w:val="en-US" w:eastAsia="zh-CN"/>
        </w:rPr>
        <w:t>有效提升背街小巷环境品质，</w:t>
      </w:r>
      <w:r>
        <w:rPr>
          <w:rFonts w:hint="eastAsia" w:ascii="仿宋_GB2312" w:hAnsi="仿宋_GB2312" w:eastAsia="仿宋_GB2312" w:cs="仿宋_GB2312"/>
          <w:color w:val="auto"/>
          <w:sz w:val="32"/>
          <w:szCs w:val="32"/>
          <w:lang w:val="en-US" w:eastAsia="zh-CN"/>
        </w:rPr>
        <w:t>确保环境卫生整治工作全方位、无死角。</w:t>
      </w:r>
    </w:p>
    <w:p w14:paraId="21CCD86D">
      <w:pPr>
        <w:widowControl w:val="0"/>
        <w:wordWrap/>
        <w:spacing w:line="560" w:lineRule="exact"/>
        <w:ind w:left="0" w:leftChars="0" w:right="0" w:firstLine="640" w:firstLineChars="200"/>
        <w:jc w:val="both"/>
        <w:textAlignment w:val="auto"/>
        <w:outlineLvl w:val="9"/>
        <w:rPr>
          <w:rFonts w:ascii="黑体" w:hAnsi="黑体" w:eastAsia="黑体"/>
          <w:color w:val="auto"/>
          <w:sz w:val="32"/>
          <w:szCs w:val="32"/>
        </w:rPr>
      </w:pPr>
      <w:r>
        <w:rPr>
          <w:rFonts w:hint="eastAsia" w:ascii="黑体" w:hAnsi="黑体" w:eastAsia="黑体"/>
          <w:color w:val="auto"/>
          <w:sz w:val="32"/>
          <w:szCs w:val="32"/>
        </w:rPr>
        <w:t>四、评价结论和评价等级</w:t>
      </w:r>
    </w:p>
    <w:p w14:paraId="3A885DF9">
      <w:pPr>
        <w:widowControl w:val="0"/>
        <w:wordWrap/>
        <w:spacing w:line="560" w:lineRule="exact"/>
        <w:ind w:left="0" w:leftChars="0" w:right="0" w:firstLine="640" w:firstLineChars="200"/>
        <w:jc w:val="both"/>
        <w:textAlignment w:val="auto"/>
        <w:outlineLvl w:val="9"/>
        <w:rPr>
          <w:rFonts w:hint="eastAsia" w:ascii="仿宋" w:hAnsi="仿宋" w:eastAsia="仿宋"/>
          <w:color w:val="auto"/>
          <w:sz w:val="32"/>
          <w:szCs w:val="32"/>
        </w:rPr>
      </w:pPr>
      <w:r>
        <w:rPr>
          <w:rFonts w:hint="eastAsia" w:ascii="仿宋" w:hAnsi="仿宋" w:eastAsia="仿宋"/>
          <w:color w:val="auto"/>
          <w:sz w:val="32"/>
          <w:szCs w:val="32"/>
        </w:rPr>
        <w:t>根据</w:t>
      </w:r>
      <w:r>
        <w:rPr>
          <w:rFonts w:hint="eastAsia" w:ascii="仿宋" w:hAnsi="仿宋" w:eastAsia="仿宋"/>
          <w:color w:val="auto"/>
          <w:sz w:val="32"/>
          <w:szCs w:val="32"/>
          <w:lang w:val="en-US" w:eastAsia="zh-CN"/>
        </w:rPr>
        <w:t>我</w:t>
      </w:r>
      <w:r>
        <w:rPr>
          <w:rFonts w:hint="eastAsia" w:ascii="仿宋" w:hAnsi="仿宋" w:eastAsia="仿宋"/>
          <w:color w:val="auto"/>
          <w:sz w:val="32"/>
          <w:szCs w:val="32"/>
          <w:lang w:eastAsia="zh-CN"/>
        </w:rPr>
        <w:t>部门职责定位和各项工作履职情况进行</w:t>
      </w:r>
      <w:r>
        <w:rPr>
          <w:rFonts w:hint="eastAsia" w:ascii="仿宋" w:hAnsi="仿宋" w:eastAsia="仿宋"/>
          <w:color w:val="auto"/>
          <w:sz w:val="32"/>
          <w:szCs w:val="32"/>
          <w:lang w:val="en-US" w:eastAsia="zh-CN"/>
        </w:rPr>
        <w:t>了</w:t>
      </w:r>
      <w:r>
        <w:rPr>
          <w:rFonts w:hint="eastAsia" w:ascii="仿宋" w:hAnsi="仿宋" w:eastAsia="仿宋"/>
          <w:color w:val="auto"/>
          <w:sz w:val="32"/>
          <w:szCs w:val="32"/>
          <w:lang w:eastAsia="zh-CN"/>
        </w:rPr>
        <w:t>综合评价</w:t>
      </w:r>
      <w:r>
        <w:rPr>
          <w:rFonts w:hint="eastAsia" w:ascii="仿宋" w:hAnsi="仿宋" w:eastAsia="仿宋"/>
          <w:color w:val="auto"/>
          <w:sz w:val="32"/>
          <w:szCs w:val="32"/>
        </w:rPr>
        <w:t>，得出综合绩效评价等级。满分100分，</w:t>
      </w:r>
      <w:r>
        <w:rPr>
          <w:rFonts w:hint="eastAsia" w:ascii="仿宋" w:hAnsi="仿宋" w:eastAsia="仿宋"/>
          <w:color w:val="auto"/>
          <w:sz w:val="32"/>
          <w:szCs w:val="32"/>
          <w:lang w:eastAsia="zh-CN"/>
        </w:rPr>
        <w:t>部门整体支出</w:t>
      </w:r>
      <w:r>
        <w:rPr>
          <w:rFonts w:hint="eastAsia" w:ascii="仿宋" w:hAnsi="仿宋" w:eastAsia="仿宋"/>
          <w:color w:val="auto"/>
          <w:sz w:val="32"/>
          <w:szCs w:val="32"/>
        </w:rPr>
        <w:t>综合绩效评价分为4个等级：得分</w:t>
      </w:r>
      <w:r>
        <w:rPr>
          <w:rFonts w:ascii="仿宋" w:hAnsi="仿宋" w:eastAsia="仿宋" w:cs="Arial"/>
          <w:color w:val="auto"/>
          <w:sz w:val="32"/>
          <w:szCs w:val="32"/>
        </w:rPr>
        <w:t>≥</w:t>
      </w:r>
      <w:r>
        <w:rPr>
          <w:rFonts w:hint="eastAsia" w:ascii="仿宋" w:hAnsi="仿宋" w:eastAsia="仿宋"/>
          <w:color w:val="auto"/>
          <w:sz w:val="32"/>
          <w:szCs w:val="32"/>
        </w:rPr>
        <w:t>85分为优秀；75</w:t>
      </w:r>
      <w:r>
        <w:rPr>
          <w:rFonts w:ascii="仿宋" w:hAnsi="仿宋" w:eastAsia="仿宋" w:cs="Arial"/>
          <w:color w:val="auto"/>
          <w:sz w:val="32"/>
          <w:szCs w:val="32"/>
        </w:rPr>
        <w:t>≤</w:t>
      </w:r>
      <w:r>
        <w:rPr>
          <w:rFonts w:hint="eastAsia" w:ascii="仿宋" w:hAnsi="仿宋" w:eastAsia="仿宋"/>
          <w:color w:val="auto"/>
          <w:sz w:val="32"/>
          <w:szCs w:val="32"/>
        </w:rPr>
        <w:t>得分＜85分为良好；60</w:t>
      </w:r>
      <w:r>
        <w:rPr>
          <w:rFonts w:ascii="仿宋" w:hAnsi="仿宋" w:eastAsia="仿宋" w:cs="Arial"/>
          <w:color w:val="auto"/>
          <w:sz w:val="32"/>
          <w:szCs w:val="32"/>
        </w:rPr>
        <w:t>≤</w:t>
      </w:r>
      <w:r>
        <w:rPr>
          <w:rFonts w:hint="eastAsia" w:ascii="仿宋" w:hAnsi="仿宋" w:eastAsia="仿宋"/>
          <w:color w:val="auto"/>
          <w:sz w:val="32"/>
          <w:szCs w:val="32"/>
        </w:rPr>
        <w:t>得分＜75分为一般；得分＜60分为较差。</w:t>
      </w:r>
    </w:p>
    <w:p w14:paraId="64E8EA94">
      <w:pPr>
        <w:spacing w:line="600" w:lineRule="exact"/>
        <w:ind w:firstLine="640" w:firstLineChars="200"/>
        <w:rPr>
          <w:rFonts w:hint="eastAsia" w:ascii="仿宋" w:hAnsi="仿宋" w:eastAsia="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本部门在今年部门决算公开中反映</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年鹿泉区北部振兴-李村镇镇前大街基础设施改造项目（一般债券）、</w:t>
      </w:r>
      <w:r>
        <w:rPr>
          <w:rFonts w:hint="eastAsia" w:ascii="仿宋_GB2312" w:hAnsi="仿宋_GB2312" w:eastAsia="仿宋_GB2312" w:cs="仿宋_GB2312"/>
          <w:color w:val="auto"/>
          <w:sz w:val="32"/>
          <w:szCs w:val="32"/>
          <w:highlight w:val="none"/>
        </w:rPr>
        <w:t>体育场地下停车场建设项目（专项债券）</w:t>
      </w:r>
      <w:r>
        <w:rPr>
          <w:rFonts w:hint="eastAsia" w:ascii="仿宋_GB2312" w:hAnsi="仿宋_GB2312" w:eastAsia="仿宋_GB2312" w:cs="仿宋_GB2312"/>
          <w:color w:val="auto"/>
          <w:sz w:val="32"/>
          <w:szCs w:val="32"/>
          <w:highlight w:val="none"/>
          <w:lang w:eastAsia="zh-CN"/>
        </w:rPr>
        <w:t>垃圾压缩站设备</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86</w:t>
      </w:r>
      <w:r>
        <w:rPr>
          <w:rFonts w:hint="eastAsia" w:ascii="仿宋_GB2312" w:hAnsi="仿宋_GB2312" w:eastAsia="仿宋_GB2312" w:cs="仿宋_GB2312"/>
          <w:color w:val="auto"/>
          <w:sz w:val="32"/>
          <w:szCs w:val="32"/>
          <w:highlight w:val="none"/>
        </w:rPr>
        <w:t>个项目绩效自评结果。</w:t>
      </w:r>
      <w:r>
        <w:rPr>
          <w:rFonts w:hint="eastAsia" w:ascii="仿宋_GB2312" w:hAnsi="仿宋_GB2312" w:eastAsia="仿宋_GB2312" w:cs="仿宋_GB2312"/>
          <w:color w:val="auto"/>
          <w:sz w:val="32"/>
          <w:szCs w:val="32"/>
          <w:highlight w:val="none"/>
          <w:lang w:val="en-US" w:eastAsia="zh-CN"/>
        </w:rPr>
        <w:t>其</w:t>
      </w:r>
      <w:r>
        <w:rPr>
          <w:rFonts w:hint="eastAsia" w:ascii="仿宋_GB2312" w:hAnsi="宋体" w:eastAsia="仿宋_GB2312"/>
          <w:color w:val="auto"/>
          <w:sz w:val="32"/>
          <w:szCs w:val="32"/>
          <w:highlight w:val="none"/>
        </w:rPr>
        <w:t>中</w:t>
      </w:r>
      <w:r>
        <w:rPr>
          <w:rFonts w:hint="eastAsia" w:ascii="仿宋_GB2312" w:hAnsi="仿宋" w:eastAsia="仿宋_GB2312"/>
          <w:color w:val="auto"/>
          <w:sz w:val="32"/>
          <w:szCs w:val="32"/>
          <w:highlight w:val="none"/>
        </w:rPr>
        <w:t>评价等级为“</w:t>
      </w:r>
      <w:r>
        <w:rPr>
          <w:rFonts w:hint="eastAsia" w:ascii="仿宋_GB2312" w:hAnsi="仿宋_GB2312" w:eastAsia="仿宋_GB2312" w:cs="仿宋_GB2312"/>
          <w:color w:val="auto"/>
          <w:sz w:val="32"/>
          <w:szCs w:val="32"/>
          <w:highlight w:val="none"/>
        </w:rPr>
        <w:t>优</w:t>
      </w:r>
      <w:r>
        <w:rPr>
          <w:rFonts w:hint="eastAsia" w:ascii="仿宋_GB2312" w:hAnsi="仿宋_GB2312" w:eastAsia="仿宋_GB2312" w:cs="仿宋_GB2312"/>
          <w:color w:val="auto"/>
          <w:sz w:val="32"/>
          <w:szCs w:val="32"/>
          <w:highlight w:val="none"/>
          <w:lang w:val="en-US" w:eastAsia="zh-CN"/>
        </w:rPr>
        <w:t>秀</w:t>
      </w:r>
      <w:r>
        <w:rPr>
          <w:rFonts w:hint="eastAsia" w:ascii="仿宋_GB2312" w:hAnsi="仿宋_GB2312" w:eastAsia="仿宋_GB2312" w:cs="仿宋_GB2312"/>
          <w:color w:val="auto"/>
          <w:sz w:val="32"/>
          <w:szCs w:val="32"/>
          <w:highlight w:val="none"/>
        </w:rPr>
        <w:t>”项</w:t>
      </w:r>
      <w:r>
        <w:rPr>
          <w:rFonts w:hint="eastAsia" w:ascii="仿宋_GB2312" w:hAnsi="仿宋_GB2312" w:eastAsia="仿宋_GB2312" w:cs="仿宋_GB2312"/>
          <w:color w:val="auto"/>
          <w:sz w:val="32"/>
          <w:szCs w:val="32"/>
          <w:highlight w:val="none"/>
          <w:lang w:val="en-US" w:eastAsia="zh-CN"/>
        </w:rPr>
        <w:t>75</w:t>
      </w:r>
      <w:r>
        <w:rPr>
          <w:rFonts w:hint="eastAsia" w:ascii="仿宋_GB2312" w:hAnsi="仿宋_GB2312" w:eastAsia="仿宋_GB2312" w:cs="仿宋_GB2312"/>
          <w:color w:val="auto"/>
          <w:sz w:val="32"/>
          <w:szCs w:val="32"/>
          <w:highlight w:val="none"/>
        </w:rPr>
        <w:t>个，评优率为</w:t>
      </w:r>
      <w:r>
        <w:rPr>
          <w:rFonts w:hint="eastAsia" w:ascii="仿宋_GB2312" w:hAnsi="仿宋_GB2312" w:eastAsia="仿宋_GB2312" w:cs="仿宋_GB2312"/>
          <w:color w:val="auto"/>
          <w:sz w:val="32"/>
          <w:szCs w:val="32"/>
          <w:highlight w:val="none"/>
          <w:lang w:val="en-US" w:eastAsia="zh-CN"/>
        </w:rPr>
        <w:t>87.21</w:t>
      </w:r>
      <w:r>
        <w:rPr>
          <w:rFonts w:hint="eastAsia" w:ascii="仿宋_GB2312" w:hAnsi="仿宋_GB2312" w:eastAsia="仿宋_GB2312" w:cs="仿宋_GB2312"/>
          <w:color w:val="auto"/>
          <w:sz w:val="32"/>
          <w:szCs w:val="32"/>
          <w:highlight w:val="none"/>
        </w:rPr>
        <w:t>%。</w:t>
      </w:r>
      <w:r>
        <w:rPr>
          <w:rFonts w:hint="eastAsia" w:ascii="仿宋_GB2312" w:hAnsi="仿宋" w:eastAsia="仿宋_GB2312"/>
          <w:color w:val="auto"/>
          <w:sz w:val="32"/>
          <w:szCs w:val="32"/>
          <w:highlight w:val="none"/>
        </w:rPr>
        <w:t>评价等级为“</w:t>
      </w:r>
      <w:r>
        <w:rPr>
          <w:rFonts w:hint="eastAsia" w:ascii="仿宋_GB2312" w:hAnsi="仿宋" w:eastAsia="仿宋_GB2312"/>
          <w:color w:val="auto"/>
          <w:sz w:val="32"/>
          <w:szCs w:val="32"/>
          <w:highlight w:val="none"/>
          <w:lang w:val="en-US" w:eastAsia="zh-CN"/>
        </w:rPr>
        <w:t>良好</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个，评</w:t>
      </w:r>
      <w:r>
        <w:rPr>
          <w:rFonts w:hint="eastAsia" w:ascii="仿宋_GB2312" w:hAnsi="仿宋_GB2312" w:eastAsia="仿宋_GB2312" w:cs="仿宋_GB2312"/>
          <w:color w:val="auto"/>
          <w:sz w:val="32"/>
          <w:szCs w:val="32"/>
          <w:highlight w:val="none"/>
          <w:lang w:val="en-US" w:eastAsia="zh-CN"/>
        </w:rPr>
        <w:t>良</w:t>
      </w:r>
      <w:r>
        <w:rPr>
          <w:rFonts w:hint="eastAsia" w:ascii="仿宋_GB2312" w:hAnsi="仿宋_GB2312" w:eastAsia="仿宋_GB2312" w:cs="仿宋_GB2312"/>
          <w:color w:val="auto"/>
          <w:sz w:val="32"/>
          <w:szCs w:val="32"/>
          <w:highlight w:val="none"/>
        </w:rPr>
        <w:t>率为</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w:t>
      </w:r>
      <w:r>
        <w:rPr>
          <w:rFonts w:hint="eastAsia" w:ascii="仿宋_GB2312" w:hAnsi="仿宋" w:eastAsia="仿宋_GB2312"/>
          <w:color w:val="auto"/>
          <w:sz w:val="32"/>
          <w:szCs w:val="32"/>
          <w:highlight w:val="none"/>
        </w:rPr>
        <w:t>评价等级为“</w:t>
      </w:r>
      <w:r>
        <w:rPr>
          <w:rFonts w:hint="eastAsia" w:ascii="仿宋_GB2312" w:hAnsi="仿宋" w:eastAsia="仿宋_GB2312"/>
          <w:color w:val="auto"/>
          <w:sz w:val="32"/>
          <w:szCs w:val="32"/>
          <w:highlight w:val="none"/>
          <w:lang w:val="en-US" w:eastAsia="zh-CN"/>
        </w:rPr>
        <w:t>一般</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个，评</w:t>
      </w:r>
      <w:r>
        <w:rPr>
          <w:rFonts w:hint="eastAsia" w:ascii="仿宋_GB2312" w:hAnsi="仿宋_GB2312" w:eastAsia="仿宋_GB2312" w:cs="仿宋_GB2312"/>
          <w:color w:val="auto"/>
          <w:sz w:val="32"/>
          <w:szCs w:val="32"/>
          <w:highlight w:val="none"/>
          <w:lang w:val="en-US" w:eastAsia="zh-CN"/>
        </w:rPr>
        <w:t>价</w:t>
      </w:r>
      <w:r>
        <w:rPr>
          <w:rFonts w:hint="eastAsia" w:ascii="仿宋_GB2312" w:hAnsi="仿宋_GB2312" w:eastAsia="仿宋_GB2312" w:cs="仿宋_GB2312"/>
          <w:color w:val="auto"/>
          <w:sz w:val="32"/>
          <w:szCs w:val="32"/>
          <w:highlight w:val="none"/>
        </w:rPr>
        <w:t>率为</w:t>
      </w:r>
      <w:r>
        <w:rPr>
          <w:rFonts w:hint="eastAsia" w:ascii="仿宋_GB2312" w:hAnsi="仿宋_GB2312" w:eastAsia="仿宋_GB2312" w:cs="仿宋_GB2312"/>
          <w:color w:val="auto"/>
          <w:sz w:val="32"/>
          <w:szCs w:val="32"/>
          <w:highlight w:val="none"/>
          <w:lang w:val="en-US" w:eastAsia="zh-CN"/>
        </w:rPr>
        <w:t>1.16</w:t>
      </w:r>
      <w:r>
        <w:rPr>
          <w:rFonts w:hint="eastAsia" w:ascii="仿宋_GB2312" w:hAnsi="仿宋_GB2312" w:eastAsia="仿宋_GB2312" w:cs="仿宋_GB2312"/>
          <w:color w:val="auto"/>
          <w:sz w:val="32"/>
          <w:szCs w:val="32"/>
          <w:highlight w:val="none"/>
        </w:rPr>
        <w:t>%。</w:t>
      </w:r>
      <w:r>
        <w:rPr>
          <w:rFonts w:hint="eastAsia" w:ascii="仿宋_GB2312" w:hAnsi="仿宋" w:eastAsia="仿宋_GB2312"/>
          <w:color w:val="auto"/>
          <w:sz w:val="32"/>
          <w:szCs w:val="32"/>
          <w:highlight w:val="none"/>
        </w:rPr>
        <w:t>评价等级为“</w:t>
      </w:r>
      <w:r>
        <w:rPr>
          <w:rFonts w:hint="eastAsia" w:ascii="仿宋_GB2312" w:hAnsi="仿宋_GB2312" w:eastAsia="仿宋_GB2312" w:cs="仿宋_GB2312"/>
          <w:color w:val="auto"/>
          <w:sz w:val="32"/>
          <w:szCs w:val="32"/>
          <w:highlight w:val="none"/>
          <w:lang w:val="en-US" w:eastAsia="zh-CN"/>
        </w:rPr>
        <w:t>较差</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个，评</w:t>
      </w:r>
      <w:r>
        <w:rPr>
          <w:rFonts w:hint="eastAsia" w:ascii="仿宋_GB2312" w:hAnsi="仿宋_GB2312" w:eastAsia="仿宋_GB2312" w:cs="仿宋_GB2312"/>
          <w:color w:val="auto"/>
          <w:sz w:val="32"/>
          <w:szCs w:val="32"/>
          <w:highlight w:val="none"/>
          <w:lang w:val="en-US" w:eastAsia="zh-CN"/>
        </w:rPr>
        <w:t>价</w:t>
      </w:r>
      <w:r>
        <w:rPr>
          <w:rFonts w:hint="eastAsia" w:ascii="仿宋_GB2312" w:hAnsi="仿宋_GB2312" w:eastAsia="仿宋_GB2312" w:cs="仿宋_GB2312"/>
          <w:color w:val="auto"/>
          <w:sz w:val="32"/>
          <w:szCs w:val="32"/>
          <w:highlight w:val="none"/>
        </w:rPr>
        <w:t>率为</w:t>
      </w:r>
      <w:r>
        <w:rPr>
          <w:rFonts w:hint="eastAsia" w:ascii="仿宋_GB2312" w:hAnsi="仿宋_GB2312" w:eastAsia="仿宋_GB2312" w:cs="仿宋_GB2312"/>
          <w:color w:val="auto"/>
          <w:sz w:val="32"/>
          <w:szCs w:val="32"/>
          <w:highlight w:val="none"/>
          <w:lang w:val="en-US" w:eastAsia="zh-CN"/>
        </w:rPr>
        <w:t>4.65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较差的项目是部分项目因各种原因未实施。</w:t>
      </w:r>
      <w:r>
        <w:rPr>
          <w:rFonts w:hint="eastAsia" w:ascii="仿宋_GB2312" w:hAnsi="仿宋_GB2312" w:eastAsia="仿宋_GB2312" w:cs="仿宋_GB2312"/>
          <w:color w:val="auto"/>
          <w:sz w:val="32"/>
          <w:szCs w:val="32"/>
          <w:highlight w:val="none"/>
          <w:lang w:val="en-US" w:eastAsia="zh-CN"/>
        </w:rPr>
        <w:t>总</w:t>
      </w:r>
      <w:r>
        <w:rPr>
          <w:rFonts w:hint="eastAsia" w:ascii="仿宋_GB2312" w:eastAsia="仿宋_GB2312" w:cs="仿宋_GB2312"/>
          <w:color w:val="auto"/>
          <w:kern w:val="0"/>
          <w:sz w:val="32"/>
          <w:szCs w:val="32"/>
          <w:highlight w:val="none"/>
          <w:lang w:eastAsia="zh-CN"/>
        </w:rPr>
        <w:t>体来说，</w:t>
      </w:r>
      <w:r>
        <w:rPr>
          <w:rFonts w:hint="eastAsia" w:ascii="仿宋_GB2312" w:eastAsia="仿宋_GB2312" w:cs="仿宋_GB2312"/>
          <w:color w:val="auto"/>
          <w:kern w:val="0"/>
          <w:sz w:val="32"/>
          <w:szCs w:val="32"/>
          <w:highlight w:val="none"/>
          <w:lang w:val="en-US" w:eastAsia="zh-CN"/>
        </w:rPr>
        <w:t>我单位</w:t>
      </w:r>
      <w:r>
        <w:rPr>
          <w:rFonts w:hint="eastAsia" w:ascii="仿宋_GB2312" w:eastAsia="仿宋_GB2312" w:cs="仿宋_GB2312"/>
          <w:color w:val="auto"/>
          <w:kern w:val="0"/>
          <w:sz w:val="32"/>
          <w:szCs w:val="32"/>
          <w:highlight w:val="none"/>
        </w:rPr>
        <w:t>资金到位，使用合规。资金</w:t>
      </w:r>
      <w:r>
        <w:rPr>
          <w:rFonts w:hint="eastAsia" w:ascii="仿宋_GB2312" w:eastAsia="仿宋_GB2312" w:cs="仿宋_GB2312"/>
          <w:color w:val="auto"/>
          <w:kern w:val="0"/>
          <w:sz w:val="32"/>
          <w:szCs w:val="32"/>
          <w:highlight w:val="none"/>
          <w:lang w:val="en-US" w:eastAsia="zh-CN"/>
        </w:rPr>
        <w:t>支付</w:t>
      </w:r>
      <w:r>
        <w:rPr>
          <w:rFonts w:hint="eastAsia" w:ascii="仿宋_GB2312" w:eastAsia="仿宋_GB2312" w:cs="仿宋_GB2312"/>
          <w:color w:val="auto"/>
          <w:kern w:val="0"/>
          <w:sz w:val="32"/>
          <w:szCs w:val="32"/>
          <w:highlight w:val="none"/>
        </w:rPr>
        <w:t>从申请、审核、审查、审批到最后</w:t>
      </w:r>
      <w:r>
        <w:rPr>
          <w:rFonts w:hint="eastAsia" w:ascii="仿宋_GB2312" w:eastAsia="仿宋_GB2312" w:cs="仿宋_GB2312"/>
          <w:color w:val="auto"/>
          <w:kern w:val="0"/>
          <w:sz w:val="32"/>
          <w:szCs w:val="32"/>
          <w:highlight w:val="none"/>
          <w:lang w:val="en-US" w:eastAsia="zh-CN"/>
        </w:rPr>
        <w:t>支出</w:t>
      </w:r>
      <w:r>
        <w:rPr>
          <w:rFonts w:hint="eastAsia" w:ascii="仿宋_GB2312" w:eastAsia="仿宋_GB2312" w:cs="仿宋_GB2312"/>
          <w:color w:val="auto"/>
          <w:kern w:val="0"/>
          <w:sz w:val="32"/>
          <w:szCs w:val="32"/>
          <w:highlight w:val="none"/>
        </w:rPr>
        <w:t>都</w:t>
      </w:r>
      <w:r>
        <w:rPr>
          <w:rFonts w:hint="eastAsia" w:ascii="仿宋_GB2312" w:eastAsia="仿宋_GB2312" w:cs="仿宋_GB2312"/>
          <w:color w:val="auto"/>
          <w:kern w:val="0"/>
          <w:sz w:val="32"/>
          <w:szCs w:val="32"/>
          <w:highlight w:val="none"/>
          <w:lang w:val="en-US" w:eastAsia="zh-CN"/>
        </w:rPr>
        <w:t>按照</w:t>
      </w:r>
      <w:r>
        <w:rPr>
          <w:rFonts w:hint="eastAsia" w:ascii="仿宋_GB2312" w:eastAsia="仿宋_GB2312" w:cs="仿宋_GB2312"/>
          <w:color w:val="auto"/>
          <w:kern w:val="0"/>
          <w:sz w:val="32"/>
          <w:szCs w:val="32"/>
          <w:highlight w:val="none"/>
        </w:rPr>
        <w:t>相关财政政策实施，使用符合财务管理规定。</w:t>
      </w:r>
      <w:r>
        <w:rPr>
          <w:rFonts w:hint="eastAsia" w:ascii="仿宋" w:hAnsi="仿宋" w:eastAsia="仿宋" w:cs="仿宋"/>
          <w:color w:val="auto"/>
          <w:sz w:val="32"/>
          <w:szCs w:val="32"/>
          <w:highlight w:val="none"/>
        </w:rPr>
        <w:t>我</w:t>
      </w:r>
      <w:r>
        <w:rPr>
          <w:rFonts w:hint="eastAsia" w:ascii="仿宋" w:hAnsi="仿宋" w:eastAsia="仿宋" w:cs="仿宋"/>
          <w:color w:val="auto"/>
          <w:sz w:val="32"/>
          <w:szCs w:val="32"/>
          <w:highlight w:val="none"/>
          <w:lang w:val="en-US" w:eastAsia="zh-CN"/>
        </w:rPr>
        <w:t>部门</w:t>
      </w:r>
      <w:r>
        <w:rPr>
          <w:rFonts w:hint="eastAsia" w:ascii="仿宋" w:hAnsi="仿宋" w:eastAsia="仿宋"/>
          <w:color w:val="auto"/>
          <w:sz w:val="32"/>
          <w:szCs w:val="32"/>
          <w:highlight w:val="none"/>
        </w:rPr>
        <w:t>综合绩效评价</w:t>
      </w:r>
      <w:r>
        <w:rPr>
          <w:rFonts w:hint="eastAsia" w:ascii="仿宋" w:hAnsi="仿宋" w:eastAsia="仿宋"/>
          <w:color w:val="auto"/>
          <w:sz w:val="32"/>
          <w:szCs w:val="32"/>
          <w:highlight w:val="none"/>
          <w:lang w:val="en-US" w:eastAsia="zh-CN"/>
        </w:rPr>
        <w:t>得分</w:t>
      </w:r>
      <w:r>
        <w:rPr>
          <w:rFonts w:hint="eastAsia" w:ascii="仿宋_GB2312" w:eastAsia="仿宋_GB2312" w:cs="仿宋_GB2312"/>
          <w:color w:val="auto"/>
          <w:kern w:val="0"/>
          <w:sz w:val="32"/>
          <w:szCs w:val="32"/>
          <w:highlight w:val="none"/>
          <w:lang w:val="en-US" w:eastAsia="zh-CN"/>
        </w:rPr>
        <w:t>88，</w:t>
      </w:r>
      <w:r>
        <w:rPr>
          <w:rFonts w:hint="eastAsia" w:ascii="仿宋" w:hAnsi="仿宋" w:eastAsia="仿宋" w:cs="仿宋"/>
          <w:color w:val="auto"/>
          <w:sz w:val="32"/>
          <w:szCs w:val="32"/>
          <w:highlight w:val="none"/>
        </w:rPr>
        <w:t>为优秀等次。</w:t>
      </w:r>
    </w:p>
    <w:p w14:paraId="613BCF6C">
      <w:pPr>
        <w:widowControl w:val="0"/>
        <w:wordWrap/>
        <w:spacing w:line="560" w:lineRule="exact"/>
        <w:ind w:left="0" w:leftChars="0" w:right="0" w:firstLine="640" w:firstLineChars="200"/>
        <w:jc w:val="both"/>
        <w:textAlignment w:val="auto"/>
        <w:outlineLvl w:val="9"/>
        <w:rPr>
          <w:rFonts w:ascii="黑体" w:hAnsi="黑体" w:eastAsia="黑体"/>
          <w:sz w:val="32"/>
          <w:szCs w:val="32"/>
        </w:rPr>
      </w:pPr>
      <w:r>
        <w:rPr>
          <w:rFonts w:hint="eastAsia" w:ascii="黑体" w:hAnsi="黑体" w:eastAsia="黑体"/>
          <w:sz w:val="32"/>
          <w:szCs w:val="32"/>
        </w:rPr>
        <w:t>五、存在的问题及改进措施</w:t>
      </w:r>
    </w:p>
    <w:p w14:paraId="4A268A97">
      <w:pPr>
        <w:widowControl w:val="0"/>
        <w:wordWrap/>
        <w:spacing w:line="560" w:lineRule="exact"/>
        <w:ind w:left="0" w:leftChars="0" w:right="0" w:firstLine="643" w:firstLineChars="200"/>
        <w:jc w:val="both"/>
        <w:textAlignment w:val="auto"/>
        <w:outlineLvl w:val="9"/>
        <w:rPr>
          <w:rFonts w:hint="eastAsia" w:ascii="仿宋" w:hAnsi="仿宋" w:eastAsia="仿宋"/>
          <w:b/>
          <w:bCs/>
          <w:sz w:val="32"/>
          <w:szCs w:val="32"/>
        </w:rPr>
      </w:pPr>
      <w:r>
        <w:rPr>
          <w:rFonts w:hint="eastAsia" w:ascii="仿宋" w:hAnsi="仿宋" w:eastAsia="仿宋"/>
          <w:b/>
          <w:bCs/>
          <w:sz w:val="32"/>
          <w:szCs w:val="32"/>
        </w:rPr>
        <w:t>（一）存在的主要问题</w:t>
      </w:r>
    </w:p>
    <w:p w14:paraId="5DB41724">
      <w:pPr>
        <w:pStyle w:val="10"/>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baseline"/>
        <w:rPr>
          <w:rFonts w:hint="eastAsia" w:ascii="仿宋" w:hAnsi="仿宋" w:eastAsia="仿宋"/>
          <w:b/>
          <w:bCs/>
          <w:sz w:val="32"/>
          <w:szCs w:val="32"/>
        </w:rPr>
      </w:pPr>
      <w:r>
        <w:rPr>
          <w:rFonts w:hint="eastAsia" w:ascii="仿宋" w:hAnsi="仿宋" w:eastAsia="仿宋"/>
          <w:b w:val="0"/>
          <w:bCs w:val="0"/>
          <w:sz w:val="32"/>
          <w:szCs w:val="32"/>
          <w:lang w:val="en-US" w:eastAsia="zh-CN"/>
        </w:rPr>
        <w:t>预算过程绩效管理制度体系不健全，需进一步完善；全面推进预算绩效管理工作贯彻不到位，需进一步加强；对自身预算绩效管理不到位，需进一步落实；各业务股室填报预算数字存在不准确，需进一步细致。究其原因：一是经办人员业务能力有待提高；二是预算执行和绩效管理的监督管理不到位。</w:t>
      </w:r>
    </w:p>
    <w:p w14:paraId="25AFB8FA">
      <w:pPr>
        <w:widowControl w:val="0"/>
        <w:wordWrap/>
        <w:spacing w:line="560" w:lineRule="exact"/>
        <w:ind w:left="0" w:leftChars="0" w:right="0" w:firstLine="643" w:firstLineChars="200"/>
        <w:jc w:val="both"/>
        <w:textAlignment w:val="auto"/>
        <w:outlineLvl w:val="9"/>
        <w:rPr>
          <w:rFonts w:hint="eastAsia" w:ascii="仿宋" w:hAnsi="仿宋" w:eastAsia="仿宋"/>
          <w:b/>
          <w:bCs/>
          <w:sz w:val="32"/>
          <w:szCs w:val="32"/>
        </w:rPr>
      </w:pPr>
      <w:r>
        <w:rPr>
          <w:rFonts w:hint="eastAsia" w:ascii="仿宋" w:hAnsi="仿宋" w:eastAsia="仿宋"/>
          <w:b/>
          <w:bCs/>
          <w:sz w:val="32"/>
          <w:szCs w:val="32"/>
        </w:rPr>
        <w:t>（二）针对问题提出具体的改进措施或建议</w:t>
      </w:r>
    </w:p>
    <w:p w14:paraId="230E1F3F">
      <w:pPr>
        <w:pStyle w:val="18"/>
        <w:jc w:val="both"/>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完善制度建设。将事前评估、目标管理、运行监控、绩效评价、结果应用等各项改革措施，有效融入预算管理的全过程，研究完善河北省交通运输厅预算绩效管理有关制度办法和财务管理规定。建立统筹协调、分工协作、密切配合、合力推进的工作机制，围绕年度总体绩效目标和分项绩效目标，明确责任主体，实施进度要求，确保如期完成。</w:t>
      </w:r>
    </w:p>
    <w:p w14:paraId="3376B386">
      <w:pPr>
        <w:pStyle w:val="18"/>
        <w:jc w:val="both"/>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加强支出管理。强化财政预算执行刚性，编细编实预算，对预算的事前、事中、事后进行全过程控制，进一步提高财政资金使用效益。加强支出结构优化，通过加快履行政府采购手续、尽快启动项目、及时支付资金、9月底前细化代编预算等多种举措，确保按照时间节点完成支出任务。</w:t>
      </w:r>
    </w:p>
    <w:p w14:paraId="3B41BD7E">
      <w:pPr>
        <w:pStyle w:val="18"/>
        <w:jc w:val="both"/>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3、加强绩效运行监控。按要求开展绩效运行监控，依据确定的绩效目标，采取项目跟踪、数据核查和汇总分析等方式，动态了解和掌握项目绩效目标实现程度、资金支出进度和项目实施进度，对评价中发现的问题及时整改，确保绩效目标按期保质完成。</w:t>
      </w:r>
    </w:p>
    <w:p w14:paraId="0120A709">
      <w:pPr>
        <w:pStyle w:val="18"/>
        <w:jc w:val="both"/>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4、规范财政资金、财务资产管理。规范财政资金使用效益，完善内部控制管理制度，坚持依法理财，注重资金支出绩效，最大限额的发挥财政资金效益。在完善财务管理制度的基础上，科学配置单位资产，严格审批程序，加强固定资产登记、使用和报废处置管理，做到支出合理，物尽其用。</w:t>
      </w:r>
    </w:p>
    <w:p w14:paraId="1DB222E5">
      <w:pPr>
        <w:pStyle w:val="18"/>
        <w:jc w:val="both"/>
        <w:rPr>
          <w:rFonts w:hint="eastAsia" w:ascii="仿宋" w:hAnsi="仿宋" w:eastAsia="仿宋"/>
          <w:b/>
          <w:bCs/>
          <w:sz w:val="32"/>
          <w:szCs w:val="32"/>
        </w:rPr>
      </w:pPr>
      <w:r>
        <w:rPr>
          <w:rFonts w:hint="eastAsia" w:ascii="仿宋" w:hAnsi="仿宋" w:eastAsia="仿宋" w:cs="黑体"/>
          <w:kern w:val="2"/>
          <w:sz w:val="32"/>
          <w:szCs w:val="32"/>
          <w:lang w:val="en-US" w:eastAsia="zh-CN" w:bidi="ar-SA"/>
        </w:rPr>
        <w:t>5、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14:paraId="7B9CC274">
      <w:pPr>
        <w:widowControl w:val="0"/>
        <w:wordWrap/>
        <w:adjustRightInd w:val="0"/>
        <w:snapToGrid w:val="0"/>
        <w:spacing w:line="560" w:lineRule="exact"/>
        <w:ind w:left="0" w:leftChars="0" w:right="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六、评价工作组人员名单及签字</w:t>
      </w:r>
    </w:p>
    <w:p w14:paraId="0FF0A372">
      <w:pPr>
        <w:pageBreakBefore w:val="0"/>
        <w:widowControl w:val="0"/>
        <w:kinsoku/>
        <w:wordWrap/>
        <w:overflowPunct/>
        <w:topLinePunct w:val="0"/>
        <w:autoSpaceDE/>
        <w:autoSpaceDN/>
        <w:bidi w:val="0"/>
        <w:spacing w:line="312" w:lineRule="auto"/>
        <w:ind w:left="0" w:leftChars="0" w:right="0"/>
        <w:jc w:val="center"/>
        <w:textAlignment w:val="auto"/>
        <w:outlineLvl w:val="9"/>
        <w:rPr>
          <w:rFonts w:hint="eastAsia" w:ascii="仿宋" w:hAnsi="仿宋" w:eastAsia="仿宋"/>
          <w:b/>
          <w:bCs/>
          <w:sz w:val="32"/>
          <w:szCs w:val="32"/>
          <w:lang w:val="en-US" w:eastAsia="zh-CN"/>
        </w:rPr>
      </w:pPr>
    </w:p>
    <w:p w14:paraId="6A482EE6">
      <w:pPr>
        <w:pageBreakBefore w:val="0"/>
        <w:widowControl w:val="0"/>
        <w:kinsoku/>
        <w:wordWrap/>
        <w:overflowPunct/>
        <w:topLinePunct w:val="0"/>
        <w:autoSpaceDE/>
        <w:autoSpaceDN/>
        <w:bidi w:val="0"/>
        <w:spacing w:line="312" w:lineRule="auto"/>
        <w:ind w:left="0" w:leftChars="0" w:right="0"/>
        <w:jc w:val="center"/>
        <w:textAlignment w:val="auto"/>
        <w:outlineLvl w:val="9"/>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评价工作组人员名单</w:t>
      </w:r>
    </w:p>
    <w:p w14:paraId="39BDE7C9">
      <w:pPr>
        <w:widowControl w:val="0"/>
        <w:wordWrap/>
        <w:spacing w:line="560" w:lineRule="exact"/>
        <w:ind w:right="0"/>
        <w:jc w:val="both"/>
        <w:textAlignment w:val="auto"/>
        <w:outlineLvl w:val="9"/>
        <w:rPr>
          <w:rFonts w:hint="default"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 xml:space="preserve">卢火青  区城市管理综合执法大队大队长 </w:t>
      </w:r>
    </w:p>
    <w:p w14:paraId="7C683367">
      <w:pPr>
        <w:widowControl w:val="0"/>
        <w:wordWrap/>
        <w:spacing w:line="560" w:lineRule="exact"/>
        <w:ind w:right="0"/>
        <w:jc w:val="both"/>
        <w:textAlignment w:val="auto"/>
        <w:outlineLvl w:val="9"/>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曹  扬  区城市管理综合执法大队办公室负责人</w:t>
      </w:r>
    </w:p>
    <w:p w14:paraId="1DA021B1">
      <w:pPr>
        <w:widowControl w:val="0"/>
        <w:wordWrap/>
        <w:spacing w:line="560" w:lineRule="exact"/>
        <w:ind w:left="0" w:leftChars="0" w:right="0"/>
        <w:jc w:val="both"/>
        <w:textAlignment w:val="auto"/>
        <w:outlineLvl w:val="9"/>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白日明  区城市管理综合执法大队市容维护股负责人</w:t>
      </w:r>
    </w:p>
    <w:p w14:paraId="4430E7FA">
      <w:pPr>
        <w:widowControl w:val="0"/>
        <w:wordWrap/>
        <w:spacing w:line="560" w:lineRule="exact"/>
        <w:ind w:left="0" w:leftChars="0" w:right="0"/>
        <w:jc w:val="both"/>
        <w:textAlignment w:val="auto"/>
        <w:outlineLvl w:val="9"/>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杜晓玲  区城镇服务管理中心负责人</w:t>
      </w:r>
    </w:p>
    <w:p w14:paraId="546C511D">
      <w:pPr>
        <w:widowControl w:val="0"/>
        <w:wordWrap/>
        <w:spacing w:line="560" w:lineRule="exact"/>
        <w:ind w:left="0" w:leftChars="0" w:right="0"/>
        <w:jc w:val="both"/>
        <w:textAlignment w:val="auto"/>
        <w:outlineLvl w:val="9"/>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李  博  区环境卫生管护中心负责人</w:t>
      </w:r>
    </w:p>
    <w:p w14:paraId="012F5CB6">
      <w:pPr>
        <w:widowControl w:val="0"/>
        <w:wordWrap/>
        <w:spacing w:line="560" w:lineRule="exact"/>
        <w:ind w:left="0" w:leftChars="0" w:right="0"/>
        <w:jc w:val="both"/>
        <w:textAlignment w:val="auto"/>
        <w:outlineLvl w:val="9"/>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张铁成  区城乡卫生管护中心负责人</w:t>
      </w:r>
    </w:p>
    <w:p w14:paraId="74D48E14">
      <w:pPr>
        <w:bidi w:val="0"/>
        <w:rPr>
          <w:rFonts w:hint="eastAsia" w:ascii="Calibri" w:hAnsi="Calibri" w:eastAsia="宋体" w:cs="黑体"/>
          <w:kern w:val="2"/>
          <w:sz w:val="21"/>
          <w:szCs w:val="22"/>
          <w:lang w:val="en-US" w:eastAsia="zh-CN" w:bidi="ar-SA"/>
        </w:rPr>
      </w:pPr>
    </w:p>
    <w:p w14:paraId="33F84DF4">
      <w:pPr>
        <w:bidi w:val="0"/>
        <w:rPr>
          <w:rFonts w:hint="eastAsia"/>
          <w:lang w:val="en-US" w:eastAsia="zh-CN"/>
        </w:rPr>
      </w:pPr>
    </w:p>
    <w:p w14:paraId="21D7BCEC">
      <w:pPr>
        <w:bidi w:val="0"/>
        <w:rPr>
          <w:rFonts w:hint="eastAsia"/>
          <w:lang w:val="en-US" w:eastAsia="zh-CN"/>
        </w:rPr>
      </w:pPr>
    </w:p>
    <w:p w14:paraId="5ED19F0A">
      <w:pPr>
        <w:bidi w:val="0"/>
        <w:rPr>
          <w:rFonts w:hint="eastAsia"/>
          <w:lang w:val="en-US" w:eastAsia="zh-CN"/>
        </w:rPr>
      </w:pPr>
    </w:p>
    <w:p w14:paraId="78E61BD3">
      <w:pPr>
        <w:bidi w:val="0"/>
        <w:rPr>
          <w:rFonts w:hint="eastAsia"/>
          <w:lang w:val="en-US" w:eastAsia="zh-CN"/>
        </w:rPr>
      </w:pPr>
    </w:p>
    <w:p w14:paraId="256C40F8">
      <w:pPr>
        <w:bidi w:val="0"/>
        <w:rPr>
          <w:rFonts w:hint="eastAsia"/>
          <w:lang w:val="en-US" w:eastAsia="zh-CN"/>
        </w:rPr>
      </w:pPr>
    </w:p>
    <w:p w14:paraId="06A9209B">
      <w:pPr>
        <w:bidi w:val="0"/>
        <w:rPr>
          <w:rFonts w:hint="eastAsia"/>
          <w:lang w:val="en-US" w:eastAsia="zh-CN"/>
        </w:rPr>
      </w:pPr>
    </w:p>
    <w:p w14:paraId="1BC28D78">
      <w:pPr>
        <w:bidi w:val="0"/>
        <w:rPr>
          <w:rFonts w:hint="default"/>
          <w:lang w:val="en-US" w:eastAsia="zh-CN"/>
        </w:rPr>
      </w:pPr>
      <w:r>
        <w:rPr>
          <w:rFonts w:hint="eastAsia"/>
          <w:lang w:val="en-US" w:eastAsia="zh-CN"/>
        </w:rPr>
        <w:t xml:space="preserve"> </w:t>
      </w:r>
    </w:p>
    <w:p w14:paraId="41563611">
      <w:pPr>
        <w:bidi w:val="0"/>
        <w:rPr>
          <w:rFonts w:hint="eastAsia"/>
          <w:lang w:val="en-US" w:eastAsia="zh-CN"/>
        </w:rPr>
      </w:pPr>
    </w:p>
    <w:p w14:paraId="0ADEF611">
      <w:pPr>
        <w:bidi w:val="0"/>
        <w:rPr>
          <w:rFonts w:hint="eastAsia"/>
          <w:lang w:val="en-US" w:eastAsia="zh-CN"/>
        </w:rPr>
      </w:pPr>
    </w:p>
    <w:p w14:paraId="59B67F4F">
      <w:pPr>
        <w:widowControl w:val="0"/>
        <w:wordWrap/>
        <w:spacing w:line="560" w:lineRule="exact"/>
        <w:ind w:left="0" w:leftChars="0" w:right="0"/>
        <w:jc w:val="both"/>
        <w:textAlignment w:val="auto"/>
        <w:outlineLvl w:val="9"/>
        <w:rPr>
          <w:rFonts w:hint="default"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 xml:space="preserve">                                  2026年4月29日</w:t>
      </w:r>
    </w:p>
    <w:sectPr>
      <w:footerReference r:id="rId3" w:type="default"/>
      <w:pgSz w:w="11906" w:h="16838"/>
      <w:pgMar w:top="1440" w:right="1474" w:bottom="1440"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A00002EF" w:usb1="4000004B" w:usb2="00000000" w:usb3="00000000" w:csb0="2000009F" w:csb1="00000000"/>
  </w:font>
  <w:font w:name="方正仿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06A5E">
    <w:pPr>
      <w:pStyle w:val="7"/>
    </w:pPr>
    <w:r>
      <w:rPr>
        <w:rFonts w:ascii="Calibri" w:hAnsi="Calibri" w:eastAsia="宋体" w:cs="黑体"/>
        <w:kern w:val="2"/>
        <w:sz w:val="18"/>
        <w:szCs w:val="2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A3096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58A3096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30" w:leftChars="0" w:firstLine="0" w:firstLineChars="0"/>
      </w:pPr>
      <w:rPr>
        <w:rFonts w:hint="eastAsia"/>
      </w:rPr>
    </w:lvl>
  </w:abstractNum>
  <w:abstractNum w:abstractNumId="1">
    <w:nsid w:val="5E68489B"/>
    <w:multiLevelType w:val="singleLevel"/>
    <w:tmpl w:val="5E68489B"/>
    <w:lvl w:ilvl="0" w:tentative="0">
      <w:start w:val="1"/>
      <w:numFmt w:val="chineseCounting"/>
      <w:suff w:val="nothing"/>
      <w:lvlText w:val="（%1）"/>
      <w:lvlJc w:val="left"/>
    </w:lvl>
  </w:abstractNum>
  <w:abstractNum w:abstractNumId="2">
    <w:nsid w:val="77E4B8A6"/>
    <w:multiLevelType w:val="singleLevel"/>
    <w:tmpl w:val="77E4B8A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wZTAzYTFhMjQ3MzgwODE5ZDMxM2IyZWM0YjViOWQifQ=="/>
  </w:docVars>
  <w:rsids>
    <w:rsidRoot w:val="0EBD2122"/>
    <w:rsid w:val="002A1AF8"/>
    <w:rsid w:val="00327C15"/>
    <w:rsid w:val="007E6C1F"/>
    <w:rsid w:val="008E0C60"/>
    <w:rsid w:val="00AF566A"/>
    <w:rsid w:val="00B6553A"/>
    <w:rsid w:val="00D8661A"/>
    <w:rsid w:val="015B7D34"/>
    <w:rsid w:val="01AC7A3C"/>
    <w:rsid w:val="01B104CA"/>
    <w:rsid w:val="02015179"/>
    <w:rsid w:val="02084511"/>
    <w:rsid w:val="02106AB0"/>
    <w:rsid w:val="02B43A28"/>
    <w:rsid w:val="040422FA"/>
    <w:rsid w:val="0405748B"/>
    <w:rsid w:val="04090D29"/>
    <w:rsid w:val="046F331E"/>
    <w:rsid w:val="052D4EEB"/>
    <w:rsid w:val="05504736"/>
    <w:rsid w:val="05D8304A"/>
    <w:rsid w:val="061B7444"/>
    <w:rsid w:val="06487227"/>
    <w:rsid w:val="06ED64DB"/>
    <w:rsid w:val="07060306"/>
    <w:rsid w:val="07956271"/>
    <w:rsid w:val="07990616"/>
    <w:rsid w:val="0875181E"/>
    <w:rsid w:val="08B651F8"/>
    <w:rsid w:val="08C47915"/>
    <w:rsid w:val="097035F9"/>
    <w:rsid w:val="09721397"/>
    <w:rsid w:val="097F55EA"/>
    <w:rsid w:val="09D65B51"/>
    <w:rsid w:val="0A3A0529"/>
    <w:rsid w:val="0A5F5B47"/>
    <w:rsid w:val="0A8E01DA"/>
    <w:rsid w:val="0ABF444C"/>
    <w:rsid w:val="0AD55E09"/>
    <w:rsid w:val="0AE75B3C"/>
    <w:rsid w:val="0AF049F1"/>
    <w:rsid w:val="0B3D575C"/>
    <w:rsid w:val="0B4F3FBF"/>
    <w:rsid w:val="0B762CFB"/>
    <w:rsid w:val="0B9D6DBB"/>
    <w:rsid w:val="0BB63BED"/>
    <w:rsid w:val="0CBF0B1F"/>
    <w:rsid w:val="0CCD48BE"/>
    <w:rsid w:val="0D240982"/>
    <w:rsid w:val="0D862767"/>
    <w:rsid w:val="0EB97A43"/>
    <w:rsid w:val="0EBD2122"/>
    <w:rsid w:val="0EFD592E"/>
    <w:rsid w:val="0F214EAE"/>
    <w:rsid w:val="0F271333"/>
    <w:rsid w:val="0F39623B"/>
    <w:rsid w:val="0F484C3C"/>
    <w:rsid w:val="0F621C35"/>
    <w:rsid w:val="0F9A13CF"/>
    <w:rsid w:val="0FE952E2"/>
    <w:rsid w:val="10EC7A09"/>
    <w:rsid w:val="11B71E6A"/>
    <w:rsid w:val="12A80266"/>
    <w:rsid w:val="13482EF0"/>
    <w:rsid w:val="135B70C7"/>
    <w:rsid w:val="13A80C45"/>
    <w:rsid w:val="140519A8"/>
    <w:rsid w:val="14213E6D"/>
    <w:rsid w:val="14EB7FD7"/>
    <w:rsid w:val="150B04AE"/>
    <w:rsid w:val="165F2A2B"/>
    <w:rsid w:val="16647159"/>
    <w:rsid w:val="167C182F"/>
    <w:rsid w:val="16DE4297"/>
    <w:rsid w:val="175B1444"/>
    <w:rsid w:val="17D80170"/>
    <w:rsid w:val="17DB2585"/>
    <w:rsid w:val="18611220"/>
    <w:rsid w:val="189310B2"/>
    <w:rsid w:val="189E4FA8"/>
    <w:rsid w:val="18CE73C2"/>
    <w:rsid w:val="194242C9"/>
    <w:rsid w:val="19B906A4"/>
    <w:rsid w:val="1A367BC4"/>
    <w:rsid w:val="1A69031C"/>
    <w:rsid w:val="1AAF0063"/>
    <w:rsid w:val="1BAB226E"/>
    <w:rsid w:val="1BE140DE"/>
    <w:rsid w:val="1E2403A5"/>
    <w:rsid w:val="1E5519DC"/>
    <w:rsid w:val="1EDB6610"/>
    <w:rsid w:val="1EDF1969"/>
    <w:rsid w:val="1FC009DE"/>
    <w:rsid w:val="1FF97A4C"/>
    <w:rsid w:val="208E4638"/>
    <w:rsid w:val="20E57935"/>
    <w:rsid w:val="212E7BC9"/>
    <w:rsid w:val="21374CD0"/>
    <w:rsid w:val="2197751D"/>
    <w:rsid w:val="22350AE4"/>
    <w:rsid w:val="22E627AE"/>
    <w:rsid w:val="23160915"/>
    <w:rsid w:val="23256DAA"/>
    <w:rsid w:val="23356FED"/>
    <w:rsid w:val="234A6F0A"/>
    <w:rsid w:val="235D4796"/>
    <w:rsid w:val="2369111C"/>
    <w:rsid w:val="237A0EA4"/>
    <w:rsid w:val="238B17CB"/>
    <w:rsid w:val="238F3497"/>
    <w:rsid w:val="24596D0B"/>
    <w:rsid w:val="248C197D"/>
    <w:rsid w:val="252959AF"/>
    <w:rsid w:val="254774AC"/>
    <w:rsid w:val="25DC4098"/>
    <w:rsid w:val="25E568FD"/>
    <w:rsid w:val="277A6671"/>
    <w:rsid w:val="27C668CE"/>
    <w:rsid w:val="292D35B7"/>
    <w:rsid w:val="2A594280"/>
    <w:rsid w:val="2B4504F9"/>
    <w:rsid w:val="2BD80E5D"/>
    <w:rsid w:val="2C547BE2"/>
    <w:rsid w:val="2CA945A8"/>
    <w:rsid w:val="2CEE05BC"/>
    <w:rsid w:val="2D8527AF"/>
    <w:rsid w:val="2D9779C4"/>
    <w:rsid w:val="2E60513A"/>
    <w:rsid w:val="2E6C2AAC"/>
    <w:rsid w:val="2E840E29"/>
    <w:rsid w:val="2EAC037F"/>
    <w:rsid w:val="2ECC3D8C"/>
    <w:rsid w:val="2F524074"/>
    <w:rsid w:val="303E4D2C"/>
    <w:rsid w:val="31386792"/>
    <w:rsid w:val="31650ED2"/>
    <w:rsid w:val="31797E91"/>
    <w:rsid w:val="31AD0696"/>
    <w:rsid w:val="323D7C6C"/>
    <w:rsid w:val="32D73DD4"/>
    <w:rsid w:val="32ED3FF6"/>
    <w:rsid w:val="33830D44"/>
    <w:rsid w:val="33B4169A"/>
    <w:rsid w:val="33EB6CFF"/>
    <w:rsid w:val="34060532"/>
    <w:rsid w:val="343E1AF4"/>
    <w:rsid w:val="34A5508A"/>
    <w:rsid w:val="34A82278"/>
    <w:rsid w:val="35005FF2"/>
    <w:rsid w:val="359B1A8F"/>
    <w:rsid w:val="35A12947"/>
    <w:rsid w:val="35D73F34"/>
    <w:rsid w:val="360B1E2F"/>
    <w:rsid w:val="368A71F8"/>
    <w:rsid w:val="36AA789A"/>
    <w:rsid w:val="371B6954"/>
    <w:rsid w:val="37387040"/>
    <w:rsid w:val="38290817"/>
    <w:rsid w:val="38712BDA"/>
    <w:rsid w:val="39091573"/>
    <w:rsid w:val="39C649EB"/>
    <w:rsid w:val="3A304D85"/>
    <w:rsid w:val="3A9248CD"/>
    <w:rsid w:val="3ACA4067"/>
    <w:rsid w:val="3ADB5F75"/>
    <w:rsid w:val="3B625C0A"/>
    <w:rsid w:val="3B7F4E52"/>
    <w:rsid w:val="3BD72D16"/>
    <w:rsid w:val="3BDD7DCA"/>
    <w:rsid w:val="3BF82E56"/>
    <w:rsid w:val="3C2C234D"/>
    <w:rsid w:val="3C6329C5"/>
    <w:rsid w:val="3CEE1963"/>
    <w:rsid w:val="3CF14896"/>
    <w:rsid w:val="3D255ECD"/>
    <w:rsid w:val="3D2A34E3"/>
    <w:rsid w:val="3D3341E9"/>
    <w:rsid w:val="3D453E79"/>
    <w:rsid w:val="3D7326BC"/>
    <w:rsid w:val="3EF43DA9"/>
    <w:rsid w:val="3EF71627"/>
    <w:rsid w:val="3FAE669F"/>
    <w:rsid w:val="404734CB"/>
    <w:rsid w:val="408C61C9"/>
    <w:rsid w:val="40907B01"/>
    <w:rsid w:val="40B76E3C"/>
    <w:rsid w:val="41794E5C"/>
    <w:rsid w:val="422E75D1"/>
    <w:rsid w:val="42562684"/>
    <w:rsid w:val="425E25A2"/>
    <w:rsid w:val="42AD6748"/>
    <w:rsid w:val="42F8373B"/>
    <w:rsid w:val="430A50D7"/>
    <w:rsid w:val="4348021F"/>
    <w:rsid w:val="444255B6"/>
    <w:rsid w:val="44A1408B"/>
    <w:rsid w:val="44F610D5"/>
    <w:rsid w:val="45F91CA4"/>
    <w:rsid w:val="46F3302B"/>
    <w:rsid w:val="47940AD4"/>
    <w:rsid w:val="48875B82"/>
    <w:rsid w:val="49802A68"/>
    <w:rsid w:val="499D1898"/>
    <w:rsid w:val="49F41101"/>
    <w:rsid w:val="4A5945B0"/>
    <w:rsid w:val="4B3C22C5"/>
    <w:rsid w:val="4B6226D4"/>
    <w:rsid w:val="4B6776B0"/>
    <w:rsid w:val="4BF47196"/>
    <w:rsid w:val="4C32019E"/>
    <w:rsid w:val="4C577725"/>
    <w:rsid w:val="4C7E4CB1"/>
    <w:rsid w:val="4C83051A"/>
    <w:rsid w:val="4C854292"/>
    <w:rsid w:val="4C9C27FE"/>
    <w:rsid w:val="4CFD68C7"/>
    <w:rsid w:val="4D0618B7"/>
    <w:rsid w:val="4DAC04FB"/>
    <w:rsid w:val="4DC4528E"/>
    <w:rsid w:val="4E1753BE"/>
    <w:rsid w:val="4E597784"/>
    <w:rsid w:val="4EAB5A92"/>
    <w:rsid w:val="4F012458"/>
    <w:rsid w:val="4F1F09CE"/>
    <w:rsid w:val="4F2F6737"/>
    <w:rsid w:val="4F4A63AC"/>
    <w:rsid w:val="4F754A92"/>
    <w:rsid w:val="4F8B5CB3"/>
    <w:rsid w:val="4F932C30"/>
    <w:rsid w:val="4FE85264"/>
    <w:rsid w:val="50B43398"/>
    <w:rsid w:val="512260B4"/>
    <w:rsid w:val="52674C2F"/>
    <w:rsid w:val="526F57C8"/>
    <w:rsid w:val="527032EE"/>
    <w:rsid w:val="52BD6ACB"/>
    <w:rsid w:val="52DD71A3"/>
    <w:rsid w:val="536307AB"/>
    <w:rsid w:val="538434F5"/>
    <w:rsid w:val="53D22211"/>
    <w:rsid w:val="54C97AC2"/>
    <w:rsid w:val="550467E4"/>
    <w:rsid w:val="55537534"/>
    <w:rsid w:val="555F106D"/>
    <w:rsid w:val="556A671B"/>
    <w:rsid w:val="55C61934"/>
    <w:rsid w:val="56024BA5"/>
    <w:rsid w:val="561A74F1"/>
    <w:rsid w:val="56660C3A"/>
    <w:rsid w:val="571A2823"/>
    <w:rsid w:val="57666F12"/>
    <w:rsid w:val="58156E12"/>
    <w:rsid w:val="58584F50"/>
    <w:rsid w:val="58A957AC"/>
    <w:rsid w:val="58D77C23"/>
    <w:rsid w:val="59647A7A"/>
    <w:rsid w:val="597244E8"/>
    <w:rsid w:val="59743C4A"/>
    <w:rsid w:val="5987789B"/>
    <w:rsid w:val="59A6630F"/>
    <w:rsid w:val="59E412A7"/>
    <w:rsid w:val="5A0E009E"/>
    <w:rsid w:val="5A2A2324"/>
    <w:rsid w:val="5ACF3EE3"/>
    <w:rsid w:val="5B37709F"/>
    <w:rsid w:val="5B4F13DC"/>
    <w:rsid w:val="5BB035BF"/>
    <w:rsid w:val="5BB2049C"/>
    <w:rsid w:val="5C007491"/>
    <w:rsid w:val="5CC3684F"/>
    <w:rsid w:val="5D0C00B7"/>
    <w:rsid w:val="5D7E59E4"/>
    <w:rsid w:val="5DE40447"/>
    <w:rsid w:val="5DFD41C0"/>
    <w:rsid w:val="5EA52305"/>
    <w:rsid w:val="5EB71C30"/>
    <w:rsid w:val="5F230066"/>
    <w:rsid w:val="5F393A8D"/>
    <w:rsid w:val="5F3A53B0"/>
    <w:rsid w:val="5FF4730D"/>
    <w:rsid w:val="600A4D82"/>
    <w:rsid w:val="606244F2"/>
    <w:rsid w:val="618E35B8"/>
    <w:rsid w:val="61C63C89"/>
    <w:rsid w:val="624A7A12"/>
    <w:rsid w:val="62B1691A"/>
    <w:rsid w:val="62DD22DA"/>
    <w:rsid w:val="6300246C"/>
    <w:rsid w:val="63901A42"/>
    <w:rsid w:val="64022AFF"/>
    <w:rsid w:val="64CD26C7"/>
    <w:rsid w:val="654C1999"/>
    <w:rsid w:val="65895139"/>
    <w:rsid w:val="65F20792"/>
    <w:rsid w:val="66067D9A"/>
    <w:rsid w:val="66A03D4A"/>
    <w:rsid w:val="66AF0CE5"/>
    <w:rsid w:val="671D183F"/>
    <w:rsid w:val="67EC1211"/>
    <w:rsid w:val="683F7593"/>
    <w:rsid w:val="685C0145"/>
    <w:rsid w:val="68EB7ABC"/>
    <w:rsid w:val="699102C2"/>
    <w:rsid w:val="699403F0"/>
    <w:rsid w:val="6A470981"/>
    <w:rsid w:val="6A837C0B"/>
    <w:rsid w:val="6AC537CF"/>
    <w:rsid w:val="6AD229EA"/>
    <w:rsid w:val="6C2E004A"/>
    <w:rsid w:val="6C9854C4"/>
    <w:rsid w:val="6D57712D"/>
    <w:rsid w:val="6E42258C"/>
    <w:rsid w:val="6E5B14A6"/>
    <w:rsid w:val="6E7D2BC3"/>
    <w:rsid w:val="6F4D6275"/>
    <w:rsid w:val="6F5778B8"/>
    <w:rsid w:val="711B255E"/>
    <w:rsid w:val="713A71FE"/>
    <w:rsid w:val="71557E27"/>
    <w:rsid w:val="71BD2F0F"/>
    <w:rsid w:val="71D60F68"/>
    <w:rsid w:val="72061263"/>
    <w:rsid w:val="72255A4C"/>
    <w:rsid w:val="7317199D"/>
    <w:rsid w:val="74406B6D"/>
    <w:rsid w:val="749E58B9"/>
    <w:rsid w:val="74C36E94"/>
    <w:rsid w:val="74E24654"/>
    <w:rsid w:val="7722255A"/>
    <w:rsid w:val="77CE3C71"/>
    <w:rsid w:val="78AA0A59"/>
    <w:rsid w:val="790068CB"/>
    <w:rsid w:val="792B62BB"/>
    <w:rsid w:val="7A106FE1"/>
    <w:rsid w:val="7A2621AB"/>
    <w:rsid w:val="7B60375F"/>
    <w:rsid w:val="7BA67BFD"/>
    <w:rsid w:val="7BB51E06"/>
    <w:rsid w:val="7C387F7C"/>
    <w:rsid w:val="7C471499"/>
    <w:rsid w:val="7C536964"/>
    <w:rsid w:val="7CC320E9"/>
    <w:rsid w:val="7D1C4B07"/>
    <w:rsid w:val="7DE91C72"/>
    <w:rsid w:val="7E9A50CB"/>
    <w:rsid w:val="7EA45F4A"/>
    <w:rsid w:val="7FD36AE7"/>
    <w:rsid w:val="7FE8342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400" w:lineRule="exact"/>
      <w:jc w:val="center"/>
    </w:pPr>
    <w:rPr>
      <w:sz w:val="24"/>
    </w:rPr>
  </w:style>
  <w:style w:type="paragraph" w:customStyle="1" w:styleId="3">
    <w:name w:val="正文部分 Char Char Char"/>
    <w:basedOn w:val="2"/>
    <w:next w:val="4"/>
    <w:qFormat/>
    <w:uiPriority w:val="0"/>
    <w:pPr>
      <w:adjustRightInd w:val="0"/>
      <w:spacing w:line="460" w:lineRule="exact"/>
      <w:textAlignment w:val="baseline"/>
    </w:pPr>
    <w:rPr>
      <w:rFonts w:hAnsi="Calibri"/>
      <w:sz w:val="24"/>
    </w:rPr>
  </w:style>
  <w:style w:type="paragraph" w:customStyle="1" w:styleId="4">
    <w:name w:val="章标题"/>
    <w:basedOn w:val="5"/>
    <w:qFormat/>
    <w:uiPriority w:val="0"/>
    <w:pPr>
      <w:spacing w:line="360" w:lineRule="auto"/>
    </w:pPr>
  </w:style>
  <w:style w:type="paragraph" w:styleId="5">
    <w:name w:val="Title"/>
    <w:basedOn w:val="1"/>
    <w:next w:val="1"/>
    <w:qFormat/>
    <w:uiPriority w:val="10"/>
    <w:pPr>
      <w:spacing w:before="240" w:after="60"/>
      <w:jc w:val="center"/>
      <w:outlineLvl w:val="0"/>
    </w:pPr>
    <w:rPr>
      <w:rFonts w:ascii="Cambria" w:hAnsi="Cambria"/>
      <w:b/>
      <w:bCs/>
      <w:kern w:val="0"/>
      <w:sz w:val="32"/>
      <w:szCs w:val="32"/>
    </w:rPr>
  </w:style>
  <w:style w:type="paragraph" w:styleId="6">
    <w:name w:val="Body Text Indent"/>
    <w:basedOn w:val="1"/>
    <w:link w:val="20"/>
    <w:qFormat/>
    <w:uiPriority w:val="0"/>
    <w:pPr>
      <w:spacing w:line="360" w:lineRule="auto"/>
      <w:ind w:firstLine="200" w:firstLineChars="200"/>
      <w:textAlignment w:val="baseline"/>
    </w:pPr>
    <w:rPr>
      <w:rFonts w:hint="eastAsia" w:ascii="Times New Roman" w:hAnsi="Times New Roman" w:eastAsia="宋体" w:cs="Times New Roman"/>
      <w:sz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qFormat/>
    <w:uiPriority w:val="0"/>
    <w:pPr>
      <w:ind w:firstLine="420"/>
    </w:pPr>
    <w:rPr>
      <w:rFonts w:ascii="Times New Roman" w:hAnsi="Times New Roman" w:eastAsia="宋体" w:cs="Times New Roman"/>
    </w:rPr>
  </w:style>
  <w:style w:type="table" w:styleId="12">
    <w:name w:val="Table Grid"/>
    <w:basedOn w:val="11"/>
    <w:qFormat/>
    <w:uiPriority w:val="0"/>
    <w:rPr>
      <w:rFonts w:cs="Calibri"/>
      <w:kern w:val="0"/>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4">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无间隔1"/>
    <w:basedOn w:val="1"/>
    <w:qFormat/>
    <w:uiPriority w:val="0"/>
    <w:rPr>
      <w:rFonts w:ascii="宋体" w:hAnsi="宋体" w:eastAsia="仿宋_GB2312"/>
      <w:sz w:val="32"/>
      <w:szCs w:val="32"/>
    </w:rPr>
  </w:style>
  <w:style w:type="character" w:customStyle="1" w:styleId="20">
    <w:name w:val="正文文本缩进 Char"/>
    <w:link w:val="6"/>
    <w:qFormat/>
    <w:uiPriority w:val="0"/>
    <w:rPr>
      <w:rFonts w:hint="eastAsia" w:ascii="Times New Roman" w:hAnsi="Times New Roman" w:eastAsia="宋体" w:cs="Times New Roman"/>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5586</Words>
  <Characters>5883</Characters>
  <Lines>7</Lines>
  <Paragraphs>2</Paragraphs>
  <TotalTime>164</TotalTime>
  <ScaleCrop>false</ScaleCrop>
  <LinksUpToDate>false</LinksUpToDate>
  <CharactersWithSpaces>5952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薛峰</cp:lastModifiedBy>
  <cp:lastPrinted>2026-04-22T01:37:00Z</cp:lastPrinted>
  <dcterms:modified xsi:type="dcterms:W3CDTF">2026-10-21T08:15:21Z</dcterms:modified>
  <dc:title>附件3：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A0F2695490CD4B16A991011DB805B6B4_12</vt:lpwstr>
  </property>
  <property fmtid="{D5CDD505-2E9C-101B-9397-08002B2CF9AE}" pid="4" name="KSOTemplateDocerSaveRecord">
    <vt:lpwstr>eyJoZGlkIjoiMmJhMTE1ZTM4ODA0YTUyYWY5NmQ2ZTY0NTExYWU5MmUiLCJ1c2VySWQiOiIxNzQ5NjQyNDczIn0=</vt:lpwstr>
  </property>
</Properties>
</file>