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石家庄市鹿泉区投资促进局(本级)</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321001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2D77F9CE">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石家庄市鹿泉区投资促进局(本级)</w:t>
      </w:r>
    </w:p>
    <w:p w14:paraId="633AB60D">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5618E7DA">
      <w:pPr>
        <w:widowControl/>
        <w:spacing w:before="0" w:beforeLines="0" w:beforeAutospacing="0" w:after="0" w:afterLines="0" w:afterAutospacing="0" w:line="360" w:lineRule="auto"/>
        <w:jc w:val="center"/>
        <w:rPr>
          <w:rFonts w:ascii="Times New Roman" w:eastAsia="楷体_GB2312"/>
          <w:b w:val="0"/>
          <w:sz w:val="44"/>
          <w:szCs w:val="44"/>
        </w:rPr>
      </w:pPr>
      <w:r>
        <w:rPr>
          <w:rFonts w:ascii="Times New Roman" w:eastAsia="楷体_GB2312"/>
          <w:b w:val="0"/>
          <w:sz w:val="44"/>
          <w:szCs w:val="44"/>
        </w:rPr>
        <w:t>石家庄市鹿泉区投资促进局</w:t>
      </w:r>
    </w:p>
    <w:p w14:paraId="0C6E1030">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63F9B87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72A51DE1">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28ADC16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67BBB66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4E03435A">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6EDF6FE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2FC3948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17E042E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53427C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167F4CC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5C4231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51F4A7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5BDA213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7DAE45E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5619F327">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117D01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7CA0E68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286FE30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4009332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2C2806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5E2747D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1FB8719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4C1FEAD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3867C2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3D63905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76CDA221">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B0170E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58034D76">
      <w:pPr>
        <w:widowControl/>
        <w:numPr>
          <w:ilvl w:val="0"/>
          <w:numId w:val="2"/>
        </w:numPr>
        <w:spacing w:before="0" w:beforeLines="0" w:beforeAutospacing="0" w:after="0" w:afterLines="0" w:afterAutospacing="0" w:line="360" w:lineRule="auto"/>
        <w:jc w:val="left"/>
        <w:outlineLvl w:val="1"/>
        <w:rPr>
          <w:rFonts w:ascii="Times New Roman" w:eastAsia="黑体"/>
          <w:b w:val="0"/>
          <w:sz w:val="32"/>
          <w:szCs w:val="32"/>
        </w:rPr>
      </w:pPr>
      <w:r>
        <w:rPr>
          <w:rFonts w:ascii="Times New Roman" w:eastAsia="黑体"/>
          <w:b w:val="0"/>
          <w:sz w:val="32"/>
          <w:szCs w:val="32"/>
        </w:rPr>
        <w:t>单位职责</w:t>
      </w:r>
    </w:p>
    <w:p w14:paraId="1EE4A878">
      <w:pPr>
        <w:numPr>
          <w:ilvl w:val="0"/>
          <w:numId w:val="3"/>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负责拟订招商引资、利用外资、区域协作、开发区管理中长期发展规划、年度计划并组织实施；贯彻落实投资促进方面地方性法规、政府规章，研究拟订投资促进政策。</w:t>
      </w:r>
    </w:p>
    <w:p w14:paraId="51B61407">
      <w:pPr>
        <w:numPr>
          <w:ilvl w:val="0"/>
          <w:numId w:val="3"/>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负责建立投资促进工作体系、工作机制，对利用国内外资金和经济技术合作、开发区发展情况进行统计、汇总、分析。 </w:t>
      </w:r>
    </w:p>
    <w:p w14:paraId="315CAAA7">
      <w:pPr>
        <w:numPr>
          <w:ilvl w:val="0"/>
          <w:numId w:val="3"/>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负责促进资金、技术、人才、项目引进和产业对接，争取招商引资相关政策、资金和项目支持。 </w:t>
      </w:r>
    </w:p>
    <w:p w14:paraId="572A515A">
      <w:pPr>
        <w:numPr>
          <w:ilvl w:val="0"/>
          <w:numId w:val="3"/>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负责投资环境营销和宣传推广，负责重点区域、重点工作，建立项目库。</w:t>
      </w:r>
    </w:p>
    <w:p w14:paraId="552E6B3C">
      <w:pPr>
        <w:numPr>
          <w:ilvl w:val="0"/>
          <w:numId w:val="3"/>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负责国 (境) 内外重大投资促进活动的谋划、方案制定和组织实施；牵头组织专业性、行业性投资促进活动；指导协调各乡镇和开发区 (园区) 开展招商活动。 </w:t>
      </w:r>
    </w:p>
    <w:p w14:paraId="3959F021">
      <w:pPr>
        <w:numPr>
          <w:ilvl w:val="0"/>
          <w:numId w:val="3"/>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负责与国 (境) 内外大集团、大企业合作及引进重大招商引资项目洽谈、签约、选址、流转的统筹和协调，规范招商引资产业布局和秩序，协调处理有关问题；负责利用国内外资金项目洽谈、签约工作的组织、指导、协调、调度，负责签约项目的履约落实。 </w:t>
      </w:r>
    </w:p>
    <w:p w14:paraId="03DE7D9F">
      <w:pPr>
        <w:numPr>
          <w:ilvl w:val="0"/>
          <w:numId w:val="3"/>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负责对国 (境) 内外重要客户的联络拓展、重要团组和客户来访考察、洽谈的组织。</w:t>
      </w:r>
    </w:p>
    <w:p w14:paraId="14FF597A">
      <w:pPr>
        <w:numPr>
          <w:ilvl w:val="0"/>
          <w:numId w:val="3"/>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组织和促进委托招商、代理招商、中介招商、专业招商、网上招商等多种形式的招商活动，制订并落实奖励政策；加强招商引资专业人才队伍建设。</w:t>
      </w:r>
    </w:p>
    <w:p w14:paraId="0DE81AA4">
      <w:pPr>
        <w:numPr>
          <w:ilvl w:val="0"/>
          <w:numId w:val="3"/>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负责引进央企资金、项目及各项合作，促进合作项目的建设，负责为央企服务工作；负责外商投资项目建设的跟踪、(园区) 建立、升级、扩区工作，指导经济开发区 (园区) 建设、招商引资和体制、机制创新，负责对经济开发区 (园区) 招商引资工作的调度，协助做好经济开发区 (园区) 绩效评估、考核认定工作。 </w:t>
      </w:r>
    </w:p>
    <w:p w14:paraId="23A920B0">
      <w:pPr>
        <w:numPr>
          <w:ilvl w:val="0"/>
          <w:numId w:val="3"/>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负责指导全区经济技术交流与经济技术合作工作；负责区域间资金、项目、人才、科技成果及产业合作工作，开展与省外重点大专院校、科研院所合作；负责区所、区校科研合作开发资金的监督管理工作。</w:t>
      </w:r>
    </w:p>
    <w:p w14:paraId="5097F68B">
      <w:pPr>
        <w:numPr>
          <w:ilvl w:val="0"/>
          <w:numId w:val="3"/>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负责经济开发（园区）管理工作，负责经济开发区（园区）建立、升级、扩区工作，知道经济开发区（园区）建设、招商引资和体制、机制创新，负责对经济开发区（园区）招商引资工作的调度，协助做好经济开发区（园区）绩效评估、考核认定工作。</w:t>
      </w:r>
    </w:p>
    <w:p w14:paraId="64A4305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1C286187">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7715C28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石家庄市鹿泉区投资促进局(本级)</w:t>
            </w:r>
          </w:p>
        </w:tc>
        <w:tc>
          <w:tcPr>
            <w:tcW w:w="2445" w:type="dxa"/>
          </w:tcPr>
          <w:p w14:paraId="2E44318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行政单位</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4F2D84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部门（单位）：石家庄市鹿泉区投资促进局(本级)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833.29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655.47</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24.95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80.00</w:t>
            </w: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39.44</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20.15</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38.23</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24.95</w:t>
            </w: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858.24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858.24</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858.24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858.24</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部门（单位）：石家庄市鹿泉区投资促进局(本级)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858.24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858.24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655.47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655.47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0AD9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C5EC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76B6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商贸事务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85E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655.47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8AD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655.47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3FE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2C4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897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C06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8B2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3615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C87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A58B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5C6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378.66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820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378.66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ECA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A5A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FF4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CB7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891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411B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FF3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7398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78B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151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D82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174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097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597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43F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0D65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7541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5BB3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招商引资</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512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228.32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E99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228.32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769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0C7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51C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9BF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13D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5FA5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5727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AF7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325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1C1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E5AF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AE6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BA4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50A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0E6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8CB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A45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4D0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技术研究与开发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EAE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429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B4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78A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83C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AA6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63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BDEA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D2FF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2060499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513E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其他技术研究与开发支出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CE1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924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75B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E32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43C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38D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893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D7A3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EFC2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8FFD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534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981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E30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7F8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561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76D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59C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B322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FBB6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3639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CE6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EA1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A6E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75F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328F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8A8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0B4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15E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EB44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C43B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18B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FD6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A50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78F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BA6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2F0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57C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2581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0F54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9AEE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E85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653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B7B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C2C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3BF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330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468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5DF9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5824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DA3F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29B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CFD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B85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877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57F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6D9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68C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48B6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CE93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146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A5E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A23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603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717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5D8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FE6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216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7CC1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8F9D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9EFF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30E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199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844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140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3B0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2BB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C82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174E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9BD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D059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538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7B5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501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D40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7E0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D1B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D4C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4D4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CBDD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2C26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A75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61A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E14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381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126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8AD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5A1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717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70A2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CEAE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A33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B79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8D9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50B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04B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46E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084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AA8A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EC58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62BE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D96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DC6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C8D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53A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E60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045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7D6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0911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68B4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C194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A2B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7C3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3CA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7B8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457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666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DE4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部门（单位）：石家庄市鹿泉区投资促进局(本级)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858.24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476.48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381.76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655.47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378.66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321A4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18A8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B64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商贸事务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C5C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655.47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6A4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378.66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757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64F5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BAB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F8511">
            <w:pPr>
              <w:jc w:val="right"/>
              <w:rPr>
                <w:rFonts w:hint="default" w:ascii="Times New Roman" w:hAnsi="Times New Roman" w:eastAsia="宋体" w:cs="Times New Roman"/>
                <w:i w:val="0"/>
                <w:iCs w:val="0"/>
                <w:color w:val="000000"/>
                <w:sz w:val="20"/>
                <w:szCs w:val="20"/>
                <w:highlight w:val="none"/>
                <w:u w:val="none"/>
              </w:rPr>
            </w:pPr>
          </w:p>
        </w:tc>
      </w:tr>
      <w:tr w14:paraId="747C3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3D6D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A497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1FD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378.66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308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378.66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7093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03FC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BE67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131CD">
            <w:pPr>
              <w:jc w:val="right"/>
              <w:rPr>
                <w:rFonts w:hint="default" w:ascii="Times New Roman" w:hAnsi="Times New Roman" w:eastAsia="宋体" w:cs="Times New Roman"/>
                <w:i w:val="0"/>
                <w:iCs w:val="0"/>
                <w:color w:val="000000"/>
                <w:sz w:val="20"/>
                <w:szCs w:val="20"/>
                <w:highlight w:val="none"/>
                <w:u w:val="none"/>
              </w:rPr>
            </w:pPr>
          </w:p>
        </w:tc>
      </w:tr>
      <w:tr w14:paraId="43F0A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69B9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E0A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34E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6F7A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75D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CC44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E085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19F7F">
            <w:pPr>
              <w:jc w:val="right"/>
              <w:rPr>
                <w:rFonts w:hint="default" w:ascii="Times New Roman" w:hAnsi="Times New Roman" w:eastAsia="宋体" w:cs="Times New Roman"/>
                <w:i w:val="0"/>
                <w:iCs w:val="0"/>
                <w:color w:val="000000"/>
                <w:sz w:val="20"/>
                <w:szCs w:val="20"/>
                <w:highlight w:val="none"/>
                <w:u w:val="none"/>
              </w:rPr>
            </w:pPr>
          </w:p>
        </w:tc>
      </w:tr>
      <w:tr w14:paraId="469C8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A3F5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AEAC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招商引资</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5AD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1942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F37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FFFE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149A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83185">
            <w:pPr>
              <w:jc w:val="right"/>
              <w:rPr>
                <w:rFonts w:hint="default" w:ascii="Times New Roman" w:hAnsi="Times New Roman" w:eastAsia="宋体" w:cs="Times New Roman"/>
                <w:i w:val="0"/>
                <w:iCs w:val="0"/>
                <w:color w:val="000000"/>
                <w:sz w:val="20"/>
                <w:szCs w:val="20"/>
                <w:highlight w:val="none"/>
                <w:u w:val="none"/>
              </w:rPr>
            </w:pPr>
          </w:p>
        </w:tc>
      </w:tr>
      <w:tr w14:paraId="3F060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7393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50F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E16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0003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623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ACE9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8380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A6963">
            <w:pPr>
              <w:jc w:val="right"/>
              <w:rPr>
                <w:rFonts w:hint="default" w:ascii="Times New Roman" w:hAnsi="Times New Roman" w:eastAsia="宋体" w:cs="Times New Roman"/>
                <w:i w:val="0"/>
                <w:iCs w:val="0"/>
                <w:color w:val="000000"/>
                <w:sz w:val="20"/>
                <w:szCs w:val="20"/>
                <w:highlight w:val="none"/>
                <w:u w:val="none"/>
              </w:rPr>
            </w:pPr>
          </w:p>
        </w:tc>
      </w:tr>
      <w:tr w14:paraId="03579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718D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866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技术研究与开发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972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4F43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195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AFB4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BD60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C46CA">
            <w:pPr>
              <w:jc w:val="right"/>
              <w:rPr>
                <w:rFonts w:hint="default" w:ascii="Times New Roman" w:hAnsi="Times New Roman" w:eastAsia="宋体" w:cs="Times New Roman"/>
                <w:i w:val="0"/>
                <w:iCs w:val="0"/>
                <w:color w:val="000000"/>
                <w:sz w:val="20"/>
                <w:szCs w:val="20"/>
                <w:highlight w:val="none"/>
                <w:u w:val="none"/>
              </w:rPr>
            </w:pPr>
          </w:p>
        </w:tc>
      </w:tr>
      <w:tr w14:paraId="5B243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B993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723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其他技术研究与开发支出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D4F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4A08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ACD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E656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E28A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19AE2">
            <w:pPr>
              <w:jc w:val="right"/>
              <w:rPr>
                <w:rFonts w:hint="default" w:ascii="Times New Roman" w:hAnsi="Times New Roman" w:eastAsia="宋体" w:cs="Times New Roman"/>
                <w:i w:val="0"/>
                <w:iCs w:val="0"/>
                <w:color w:val="000000"/>
                <w:sz w:val="20"/>
                <w:szCs w:val="20"/>
                <w:highlight w:val="none"/>
                <w:u w:val="none"/>
              </w:rPr>
            </w:pPr>
          </w:p>
        </w:tc>
      </w:tr>
      <w:tr w14:paraId="78FC7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935C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32D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47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FC7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A3A8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4A05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3611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EA14B">
            <w:pPr>
              <w:jc w:val="right"/>
              <w:rPr>
                <w:rFonts w:hint="default" w:ascii="Times New Roman" w:hAnsi="Times New Roman" w:eastAsia="宋体" w:cs="Times New Roman"/>
                <w:i w:val="0"/>
                <w:iCs w:val="0"/>
                <w:color w:val="000000"/>
                <w:sz w:val="20"/>
                <w:szCs w:val="20"/>
                <w:highlight w:val="none"/>
                <w:u w:val="none"/>
              </w:rPr>
            </w:pPr>
          </w:p>
        </w:tc>
      </w:tr>
      <w:tr w14:paraId="08240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A1A3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D64A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B18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959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4F79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E353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491B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24269">
            <w:pPr>
              <w:jc w:val="right"/>
              <w:rPr>
                <w:rFonts w:hint="default" w:ascii="Times New Roman" w:hAnsi="Times New Roman" w:eastAsia="宋体" w:cs="Times New Roman"/>
                <w:i w:val="0"/>
                <w:iCs w:val="0"/>
                <w:color w:val="000000"/>
                <w:sz w:val="20"/>
                <w:szCs w:val="20"/>
                <w:highlight w:val="none"/>
                <w:u w:val="none"/>
              </w:rPr>
            </w:pPr>
          </w:p>
        </w:tc>
      </w:tr>
      <w:tr w14:paraId="4B4D2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7FC1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E09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B7E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D33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E51F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78CD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812D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8D689">
            <w:pPr>
              <w:jc w:val="right"/>
              <w:rPr>
                <w:rFonts w:hint="default" w:ascii="Times New Roman" w:hAnsi="Times New Roman" w:eastAsia="宋体" w:cs="Times New Roman"/>
                <w:i w:val="0"/>
                <w:iCs w:val="0"/>
                <w:color w:val="000000"/>
                <w:sz w:val="20"/>
                <w:szCs w:val="20"/>
                <w:highlight w:val="none"/>
                <w:u w:val="none"/>
              </w:rPr>
            </w:pPr>
          </w:p>
        </w:tc>
      </w:tr>
      <w:tr w14:paraId="2D0F3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C23B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BEE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27B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B41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A6D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307C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CB61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ED72A">
            <w:pPr>
              <w:jc w:val="right"/>
              <w:rPr>
                <w:rFonts w:hint="default" w:ascii="Times New Roman" w:hAnsi="Times New Roman" w:eastAsia="宋体" w:cs="Times New Roman"/>
                <w:i w:val="0"/>
                <w:iCs w:val="0"/>
                <w:color w:val="000000"/>
                <w:sz w:val="20"/>
                <w:szCs w:val="20"/>
                <w:highlight w:val="none"/>
                <w:u w:val="none"/>
              </w:rPr>
            </w:pPr>
          </w:p>
        </w:tc>
      </w:tr>
      <w:tr w14:paraId="05359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698D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C2A5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8A5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01B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4E4F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B334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0DC2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435F6">
            <w:pPr>
              <w:jc w:val="right"/>
              <w:rPr>
                <w:rFonts w:hint="default" w:ascii="Times New Roman" w:hAnsi="Times New Roman" w:eastAsia="宋体" w:cs="Times New Roman"/>
                <w:i w:val="0"/>
                <w:iCs w:val="0"/>
                <w:color w:val="000000"/>
                <w:sz w:val="20"/>
                <w:szCs w:val="20"/>
                <w:highlight w:val="none"/>
                <w:u w:val="none"/>
              </w:rPr>
            </w:pPr>
          </w:p>
        </w:tc>
      </w:tr>
      <w:tr w14:paraId="317DA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4169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0122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751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C91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2B47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23F8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285F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A56B6">
            <w:pPr>
              <w:jc w:val="right"/>
              <w:rPr>
                <w:rFonts w:hint="default" w:ascii="Times New Roman" w:hAnsi="Times New Roman" w:eastAsia="宋体" w:cs="Times New Roman"/>
                <w:i w:val="0"/>
                <w:iCs w:val="0"/>
                <w:color w:val="000000"/>
                <w:sz w:val="20"/>
                <w:szCs w:val="20"/>
                <w:highlight w:val="none"/>
                <w:u w:val="none"/>
              </w:rPr>
            </w:pPr>
          </w:p>
        </w:tc>
      </w:tr>
      <w:tr w14:paraId="5826E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C369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930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2DE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D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38.23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2439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5B8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3FAD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0B12E">
            <w:pPr>
              <w:jc w:val="right"/>
              <w:rPr>
                <w:rFonts w:hint="default" w:ascii="Times New Roman" w:hAnsi="Times New Roman" w:eastAsia="宋体" w:cs="Times New Roman"/>
                <w:i w:val="0"/>
                <w:iCs w:val="0"/>
                <w:color w:val="000000"/>
                <w:sz w:val="20"/>
                <w:szCs w:val="20"/>
                <w:highlight w:val="none"/>
                <w:u w:val="none"/>
              </w:rPr>
            </w:pPr>
          </w:p>
        </w:tc>
      </w:tr>
      <w:tr w14:paraId="3546D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7340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12BC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322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481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38.23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D6D2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B3AB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D35C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96E97">
            <w:pPr>
              <w:jc w:val="right"/>
              <w:rPr>
                <w:rFonts w:hint="default" w:ascii="Times New Roman" w:hAnsi="Times New Roman" w:eastAsia="宋体" w:cs="Times New Roman"/>
                <w:i w:val="0"/>
                <w:iCs w:val="0"/>
                <w:color w:val="000000"/>
                <w:sz w:val="20"/>
                <w:szCs w:val="20"/>
                <w:highlight w:val="none"/>
                <w:u w:val="none"/>
              </w:rPr>
            </w:pPr>
          </w:p>
        </w:tc>
      </w:tr>
      <w:tr w14:paraId="5AEB4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14A8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45D1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70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5A8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38.23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1388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FA1C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20E8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CB9DA">
            <w:pPr>
              <w:jc w:val="right"/>
              <w:rPr>
                <w:rFonts w:hint="default" w:ascii="Times New Roman" w:hAnsi="Times New Roman" w:eastAsia="宋体" w:cs="Times New Roman"/>
                <w:i w:val="0"/>
                <w:iCs w:val="0"/>
                <w:color w:val="000000"/>
                <w:sz w:val="20"/>
                <w:szCs w:val="20"/>
                <w:highlight w:val="none"/>
                <w:u w:val="none"/>
              </w:rPr>
            </w:pPr>
          </w:p>
        </w:tc>
      </w:tr>
      <w:tr w14:paraId="18B24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A352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1BC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F0B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E481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212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CA82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A45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2CE7E">
            <w:pPr>
              <w:jc w:val="right"/>
              <w:rPr>
                <w:rFonts w:hint="default" w:ascii="Times New Roman" w:hAnsi="Times New Roman" w:eastAsia="宋体" w:cs="Times New Roman"/>
                <w:i w:val="0"/>
                <w:iCs w:val="0"/>
                <w:color w:val="000000"/>
                <w:sz w:val="20"/>
                <w:szCs w:val="20"/>
                <w:highlight w:val="none"/>
                <w:u w:val="none"/>
              </w:rPr>
            </w:pPr>
          </w:p>
        </w:tc>
      </w:tr>
      <w:tr w14:paraId="021C1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A86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9906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7B8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32D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862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8C44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0E8A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15495">
            <w:pPr>
              <w:jc w:val="right"/>
              <w:rPr>
                <w:rFonts w:hint="default" w:ascii="Times New Roman" w:hAnsi="Times New Roman" w:eastAsia="宋体" w:cs="Times New Roman"/>
                <w:i w:val="0"/>
                <w:iCs w:val="0"/>
                <w:color w:val="000000"/>
                <w:sz w:val="20"/>
                <w:szCs w:val="20"/>
                <w:highlight w:val="none"/>
                <w:u w:val="none"/>
              </w:rPr>
            </w:pPr>
          </w:p>
        </w:tc>
      </w:tr>
      <w:tr w14:paraId="363BF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C2A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A71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461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1D58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E5D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F8B0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4658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6E363">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部门（单位）：石家庄市鹿泉区投资促进局(本级)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833.29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655.47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655.47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24.95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80.00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80.00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20.15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20.15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38.23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38.23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24.95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24.95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858.24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858.24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833.29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24.95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858.24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858.24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833.29</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24.95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91"/>
        <w:gridCol w:w="3374"/>
        <w:gridCol w:w="977"/>
        <w:gridCol w:w="516"/>
        <w:gridCol w:w="540"/>
        <w:gridCol w:w="374"/>
        <w:gridCol w:w="122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部门（单位）：石家庄市鹿泉区投资促进局(本级)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833.29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476.48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356.81</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655.47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378.66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276.81</w:t>
            </w:r>
          </w:p>
        </w:tc>
      </w:tr>
      <w:tr w14:paraId="6A364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86B85B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FCEB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商贸事务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9C2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655.47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7C2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378.66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A2AFA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276.81</w:t>
            </w:r>
          </w:p>
        </w:tc>
      </w:tr>
      <w:tr w14:paraId="32789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798BC0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570F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E0D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378.66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6FC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378.66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60B8D22">
            <w:pPr>
              <w:jc w:val="right"/>
              <w:rPr>
                <w:rFonts w:hint="default" w:ascii="Times New Roman" w:hAnsi="Times New Roman" w:eastAsia="宋体" w:cs="Times New Roman"/>
                <w:i w:val="0"/>
                <w:iCs w:val="0"/>
                <w:color w:val="000000"/>
                <w:sz w:val="20"/>
                <w:szCs w:val="20"/>
                <w:highlight w:val="none"/>
                <w:u w:val="none"/>
              </w:rPr>
            </w:pPr>
          </w:p>
        </w:tc>
      </w:tr>
      <w:tr w14:paraId="04237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25DEF1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826D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E88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5480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AB7C2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48.49</w:t>
            </w:r>
          </w:p>
        </w:tc>
      </w:tr>
      <w:tr w14:paraId="71A5E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3CB170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46F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招商引资</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513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228.32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06CE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C9EE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228.32</w:t>
            </w:r>
          </w:p>
        </w:tc>
      </w:tr>
      <w:tr w14:paraId="68572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D14E6B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EFC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4C4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5863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3FBF3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r>
      <w:tr w14:paraId="5B69E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AB6C80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4823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技术研究与开发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D7A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864D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A6405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r>
      <w:tr w14:paraId="792D6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B110EF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2060499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489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其他技术研究与开发支出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A67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5DA7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A45DB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80.00</w:t>
            </w:r>
          </w:p>
        </w:tc>
      </w:tr>
      <w:tr w14:paraId="31CFA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120CC1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EE0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29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1F7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EFD4BFD">
            <w:pPr>
              <w:jc w:val="right"/>
              <w:rPr>
                <w:rFonts w:hint="default" w:ascii="Times New Roman" w:hAnsi="Times New Roman" w:eastAsia="宋体" w:cs="Times New Roman"/>
                <w:i w:val="0"/>
                <w:iCs w:val="0"/>
                <w:color w:val="000000"/>
                <w:sz w:val="20"/>
                <w:szCs w:val="20"/>
                <w:highlight w:val="none"/>
                <w:u w:val="none"/>
              </w:rPr>
            </w:pPr>
          </w:p>
        </w:tc>
      </w:tr>
      <w:tr w14:paraId="375E2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619D79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3D5A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10A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AF8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AEFE5E7">
            <w:pPr>
              <w:jc w:val="right"/>
              <w:rPr>
                <w:rFonts w:hint="default" w:ascii="Times New Roman" w:hAnsi="Times New Roman" w:eastAsia="宋体" w:cs="Times New Roman"/>
                <w:i w:val="0"/>
                <w:iCs w:val="0"/>
                <w:color w:val="000000"/>
                <w:sz w:val="20"/>
                <w:szCs w:val="20"/>
                <w:highlight w:val="none"/>
                <w:u w:val="none"/>
              </w:rPr>
            </w:pPr>
          </w:p>
        </w:tc>
      </w:tr>
      <w:tr w14:paraId="59500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06CB09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D150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CE61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A77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9966677">
            <w:pPr>
              <w:jc w:val="right"/>
              <w:rPr>
                <w:rFonts w:hint="default" w:ascii="Times New Roman" w:hAnsi="Times New Roman" w:eastAsia="宋体" w:cs="Times New Roman"/>
                <w:i w:val="0"/>
                <w:iCs w:val="0"/>
                <w:color w:val="000000"/>
                <w:sz w:val="20"/>
                <w:szCs w:val="20"/>
                <w:highlight w:val="none"/>
                <w:u w:val="none"/>
              </w:rPr>
            </w:pPr>
          </w:p>
        </w:tc>
      </w:tr>
      <w:tr w14:paraId="12679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963DC9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2B41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A2A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352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96816B4">
            <w:pPr>
              <w:jc w:val="right"/>
              <w:rPr>
                <w:rFonts w:hint="default" w:ascii="Times New Roman" w:hAnsi="Times New Roman" w:eastAsia="宋体" w:cs="Times New Roman"/>
                <w:i w:val="0"/>
                <w:iCs w:val="0"/>
                <w:color w:val="000000"/>
                <w:sz w:val="20"/>
                <w:szCs w:val="20"/>
                <w:highlight w:val="none"/>
                <w:u w:val="none"/>
              </w:rPr>
            </w:pPr>
          </w:p>
        </w:tc>
      </w:tr>
      <w:tr w14:paraId="2D9A8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94829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BC2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BD3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627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F40A48C">
            <w:pPr>
              <w:jc w:val="right"/>
              <w:rPr>
                <w:rFonts w:hint="default" w:ascii="Times New Roman" w:hAnsi="Times New Roman" w:eastAsia="宋体" w:cs="Times New Roman"/>
                <w:i w:val="0"/>
                <w:iCs w:val="0"/>
                <w:color w:val="000000"/>
                <w:sz w:val="20"/>
                <w:szCs w:val="20"/>
                <w:highlight w:val="none"/>
                <w:u w:val="none"/>
              </w:rPr>
            </w:pPr>
          </w:p>
        </w:tc>
      </w:tr>
      <w:tr w14:paraId="05395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22FBE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02C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DB0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ECF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F37B9D3">
            <w:pPr>
              <w:jc w:val="right"/>
              <w:rPr>
                <w:rFonts w:hint="default" w:ascii="Times New Roman" w:hAnsi="Times New Roman" w:eastAsia="宋体" w:cs="Times New Roman"/>
                <w:i w:val="0"/>
                <w:iCs w:val="0"/>
                <w:color w:val="000000"/>
                <w:sz w:val="20"/>
                <w:szCs w:val="20"/>
                <w:highlight w:val="none"/>
                <w:u w:val="none"/>
              </w:rPr>
            </w:pPr>
          </w:p>
        </w:tc>
      </w:tr>
      <w:tr w14:paraId="73940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050257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8EFA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1E7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38.23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D50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38.23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0ABBF88">
            <w:pPr>
              <w:jc w:val="right"/>
              <w:rPr>
                <w:rFonts w:hint="default" w:ascii="Times New Roman" w:hAnsi="Times New Roman" w:eastAsia="宋体" w:cs="Times New Roman"/>
                <w:i w:val="0"/>
                <w:iCs w:val="0"/>
                <w:color w:val="000000"/>
                <w:sz w:val="20"/>
                <w:szCs w:val="20"/>
                <w:highlight w:val="none"/>
                <w:u w:val="none"/>
              </w:rPr>
            </w:pPr>
          </w:p>
        </w:tc>
      </w:tr>
      <w:tr w14:paraId="3A1EC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8E240F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806A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012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38.23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6C9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38.23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8DA331A">
            <w:pPr>
              <w:jc w:val="right"/>
              <w:rPr>
                <w:rFonts w:hint="default" w:ascii="Times New Roman" w:hAnsi="Times New Roman" w:eastAsia="宋体" w:cs="Times New Roman"/>
                <w:i w:val="0"/>
                <w:iCs w:val="0"/>
                <w:color w:val="000000"/>
                <w:sz w:val="20"/>
                <w:szCs w:val="20"/>
                <w:highlight w:val="none"/>
                <w:u w:val="none"/>
              </w:rPr>
            </w:pPr>
          </w:p>
        </w:tc>
      </w:tr>
      <w:tr w14:paraId="0A482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56987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4EF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FF5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38.23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EA6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38.23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257748E">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部门（单位）：石家庄市鹿泉区投资促进局(本级)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407.30</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69.18</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103.74</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14.30</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44.37</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24.72</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134.85</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39.44</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5.50</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3.42</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20.15</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1.81</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38.23</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32.21</w:t>
            </w: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2.06</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6.43</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407.30</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69.18</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部门（单位）：石家庄市鹿泉区投资促进局(本级)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24.95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24.95</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24.95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24.95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24.95</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24.95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0B1BB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873D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5A67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FB10F">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BC1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24.95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016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24.95</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41C2D">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F1C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24.95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8E436">
            <w:pPr>
              <w:jc w:val="right"/>
              <w:rPr>
                <w:rFonts w:hint="default" w:ascii="Times New Roman" w:hAnsi="Times New Roman" w:eastAsia="宋体" w:cs="Times New Roman"/>
                <w:i w:val="0"/>
                <w:iCs w:val="0"/>
                <w:color w:val="000000"/>
                <w:sz w:val="20"/>
                <w:szCs w:val="20"/>
                <w:highlight w:val="none"/>
                <w:u w:val="none"/>
              </w:rPr>
            </w:pPr>
          </w:p>
        </w:tc>
      </w:tr>
      <w:tr w14:paraId="0E3FD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819B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135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8FD2D">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FE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24.95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508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24.95</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98BE9">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7A5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24.95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D8612">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2A3A1F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4C85BF0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3DF5CD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本单位2025年度收、支总计（含结转和结余）均为858.24万元。与2024年度决算相比，收支各增加211.44万元，增长32.7%，主要原因是</w:t>
      </w:r>
      <w:r>
        <w:rPr>
          <w:rFonts w:hint="eastAsia" w:ascii="Times New Roman" w:eastAsia="仿宋_GB2312"/>
          <w:b w:val="0"/>
          <w:sz w:val="32"/>
          <w:szCs w:val="32"/>
          <w:lang w:val="en-US" w:eastAsia="zh-CN"/>
        </w:rPr>
        <w:t>科瀛房地产房租和案件受理费项目支出增加200万元</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08A790B2">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4F5FC9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858.24万元，其中：财政拨款收入858.24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121DEF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0DBD037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本单位2025年度本年支出合计858.24万元，其中：基本支出476.48万元，占55.5%；项目支出381.76万元，占44.5%；经营支出0.00万元，占0.0%；上缴上级支出0.00万元，占0.0%；对附属单位补助支出0.00万元，占0.0%。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3FE24E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582E300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1C9D5FC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本单位2025年度财政拨款收、支总计（含结转和结余）均为858.24万元。与2024年度相比，财政拨款收支各增加211.44万元，增长32.7%，主要原因是</w:t>
      </w:r>
      <w:r>
        <w:rPr>
          <w:rFonts w:hint="eastAsia" w:ascii="Times New Roman" w:eastAsia="仿宋_GB2312"/>
          <w:b w:val="0"/>
          <w:sz w:val="32"/>
          <w:szCs w:val="32"/>
          <w:lang w:val="en-US" w:eastAsia="zh-CN"/>
        </w:rPr>
        <w:t>科瀛房地产房租和案件受理费项目支出增加200万元</w:t>
      </w:r>
      <w:r>
        <w:rPr>
          <w:rFonts w:ascii="Times New Roman" w:eastAsia="仿宋_GB2312"/>
          <w:b w:val="0"/>
          <w:sz w:val="32"/>
          <w:szCs w:val="32"/>
        </w:rPr>
        <w:t>。</w:t>
      </w:r>
    </w:p>
    <w:p w14:paraId="2FD71CF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本单位2025年度财政拨款本年收入858.24万元,比上年增加211.44万元，增长32.7%，主要原因是</w:t>
      </w:r>
      <w:r>
        <w:rPr>
          <w:rFonts w:hint="eastAsia" w:ascii="Times New Roman" w:eastAsia="仿宋_GB2312"/>
          <w:b w:val="0"/>
          <w:sz w:val="32"/>
          <w:szCs w:val="32"/>
          <w:lang w:val="en-US" w:eastAsia="zh-CN"/>
        </w:rPr>
        <w:t>科瀛房地产房租和案件受理费项目支出增加200万元</w:t>
      </w:r>
      <w:r>
        <w:rPr>
          <w:rFonts w:ascii="Times New Roman" w:eastAsia="仿宋_GB2312"/>
          <w:b w:val="0"/>
          <w:sz w:val="32"/>
          <w:szCs w:val="32"/>
        </w:rPr>
        <w:t>；本年支出858.24万元，比上年增加211.44万元，增长32.7%，主要原因是</w:t>
      </w:r>
      <w:r>
        <w:rPr>
          <w:rFonts w:hint="eastAsia" w:ascii="Times New Roman" w:eastAsia="仿宋_GB2312"/>
          <w:b w:val="0"/>
          <w:sz w:val="32"/>
          <w:szCs w:val="32"/>
          <w:lang w:val="en-US" w:eastAsia="zh-CN"/>
        </w:rPr>
        <w:t>科瀛房地产房租和案件受理费项目支出增加200万元</w:t>
      </w:r>
      <w:r>
        <w:rPr>
          <w:rFonts w:ascii="Times New Roman" w:eastAsia="仿宋_GB2312"/>
          <w:b w:val="0"/>
          <w:sz w:val="32"/>
          <w:szCs w:val="32"/>
        </w:rPr>
        <w:t>。具体情况如下：</w:t>
      </w:r>
    </w:p>
    <w:p w14:paraId="6348623E">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一般公共预算财政拨款本年收入833.29万元,比上年增加186.50万元，增长28.8%，主要原因是</w:t>
      </w:r>
      <w:r>
        <w:rPr>
          <w:rFonts w:hint="eastAsia" w:ascii="Times New Roman" w:eastAsia="仿宋_GB2312"/>
          <w:b w:val="0"/>
          <w:sz w:val="32"/>
          <w:szCs w:val="32"/>
          <w:lang w:val="en-US" w:eastAsia="zh-CN"/>
        </w:rPr>
        <w:t>科瀛房地产房租和案件受理费项目支出增加200万元</w:t>
      </w:r>
      <w:r>
        <w:rPr>
          <w:rFonts w:ascii="Times New Roman" w:eastAsia="仿宋_GB2312"/>
          <w:b w:val="0"/>
          <w:sz w:val="32"/>
          <w:szCs w:val="32"/>
        </w:rPr>
        <w:t>；本年支出833.29万元，比上年增加186.50万元，增长28.8%，主要原因是</w:t>
      </w:r>
      <w:r>
        <w:rPr>
          <w:rFonts w:hint="eastAsia" w:ascii="Times New Roman" w:eastAsia="仿宋_GB2312"/>
          <w:b w:val="0"/>
          <w:sz w:val="32"/>
          <w:szCs w:val="32"/>
          <w:lang w:val="en-US" w:eastAsia="zh-CN"/>
        </w:rPr>
        <w:t>科瀛房地产房租和案件受理费项目支出增加200万元</w:t>
      </w:r>
      <w:r>
        <w:rPr>
          <w:rFonts w:ascii="Times New Roman" w:eastAsia="仿宋_GB2312"/>
          <w:b w:val="0"/>
          <w:sz w:val="32"/>
          <w:szCs w:val="32"/>
        </w:rPr>
        <w:t>。</w:t>
      </w:r>
    </w:p>
    <w:p w14:paraId="563C195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政府性基金预算财政拨款本年收入24.95万元，比上年增加24.95万元，增长100.00%，主要原因是</w:t>
      </w:r>
      <w:r>
        <w:rPr>
          <w:rFonts w:hint="eastAsia" w:ascii="Times New Roman" w:eastAsia="仿宋_GB2312"/>
          <w:b w:val="0"/>
          <w:sz w:val="32"/>
          <w:szCs w:val="32"/>
          <w:lang w:val="en-US" w:eastAsia="zh-CN"/>
        </w:rPr>
        <w:t>支付装修欠款24.95万元</w:t>
      </w:r>
      <w:r>
        <w:rPr>
          <w:rFonts w:ascii="Times New Roman" w:eastAsia="仿宋_GB2312"/>
          <w:b w:val="0"/>
          <w:sz w:val="32"/>
          <w:szCs w:val="32"/>
        </w:rPr>
        <w:t>；本年支出24.95万元，比上年增加24.95万元，增长100.00%，主要原因是</w:t>
      </w:r>
      <w:r>
        <w:rPr>
          <w:rFonts w:hint="eastAsia" w:ascii="Times New Roman" w:eastAsia="仿宋_GB2312"/>
          <w:b w:val="0"/>
          <w:sz w:val="32"/>
          <w:szCs w:val="32"/>
          <w:lang w:val="en-US" w:eastAsia="zh-CN"/>
        </w:rPr>
        <w:t>支付装修欠款24.95万元</w:t>
      </w:r>
      <w:r>
        <w:rPr>
          <w:rFonts w:ascii="Times New Roman" w:eastAsia="仿宋_GB2312"/>
          <w:b w:val="0"/>
          <w:sz w:val="32"/>
          <w:szCs w:val="32"/>
        </w:rPr>
        <w:t>。</w:t>
      </w:r>
    </w:p>
    <w:p w14:paraId="64F28AA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国有资本经营预算财政拨款本年收入0.00万元，比上年增加0.00万元，增长0.00%；本年支出0.00万元，比上年增加0.00万元，增长0.00%。</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CEF23F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47B2D52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本单位2025年度财政拨款本年收入858.24万元，完成年初预算的57.4%，比年初预算减少636.07万元，决算数小于预算数主要原因是</w:t>
      </w:r>
      <w:r>
        <w:rPr>
          <w:rFonts w:hint="eastAsia" w:ascii="Times New Roman" w:eastAsia="仿宋_GB2312"/>
          <w:b w:val="0"/>
          <w:sz w:val="32"/>
          <w:szCs w:val="32"/>
          <w:lang w:val="en-US" w:eastAsia="zh-CN"/>
        </w:rPr>
        <w:t>中关村鹿泉创新中心租金和运营服务费项目未执行、绿岛科技委托招商服务费预算项目未执行、招商引资及房屋租赁预算项目未全部执行</w:t>
      </w:r>
      <w:r>
        <w:rPr>
          <w:rFonts w:ascii="Times New Roman" w:eastAsia="仿宋_GB2312"/>
          <w:b w:val="0"/>
          <w:sz w:val="32"/>
          <w:szCs w:val="32"/>
        </w:rPr>
        <w:t>；本年支出858.24万元，完成年初预算的57.4%，比年初预算减少636.07万元，决算数小于预算数主要原因是</w:t>
      </w:r>
      <w:r>
        <w:rPr>
          <w:rFonts w:hint="eastAsia" w:ascii="Times New Roman" w:eastAsia="仿宋_GB2312"/>
          <w:b w:val="0"/>
          <w:sz w:val="32"/>
          <w:szCs w:val="32"/>
          <w:lang w:val="en-US" w:eastAsia="zh-CN"/>
        </w:rPr>
        <w:t>中关村鹿泉创新中心租金和运营服务费项目未执行、绿岛科技委托招商服务费预算项目未执行、招商引资及房屋租赁预算项目未全部执行</w:t>
      </w:r>
      <w:r>
        <w:rPr>
          <w:rFonts w:ascii="Times New Roman" w:eastAsia="仿宋_GB2312"/>
          <w:b w:val="0"/>
          <w:sz w:val="32"/>
          <w:szCs w:val="32"/>
        </w:rPr>
        <w:t>。具体情况如下：</w:t>
      </w:r>
      <w:bookmarkStart w:id="0" w:name="_GoBack"/>
      <w:bookmarkEnd w:id="0"/>
    </w:p>
    <w:p w14:paraId="5765CC7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一般公共预算财政拨款本年收入完成年初预算的69.8%，比年初预算减少361.02万元，主要原因是</w:t>
      </w:r>
      <w:r>
        <w:rPr>
          <w:rFonts w:hint="eastAsia" w:ascii="Times New Roman" w:eastAsia="仿宋_GB2312"/>
          <w:b w:val="0"/>
          <w:sz w:val="32"/>
          <w:szCs w:val="32"/>
          <w:lang w:val="en-US" w:eastAsia="zh-CN"/>
        </w:rPr>
        <w:t>绿岛科技委托招商服务费预算100万未执行、招商引资及房屋租赁预算未全部拨付</w:t>
      </w:r>
      <w:r>
        <w:rPr>
          <w:rFonts w:ascii="Times New Roman" w:eastAsia="仿宋_GB2312"/>
          <w:b w:val="0"/>
          <w:sz w:val="32"/>
          <w:szCs w:val="32"/>
        </w:rPr>
        <w:t>；支出完成年初预算的69.8%，比年初预算减少361.02万元，主要原因是</w:t>
      </w:r>
      <w:r>
        <w:rPr>
          <w:rFonts w:hint="eastAsia" w:ascii="Times New Roman" w:eastAsia="仿宋_GB2312"/>
          <w:b w:val="0"/>
          <w:sz w:val="32"/>
          <w:szCs w:val="32"/>
          <w:lang w:val="en-US" w:eastAsia="zh-CN"/>
        </w:rPr>
        <w:t>绿岛科技委托招商服务费预算100万未支付、招商引资及房屋租赁预算未全部拨付</w:t>
      </w:r>
      <w:r>
        <w:rPr>
          <w:rFonts w:ascii="Times New Roman" w:eastAsia="仿宋_GB2312"/>
          <w:b w:val="0"/>
          <w:sz w:val="32"/>
          <w:szCs w:val="32"/>
        </w:rPr>
        <w:t>。</w:t>
      </w:r>
    </w:p>
    <w:p w14:paraId="63BF00B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政府性基金预算财政拨款本年收入完成年初预算的8.3%，比年初预算减少275.05万元，主要原因是</w:t>
      </w:r>
      <w:r>
        <w:rPr>
          <w:rFonts w:hint="eastAsia" w:ascii="Times New Roman" w:eastAsia="仿宋_GB2312"/>
          <w:b w:val="0"/>
          <w:sz w:val="32"/>
          <w:szCs w:val="32"/>
          <w:lang w:val="en-US" w:eastAsia="zh-CN"/>
        </w:rPr>
        <w:t>中关村鹿泉创新中心租金和运营服务费300万预算未执行</w:t>
      </w:r>
      <w:r>
        <w:rPr>
          <w:rFonts w:ascii="Times New Roman" w:eastAsia="仿宋_GB2312"/>
          <w:b w:val="0"/>
          <w:sz w:val="32"/>
          <w:szCs w:val="32"/>
        </w:rPr>
        <w:t>；支出完成年初预算的8.3%，比年初预算减少275.05万元，主要原因是</w:t>
      </w:r>
      <w:r>
        <w:rPr>
          <w:rFonts w:hint="eastAsia" w:ascii="Times New Roman" w:eastAsia="仿宋_GB2312"/>
          <w:b w:val="0"/>
          <w:sz w:val="32"/>
          <w:szCs w:val="32"/>
          <w:lang w:val="en-US" w:eastAsia="zh-CN"/>
        </w:rPr>
        <w:t>中关村鹿泉创新中心租金和运营服务费300万预算未执行</w:t>
      </w:r>
      <w:r>
        <w:rPr>
          <w:rFonts w:ascii="Times New Roman" w:eastAsia="仿宋_GB2312"/>
          <w:b w:val="0"/>
          <w:sz w:val="32"/>
          <w:szCs w:val="32"/>
        </w:rPr>
        <w:t>。</w:t>
      </w:r>
    </w:p>
    <w:p w14:paraId="066DF32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国有资本经营预算财政拨款本年收入完成年初预算的0.0%，比年初预算增加0.00万元；支出完成年初预算的0.0%，比年初预算增加0.00万元。</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6DF28E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75B0FE3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2025年度财政拨款支出858.24万元，主要用于以下方面：</w:t>
      </w:r>
    </w:p>
    <w:p w14:paraId="06A0BC3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3A1F1C7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一般公共服务（类）支出655.47万元，占76.4%，主要用于</w:t>
      </w:r>
      <w:r>
        <w:rPr>
          <w:rFonts w:hint="eastAsia" w:ascii="Times New Roman" w:eastAsia="仿宋_GB2312"/>
          <w:b w:val="0"/>
          <w:sz w:val="32"/>
          <w:szCs w:val="32"/>
          <w:lang w:val="en-US" w:eastAsia="zh-CN"/>
        </w:rPr>
        <w:t>工资福利</w:t>
      </w:r>
      <w:r>
        <w:rPr>
          <w:rFonts w:ascii="Times New Roman" w:eastAsia="仿宋_GB2312"/>
          <w:b w:val="0"/>
          <w:sz w:val="32"/>
          <w:szCs w:val="32"/>
        </w:rPr>
        <w:t>等支出；外交（类）支出0.00万元，占0.0%；国防（类）支出0.00万元，占0.0%；公共安全类（类）支出0.00万元，占0.0%；教育（类）支出0.00万元，占0.0%；科学技术（类）支出80.00万元，占9.3%，主要用于</w:t>
      </w:r>
      <w:r>
        <w:rPr>
          <w:rFonts w:hint="eastAsia" w:ascii="Times New Roman" w:eastAsia="仿宋_GB2312"/>
          <w:b w:val="0"/>
          <w:sz w:val="32"/>
          <w:szCs w:val="32"/>
          <w:lang w:val="en-US" w:eastAsia="zh-CN"/>
        </w:rPr>
        <w:t>上级资金</w:t>
      </w:r>
      <w:r>
        <w:rPr>
          <w:rFonts w:ascii="Times New Roman" w:eastAsia="仿宋_GB2312"/>
          <w:b w:val="0"/>
          <w:sz w:val="32"/>
          <w:szCs w:val="32"/>
        </w:rPr>
        <w:t>等支出；文化旅游体育与传媒（类）支出0.00万元，占0.0%；社会保障和就业 （类）支出39.44万元，占4.6%；卫生健康（类）支出20.15万元，占2.3%；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38.23万元，占4.5%；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7FCAACF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7905C1E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外交（类）支出0.00万元，占0.0%；国防（类）支出0.00万元，占0.0%；公共安全类（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24.95万元，占2.9%；债务还本（类）支出0.00万元，占0.0%；债务付息（类）支出0.00万元，占0.0%；抗疫特别国债安排的支出0.00万元，占0.00%。</w:t>
      </w:r>
    </w:p>
    <w:p w14:paraId="4AE8867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09B53F6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外交（类）支出0.00万元，占0.0%；国防（类）支出0.00万元，占0.0%；公共安全（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06FD304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3A342BD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2025年度财政拨款基本支出476.48万元，其中：</w:t>
      </w:r>
    </w:p>
    <w:p w14:paraId="6ED342F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407.30万元，主要包括基本工资、津贴补贴、奖金、绩效工资、机关事业部门基本养老保险缴费、职业年金缴费、职工基本医疗保险缴费、公务员医疗补助缴费、住房公积金、医疗费、其他社会保障缴费、其他工资福利支出。</w:t>
      </w:r>
    </w:p>
    <w:p w14:paraId="7CBFA9D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公用经费69.18万元，主要包括办公费、手续费、水费、电费、、劳务费、工会经费、福利费、其他商品和服务支出。</w:t>
      </w:r>
    </w:p>
    <w:p w14:paraId="03E2EE6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3557807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40B17A4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本单位2025年度“三公”经费财政拨款支出预算为0.00万元，支出决算为0.00万元，完成预算的0.0%，较预算增加0.00万元，增长0.0%；较2024年度决算增加0.00万元，增长0.00%。</w:t>
      </w:r>
    </w:p>
    <w:p w14:paraId="6939D27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6A85759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较上年增加0.00万元，增长0.00%。因公出国（境）团组0个、共0人、参加其他单位组织的因公出国（境）团组个、共人/无本部门组织的出国（境）团组。</w:t>
      </w:r>
    </w:p>
    <w:p w14:paraId="4B19FEA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本单位2025年度公务用车购置及运行维护费预算为0.00万元，支出决算0.00万元，完成预算的0.0%,较预算增加0.00万元，增长0.0%,；较上年增加0.00万元，增长0.00%。其中：</w:t>
      </w:r>
    </w:p>
    <w:p w14:paraId="672DDBB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本单位2025年度公务用车购置量0辆，发生“公务用车购置”经费支出0.00万元。公务用车购置费支出较预算增加0.00万元，增长0.0%；较上年增加0.00万元，增长0.00%。</w:t>
      </w:r>
    </w:p>
    <w:p w14:paraId="7DB54C3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本单位2025年度单位公务用车保有量0辆，发生运行维护费支出0.00万元。公车运行维护费支出较预算增加0.00万元，增长0.0%；较上年增加0.00万元，增长0.00%，主要原因是。</w:t>
      </w:r>
    </w:p>
    <w:p w14:paraId="0309F05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本单位2025年度公务接待费支出预算为0.00万元，支出决算0.00万元，完成预算的0.0%。公务接待费支出较预算增加0.00万元，增长0.0%；较上年度增加0.00万元，增长0.00%。本年度共发生公务接待0批次、0人次。</w:t>
      </w:r>
    </w:p>
    <w:p w14:paraId="7C452C1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1A59632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本单位2025年度机关运行经费支出69.18万元，较2024年度增加6.50万元，增长10.4%。主要原因是</w:t>
      </w:r>
      <w:r>
        <w:rPr>
          <w:rFonts w:hint="eastAsia" w:ascii="Times New Roman" w:eastAsia="仿宋_GB2312"/>
          <w:b w:val="0"/>
          <w:sz w:val="32"/>
          <w:szCs w:val="32"/>
          <w:lang w:val="en-US" w:eastAsia="zh-CN"/>
        </w:rPr>
        <w:t>2025年较2024年人员增加5人，导致支出增加</w:t>
      </w:r>
      <w:r>
        <w:rPr>
          <w:rFonts w:ascii="Times New Roman" w:eastAsia="仿宋_GB2312"/>
          <w:b w:val="0"/>
          <w:sz w:val="32"/>
          <w:szCs w:val="32"/>
        </w:rPr>
        <w:t>。</w:t>
      </w:r>
    </w:p>
    <w:p w14:paraId="14F4C7D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1E5333A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1.38万元，从采购类型来看，政府采购货物支出1.38万元、政府采购工程支出0.00万元、政府采购服务支出0.00万元。授予中小企业合同金额1.38万元，占政府采购支出总额的100.0%，其中授予小微企业合同金额1.38万元，占政府采购支出总额的100.0%。</w:t>
      </w:r>
    </w:p>
    <w:p w14:paraId="5C7EAD5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7295051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0辆，比上年增加0辆，主要是。其中，副部（省）级及以上领导用车0辆，主要负责人用车0辆，机要通信用车0辆，应急保障用车0辆，执法执勤用车0辆，特种专业技术用车0辆，离退休干部用车0辆，其他用车0辆，其他用车主要是。单位价值100万元（含）以上设备（不含车辆）0台（套）。</w:t>
      </w:r>
    </w:p>
    <w:p w14:paraId="7F4E59A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0C96954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7BBDDFB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381.76</w:t>
      </w:r>
      <w:r>
        <w:rPr>
          <w:rFonts w:ascii="Times New Roman" w:eastAsia="仿宋_GB2312"/>
          <w:b w:val="0"/>
          <w:sz w:val="32"/>
          <w:szCs w:val="32"/>
        </w:rPr>
        <w:t>万元。其中，一般公共预算项目</w:t>
      </w:r>
      <w:r>
        <w:rPr>
          <w:rFonts w:hint="eastAsia" w:ascii="Times New Roman" w:eastAsia="仿宋_GB2312"/>
          <w:b w:val="0"/>
          <w:sz w:val="32"/>
          <w:szCs w:val="32"/>
          <w:lang w:val="en-US" w:eastAsia="zh-CN"/>
        </w:rPr>
        <w:t>6</w:t>
      </w:r>
      <w:r>
        <w:rPr>
          <w:rFonts w:ascii="Times New Roman" w:eastAsia="仿宋_GB2312"/>
          <w:b w:val="0"/>
          <w:sz w:val="32"/>
          <w:szCs w:val="32"/>
        </w:rPr>
        <w:t>个，涉及资金</w:t>
      </w:r>
      <w:r>
        <w:rPr>
          <w:rFonts w:hint="eastAsia" w:ascii="Times New Roman" w:eastAsia="仿宋_GB2312"/>
          <w:b w:val="0"/>
          <w:sz w:val="32"/>
          <w:szCs w:val="32"/>
          <w:lang w:val="en-US" w:eastAsia="zh-CN"/>
        </w:rPr>
        <w:t>356.81</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93.46%</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1</w:t>
      </w:r>
      <w:r>
        <w:rPr>
          <w:rFonts w:ascii="Times New Roman" w:eastAsia="仿宋_GB2312"/>
          <w:b w:val="0"/>
          <w:sz w:val="32"/>
          <w:szCs w:val="32"/>
        </w:rPr>
        <w:t>个，涉及资金</w:t>
      </w:r>
      <w:r>
        <w:rPr>
          <w:rFonts w:hint="eastAsia" w:ascii="Times New Roman" w:eastAsia="仿宋_GB2312"/>
          <w:b w:val="0"/>
          <w:sz w:val="32"/>
          <w:szCs w:val="32"/>
          <w:lang w:val="en-US" w:eastAsia="zh-CN"/>
        </w:rPr>
        <w:t>24.95</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6.54</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4AE0F13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val="en-US" w:eastAsia="zh-CN"/>
        </w:rPr>
        <w:t>房屋租赁等</w:t>
      </w:r>
      <w:r>
        <w:rPr>
          <w:rFonts w:ascii="Times New Roman" w:eastAsia="仿宋_GB2312"/>
          <w:b w:val="0"/>
          <w:sz w:val="32"/>
          <w:szCs w:val="32"/>
        </w:rPr>
        <w:t>个</w:t>
      </w:r>
      <w:r>
        <w:rPr>
          <w:rFonts w:hint="eastAsia" w:ascii="Times New Roman" w:eastAsia="仿宋_GB2312"/>
          <w:b w:val="0"/>
          <w:sz w:val="32"/>
          <w:szCs w:val="32"/>
          <w:lang w:val="en-US" w:eastAsia="zh-CN"/>
        </w:rPr>
        <w:t>6</w:t>
      </w:r>
      <w:r>
        <w:rPr>
          <w:rFonts w:ascii="Times New Roman" w:eastAsia="仿宋_GB2312"/>
          <w:b w:val="0"/>
          <w:sz w:val="32"/>
          <w:szCs w:val="32"/>
        </w:rPr>
        <w:t>项目开展了部门重点评价，涉及一般公共预算支出</w:t>
      </w:r>
      <w:r>
        <w:rPr>
          <w:rFonts w:hint="eastAsia" w:ascii="Times New Roman" w:eastAsia="仿宋_GB2312"/>
          <w:b w:val="0"/>
          <w:sz w:val="32"/>
          <w:szCs w:val="32"/>
          <w:lang w:val="en-US" w:eastAsia="zh-CN"/>
        </w:rPr>
        <w:t>381.76</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 xml:space="preserve"> 0</w:t>
      </w:r>
      <w:r>
        <w:rPr>
          <w:rFonts w:ascii="Times New Roman" w:eastAsia="仿宋_GB2312"/>
          <w:b w:val="0"/>
          <w:sz w:val="32"/>
          <w:szCs w:val="32"/>
        </w:rPr>
        <w:t>万元。</w:t>
      </w:r>
    </w:p>
    <w:p w14:paraId="0C68979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0AA8653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w:t>
      </w:r>
      <w:r>
        <w:rPr>
          <w:rFonts w:hint="eastAsia" w:ascii="Times New Roman" w:eastAsia="仿宋_GB2312"/>
          <w:b w:val="0"/>
          <w:sz w:val="32"/>
          <w:szCs w:val="32"/>
          <w:lang w:val="en-US" w:eastAsia="zh-CN"/>
        </w:rPr>
        <w:t>房屋租赁</w:t>
      </w:r>
      <w:r>
        <w:rPr>
          <w:rFonts w:ascii="Times New Roman" w:eastAsia="仿宋_GB2312"/>
          <w:b w:val="0"/>
          <w:sz w:val="32"/>
          <w:szCs w:val="32"/>
        </w:rPr>
        <w:t>等</w:t>
      </w:r>
      <w:r>
        <w:rPr>
          <w:rFonts w:hint="eastAsia" w:ascii="Times New Roman" w:eastAsia="仿宋_GB2312"/>
          <w:b w:val="0"/>
          <w:sz w:val="32"/>
          <w:szCs w:val="32"/>
          <w:lang w:val="en-US" w:eastAsia="zh-CN"/>
        </w:rPr>
        <w:t>6</w:t>
      </w:r>
      <w:r>
        <w:rPr>
          <w:rFonts w:ascii="Times New Roman" w:eastAsia="仿宋_GB2312"/>
          <w:b w:val="0"/>
          <w:sz w:val="32"/>
          <w:szCs w:val="32"/>
        </w:rPr>
        <w:t>个项目绩效自评结果。</w:t>
      </w:r>
    </w:p>
    <w:p w14:paraId="3033E929">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356.81</w:t>
      </w:r>
      <w:r>
        <w:rPr>
          <w:rFonts w:ascii="Times New Roman" w:eastAsia="仿宋_GB2312"/>
          <w:b w:val="0"/>
          <w:sz w:val="32"/>
          <w:szCs w:val="32"/>
        </w:rPr>
        <w:t>万元，执行数为</w:t>
      </w:r>
      <w:r>
        <w:rPr>
          <w:rFonts w:hint="eastAsia" w:ascii="Times New Roman" w:eastAsia="仿宋_GB2312"/>
          <w:b w:val="0"/>
          <w:sz w:val="32"/>
          <w:szCs w:val="32"/>
          <w:lang w:val="en-US" w:eastAsia="zh-CN"/>
        </w:rPr>
        <w:t>356.81</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w:t>
      </w:r>
    </w:p>
    <w:p w14:paraId="38CFB499">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资金到位，使用合规。资金拨付程序从申请、审核到最后发放都按照相关政策实施</w:t>
      </w:r>
      <w:r>
        <w:rPr>
          <w:rFonts w:ascii="Times New Roman" w:eastAsia="仿宋_GB2312"/>
          <w:b w:val="0"/>
          <w:sz w:val="32"/>
          <w:szCs w:val="32"/>
        </w:rPr>
        <w:t>；二是</w:t>
      </w:r>
      <w:r>
        <w:rPr>
          <w:rFonts w:hint="eastAsia" w:ascii="Times New Roman" w:eastAsia="仿宋_GB2312"/>
          <w:b w:val="0"/>
          <w:sz w:val="32"/>
          <w:szCs w:val="32"/>
          <w:lang w:val="en-US" w:eastAsia="zh-CN"/>
        </w:rPr>
        <w:t>总体资金绩效评优率为100%。总体得分为优秀等次</w:t>
      </w:r>
      <w:r>
        <w:rPr>
          <w:rFonts w:ascii="Times New Roman" w:eastAsia="仿宋_GB2312"/>
          <w:b w:val="0"/>
          <w:sz w:val="32"/>
          <w:szCs w:val="32"/>
        </w:rPr>
        <w:t>。</w:t>
      </w:r>
    </w:p>
    <w:p w14:paraId="5B79B847">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发现的主要问题及原因是：一是</w:t>
      </w:r>
      <w:r>
        <w:rPr>
          <w:rFonts w:hint="eastAsia" w:ascii="Times New Roman" w:eastAsia="仿宋_GB2312"/>
          <w:b w:val="0"/>
          <w:sz w:val="32"/>
          <w:szCs w:val="32"/>
          <w:lang w:val="en-US" w:eastAsia="zh-CN"/>
        </w:rPr>
        <w:t>项目目标设置不够细化，有的可能未提炼出最能反映目标实现情况的关键性指标</w:t>
      </w:r>
      <w:r>
        <w:rPr>
          <w:rFonts w:ascii="Times New Roman" w:eastAsia="仿宋_GB2312"/>
          <w:b w:val="0"/>
          <w:sz w:val="32"/>
          <w:szCs w:val="32"/>
        </w:rPr>
        <w:t>；二是</w:t>
      </w:r>
      <w:r>
        <w:rPr>
          <w:rFonts w:hint="eastAsia" w:ascii="Times New Roman" w:eastAsia="仿宋_GB2312"/>
          <w:b w:val="0"/>
          <w:sz w:val="32"/>
          <w:szCs w:val="32"/>
          <w:lang w:val="en-US" w:eastAsia="zh-CN"/>
        </w:rPr>
        <w:t>绩效管理理念缺乏，对于绩效监控填报内容简单，发现偏差并及时纠正的能力较弱</w:t>
      </w:r>
      <w:r>
        <w:rPr>
          <w:rFonts w:ascii="Times New Roman" w:eastAsia="仿宋_GB2312"/>
          <w:b w:val="0"/>
          <w:sz w:val="32"/>
          <w:szCs w:val="32"/>
        </w:rPr>
        <w:t>。</w:t>
      </w:r>
    </w:p>
    <w:p w14:paraId="67FE80F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下一步改进措施：一是</w:t>
      </w:r>
      <w:r>
        <w:rPr>
          <w:rFonts w:hint="eastAsia" w:ascii="Times New Roman" w:eastAsia="仿宋_GB2312"/>
          <w:b w:val="0"/>
          <w:sz w:val="32"/>
          <w:szCs w:val="32"/>
          <w:lang w:val="en-US" w:eastAsia="zh-CN"/>
        </w:rPr>
        <w:t>科学合理设置绩效目标，强化指标细化量化，确保每一项指标可量化可考核</w:t>
      </w:r>
      <w:r>
        <w:rPr>
          <w:rFonts w:ascii="Times New Roman" w:eastAsia="仿宋_GB2312"/>
          <w:b w:val="0"/>
          <w:sz w:val="32"/>
          <w:szCs w:val="32"/>
        </w:rPr>
        <w:t>；二是</w:t>
      </w:r>
      <w:r>
        <w:rPr>
          <w:rFonts w:hint="eastAsia" w:ascii="Times New Roman" w:eastAsia="仿宋_GB2312"/>
          <w:b w:val="0"/>
          <w:sz w:val="32"/>
          <w:szCs w:val="32"/>
          <w:lang w:val="en-US" w:eastAsia="zh-CN"/>
        </w:rPr>
        <w:t>提升绩效监控质量，压实绩效管理责任，定期组织绩效管理专题培训，提升项目科室整体绩效理念</w:t>
      </w:r>
      <w:r>
        <w:rPr>
          <w:rFonts w:ascii="Times New Roman" w:eastAsia="仿宋_GB2312"/>
          <w:b w:val="0"/>
          <w:sz w:val="32"/>
          <w:szCs w:val="32"/>
        </w:rPr>
        <w:t>。</w:t>
      </w:r>
    </w:p>
    <w:p w14:paraId="429C29EE">
      <w:pPr>
        <w:widowControl/>
        <w:numPr>
          <w:ilvl w:val="0"/>
          <w:numId w:val="4"/>
        </w:numPr>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部门评价项目绩效评价结果</w:t>
      </w:r>
    </w:p>
    <w:p w14:paraId="2D1CC9B7">
      <w:pPr>
        <w:widowControl/>
        <w:numPr>
          <w:ilvl w:val="0"/>
          <w:numId w:val="5"/>
        </w:numPr>
        <w:spacing w:before="0" w:beforeLines="0" w:beforeAutospacing="0" w:after="0" w:afterLines="0" w:afterAutospacing="0" w:line="360" w:lineRule="auto"/>
        <w:ind w:left="640" w:leftChars="0" w:firstLine="0" w:firstLineChars="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房屋租赁费项目绩效自评情况：根据年初设定的绩效目标，项目绩效自评得分100分，全年预算数30万元，执行数30万元，完成预算的100%。项目绩效目标全部完成。</w:t>
      </w:r>
    </w:p>
    <w:p w14:paraId="3B6B1736">
      <w:pPr>
        <w:widowControl/>
        <w:numPr>
          <w:ilvl w:val="0"/>
          <w:numId w:val="5"/>
        </w:numPr>
        <w:spacing w:before="0" w:beforeLines="0" w:beforeAutospacing="0" w:after="0" w:afterLines="0" w:afterAutospacing="0" w:line="360" w:lineRule="auto"/>
        <w:ind w:left="640" w:leftChars="0" w:firstLine="0" w:firstLineChars="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房屋装修费项目绩效自评情况：根据年初设定的绩效目标，项目绩效自评得分100分，全年预算数10万元，执行数10万元，完成预算的100%。项目绩效目标全部完成。</w:t>
      </w:r>
    </w:p>
    <w:p w14:paraId="1ADE9EC6">
      <w:pPr>
        <w:widowControl/>
        <w:numPr>
          <w:ilvl w:val="0"/>
          <w:numId w:val="5"/>
        </w:numPr>
        <w:spacing w:before="0" w:beforeLines="0" w:beforeAutospacing="0" w:after="0" w:afterLines="0" w:afterAutospacing="0" w:line="360" w:lineRule="auto"/>
        <w:ind w:left="640" w:leftChars="0" w:firstLine="0" w:firstLineChars="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专项公用经费项目绩效自评情况：根据年初设定的绩效目标，项目绩效自评得分100分，全年预算数8.49万元，执行数8.49万元，完成预算的100%。项目绩效目标全部完成。</w:t>
      </w:r>
    </w:p>
    <w:p w14:paraId="2BA53ADA">
      <w:pPr>
        <w:widowControl/>
        <w:numPr>
          <w:ilvl w:val="0"/>
          <w:numId w:val="5"/>
        </w:numPr>
        <w:spacing w:before="0" w:beforeLines="0" w:beforeAutospacing="0" w:after="0" w:afterLines="0" w:afterAutospacing="0" w:line="360" w:lineRule="auto"/>
        <w:ind w:left="640" w:leftChars="0" w:firstLine="0" w:firstLineChars="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招商引资项目绩效自评情况：根据年初设定的绩效目标，项目绩效自评得分100分，全年预算数28.32万元，执行数28.32万元，完成预算的100%。项目绩效目标全部完成。</w:t>
      </w:r>
    </w:p>
    <w:p w14:paraId="6025C8DE">
      <w:pPr>
        <w:widowControl/>
        <w:numPr>
          <w:ilvl w:val="0"/>
          <w:numId w:val="5"/>
        </w:numPr>
        <w:spacing w:before="0" w:beforeLines="0" w:beforeAutospacing="0" w:after="0" w:afterLines="0" w:afterAutospacing="0" w:line="360" w:lineRule="auto"/>
        <w:ind w:left="640" w:leftChars="0" w:firstLine="0" w:firstLineChars="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科瀛房地产房租和法院案件受理费项目绩效自评情况：根据年初设定的绩效目标，项目绩效自评得分100分，全年预算数200万元，执行数200万元，完成预算的100%。项目绩效目标全部完成。</w:t>
      </w:r>
    </w:p>
    <w:p w14:paraId="3B569276">
      <w:pPr>
        <w:widowControl/>
        <w:numPr>
          <w:ilvl w:val="0"/>
          <w:numId w:val="5"/>
        </w:numPr>
        <w:spacing w:before="0" w:beforeLines="0" w:beforeAutospacing="0" w:after="0" w:afterLines="0" w:afterAutospacing="0" w:line="360" w:lineRule="auto"/>
        <w:ind w:left="640" w:leftChars="0" w:firstLine="0" w:firstLineChars="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基于粮食安全的肉禽饲粮蛋白减量制剂应用项目绩效自评情况：根据年初设定的绩效目标，项目绩效自评得分100分，全年预算数80万元，执行数80万元，完成预算的100%。项目绩效目标全部完成。</w:t>
      </w:r>
    </w:p>
    <w:p w14:paraId="4DDA1B6F">
      <w:pPr>
        <w:widowControl/>
        <w:numPr>
          <w:ilvl w:val="0"/>
          <w:numId w:val="0"/>
        </w:numPr>
        <w:spacing w:before="0" w:beforeLines="0" w:beforeAutospacing="0" w:after="0" w:afterLines="0" w:afterAutospacing="0" w:line="360" w:lineRule="auto"/>
        <w:jc w:val="left"/>
        <w:rPr>
          <w:rFonts w:hint="default" w:ascii="Times New Roman" w:eastAsia="仿宋_GB2312"/>
          <w:b w:val="0"/>
          <w:sz w:val="32"/>
          <w:szCs w:val="32"/>
          <w:lang w:val="en-US" w:eastAsia="zh-CN"/>
        </w:rPr>
      </w:pPr>
      <w:r>
        <w:drawing>
          <wp:inline distT="0" distB="0" distL="114300" distR="114300">
            <wp:extent cx="6160770" cy="7697470"/>
            <wp:effectExtent l="0" t="0" r="11430" b="1778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9"/>
                    <a:stretch>
                      <a:fillRect/>
                    </a:stretch>
                  </pic:blipFill>
                  <pic:spPr>
                    <a:xfrm>
                      <a:off x="0" y="0"/>
                      <a:ext cx="6160770" cy="7697470"/>
                    </a:xfrm>
                    <a:prstGeom prst="rect">
                      <a:avLst/>
                    </a:prstGeom>
                    <a:noFill/>
                    <a:ln w="9525">
                      <a:noFill/>
                    </a:ln>
                  </pic:spPr>
                </pic:pic>
              </a:graphicData>
            </a:graphic>
          </wp:inline>
        </w:drawing>
      </w:r>
    </w:p>
    <w:p w14:paraId="12BFB2B3">
      <w:pPr>
        <w:widowControl/>
        <w:spacing w:before="0" w:beforeLines="0" w:beforeAutospacing="0" w:after="0" w:afterLines="0" w:afterAutospacing="0" w:line="240" w:lineRule="auto"/>
        <w:ind w:firstLine="0" w:firstLineChars="0"/>
        <w:jc w:val="left"/>
      </w:pPr>
      <w:r>
        <w:drawing>
          <wp:inline distT="0" distB="0" distL="114300" distR="114300">
            <wp:extent cx="5943600" cy="7651750"/>
            <wp:effectExtent l="0" t="0" r="0" b="635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0"/>
                    <a:stretch>
                      <a:fillRect/>
                    </a:stretch>
                  </pic:blipFill>
                  <pic:spPr>
                    <a:xfrm>
                      <a:off x="0" y="0"/>
                      <a:ext cx="5943600" cy="7651750"/>
                    </a:xfrm>
                    <a:prstGeom prst="rect">
                      <a:avLst/>
                    </a:prstGeom>
                    <a:noFill/>
                    <a:ln w="9525">
                      <a:noFill/>
                    </a:ln>
                  </pic:spPr>
                </pic:pic>
              </a:graphicData>
            </a:graphic>
          </wp:inline>
        </w:drawing>
      </w:r>
    </w:p>
    <w:p w14:paraId="1B3C7B26">
      <w:pPr>
        <w:widowControl/>
        <w:spacing w:before="0" w:beforeLines="0" w:beforeAutospacing="0" w:after="0" w:afterLines="0" w:afterAutospacing="0" w:line="240" w:lineRule="auto"/>
        <w:ind w:firstLine="0" w:firstLineChars="0"/>
        <w:jc w:val="left"/>
      </w:pPr>
    </w:p>
    <w:p w14:paraId="0ED117EE">
      <w:pPr>
        <w:widowControl/>
        <w:spacing w:before="0" w:beforeLines="0" w:beforeAutospacing="0" w:after="0" w:afterLines="0" w:afterAutospacing="0" w:line="240" w:lineRule="auto"/>
        <w:ind w:firstLine="0" w:firstLineChars="0"/>
        <w:jc w:val="left"/>
      </w:pPr>
    </w:p>
    <w:p w14:paraId="1F72365D">
      <w:pPr>
        <w:widowControl/>
        <w:spacing w:before="0" w:beforeLines="0" w:beforeAutospacing="0" w:after="0" w:afterLines="0" w:afterAutospacing="0" w:line="240" w:lineRule="auto"/>
        <w:ind w:firstLine="0" w:firstLineChars="0"/>
        <w:jc w:val="left"/>
      </w:pPr>
      <w:r>
        <w:drawing>
          <wp:inline distT="0" distB="0" distL="114300" distR="114300">
            <wp:extent cx="6411595" cy="8134350"/>
            <wp:effectExtent l="0" t="0" r="8255"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21"/>
                    <a:stretch>
                      <a:fillRect/>
                    </a:stretch>
                  </pic:blipFill>
                  <pic:spPr>
                    <a:xfrm>
                      <a:off x="0" y="0"/>
                      <a:ext cx="6411595" cy="8134350"/>
                    </a:xfrm>
                    <a:prstGeom prst="rect">
                      <a:avLst/>
                    </a:prstGeom>
                    <a:noFill/>
                    <a:ln w="9525">
                      <a:noFill/>
                    </a:ln>
                  </pic:spPr>
                </pic:pic>
              </a:graphicData>
            </a:graphic>
          </wp:inline>
        </w:drawing>
      </w:r>
    </w:p>
    <w:p w14:paraId="3AD62428">
      <w:pPr>
        <w:widowControl/>
        <w:spacing w:before="0" w:beforeLines="0" w:beforeAutospacing="0" w:after="0" w:afterLines="0" w:afterAutospacing="0" w:line="240" w:lineRule="auto"/>
        <w:ind w:firstLine="0" w:firstLineChars="0"/>
        <w:jc w:val="left"/>
      </w:pPr>
      <w:r>
        <w:drawing>
          <wp:inline distT="0" distB="0" distL="114300" distR="114300">
            <wp:extent cx="6165215" cy="8620125"/>
            <wp:effectExtent l="0" t="0" r="6985" b="952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22"/>
                    <a:stretch>
                      <a:fillRect/>
                    </a:stretch>
                  </pic:blipFill>
                  <pic:spPr>
                    <a:xfrm>
                      <a:off x="0" y="0"/>
                      <a:ext cx="6165215" cy="8620125"/>
                    </a:xfrm>
                    <a:prstGeom prst="rect">
                      <a:avLst/>
                    </a:prstGeom>
                    <a:noFill/>
                    <a:ln w="9525">
                      <a:noFill/>
                    </a:ln>
                  </pic:spPr>
                </pic:pic>
              </a:graphicData>
            </a:graphic>
          </wp:inline>
        </w:drawing>
      </w:r>
    </w:p>
    <w:p w14:paraId="77A648A1">
      <w:pPr>
        <w:widowControl/>
        <w:spacing w:before="0" w:beforeLines="0" w:beforeAutospacing="0" w:after="0" w:afterLines="0" w:afterAutospacing="0" w:line="240" w:lineRule="auto"/>
        <w:ind w:firstLine="0" w:firstLineChars="0"/>
        <w:jc w:val="left"/>
        <w:rPr>
          <w:rFonts w:ascii="Times New Roman" w:eastAsia="黑体"/>
          <w:b w:val="0"/>
          <w:sz w:val="32"/>
          <w:szCs w:val="32"/>
        </w:rPr>
      </w:pPr>
      <w:r>
        <w:drawing>
          <wp:inline distT="0" distB="0" distL="114300" distR="114300">
            <wp:extent cx="5979795" cy="7229475"/>
            <wp:effectExtent l="0" t="0" r="1905" b="952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23"/>
                    <a:stretch>
                      <a:fillRect/>
                    </a:stretch>
                  </pic:blipFill>
                  <pic:spPr>
                    <a:xfrm>
                      <a:off x="0" y="0"/>
                      <a:ext cx="5979795" cy="7229475"/>
                    </a:xfrm>
                    <a:prstGeom prst="rect">
                      <a:avLst/>
                    </a:prstGeom>
                    <a:noFill/>
                    <a:ln w="9525">
                      <a:noFill/>
                    </a:ln>
                  </pic:spPr>
                </pic:pic>
              </a:graphicData>
            </a:graphic>
          </wp:inline>
        </w:drawing>
      </w:r>
    </w:p>
    <w:p w14:paraId="4575E2BA">
      <w:pPr>
        <w:widowControl/>
        <w:spacing w:before="0" w:beforeLines="0" w:beforeAutospacing="0" w:after="0" w:afterLines="0" w:afterAutospacing="0" w:line="240" w:lineRule="auto"/>
        <w:ind w:firstLine="0" w:firstLineChars="0"/>
        <w:jc w:val="left"/>
        <w:rPr>
          <w:rFonts w:ascii="Times New Roman" w:eastAsia="黑体"/>
          <w:b w:val="0"/>
          <w:sz w:val="32"/>
          <w:szCs w:val="32"/>
        </w:rPr>
      </w:pPr>
    </w:p>
    <w:p w14:paraId="06E32423">
      <w:pPr>
        <w:widowControl/>
        <w:spacing w:before="0" w:beforeLines="0" w:beforeAutospacing="0" w:after="0" w:afterLines="0" w:afterAutospacing="0" w:line="240" w:lineRule="auto"/>
        <w:ind w:firstLine="0" w:firstLineChars="0"/>
        <w:jc w:val="left"/>
        <w:rPr>
          <w:rFonts w:ascii="Times New Roman" w:eastAsia="黑体"/>
          <w:b w:val="0"/>
          <w:sz w:val="32"/>
          <w:szCs w:val="32"/>
        </w:rPr>
      </w:pPr>
    </w:p>
    <w:p w14:paraId="4B49B87F">
      <w:pPr>
        <w:widowControl/>
        <w:spacing w:before="0" w:beforeLines="0" w:beforeAutospacing="0" w:after="0" w:afterLines="0" w:afterAutospacing="0" w:line="240" w:lineRule="auto"/>
        <w:ind w:firstLine="0" w:firstLineChars="0"/>
        <w:jc w:val="left"/>
        <w:rPr>
          <w:rFonts w:ascii="Times New Roman" w:eastAsia="黑体"/>
          <w:b w:val="0"/>
          <w:sz w:val="32"/>
          <w:szCs w:val="32"/>
        </w:rPr>
      </w:pPr>
      <w:r>
        <w:drawing>
          <wp:inline distT="0" distB="0" distL="114300" distR="114300">
            <wp:extent cx="5805805" cy="7773670"/>
            <wp:effectExtent l="0" t="0" r="4445" b="1778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24"/>
                    <a:stretch>
                      <a:fillRect/>
                    </a:stretch>
                  </pic:blipFill>
                  <pic:spPr>
                    <a:xfrm>
                      <a:off x="0" y="0"/>
                      <a:ext cx="5805805" cy="7773670"/>
                    </a:xfrm>
                    <a:prstGeom prst="rect">
                      <a:avLst/>
                    </a:prstGeom>
                    <a:noFill/>
                    <a:ln w="9525">
                      <a:noFill/>
                    </a:ln>
                  </pic:spPr>
                </pic:pic>
              </a:graphicData>
            </a:graphic>
          </wp:inline>
        </w:drawing>
      </w:r>
    </w:p>
    <w:p w14:paraId="72026469">
      <w:pPr>
        <w:widowControl/>
        <w:spacing w:before="0" w:beforeLines="0" w:beforeAutospacing="0" w:after="0" w:afterLines="0" w:afterAutospacing="0" w:line="240" w:lineRule="auto"/>
        <w:ind w:firstLine="0" w:firstLineChars="0"/>
        <w:jc w:val="left"/>
        <w:rPr>
          <w:rFonts w:ascii="Times New Roman" w:eastAsia="黑体"/>
          <w:sz w:val="32"/>
          <w:szCs w:val="32"/>
        </w:rPr>
      </w:pPr>
      <w:r>
        <w:rPr>
          <w:rFonts w:ascii="Times New Roman" w:eastAsia="黑体"/>
          <w:b w:val="0"/>
          <w:sz w:val="32"/>
          <w:szCs w:val="32"/>
        </w:rPr>
        <w:t>十、其他需要说明的情况</w:t>
      </w:r>
    </w:p>
    <w:p w14:paraId="3686B0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1.本单位国有资本经营预算财政拨款支出决算表（公开08表）、财政拨款“三公”经费支出决算表（公开09表）无相应收支，故空表列示。</w:t>
      </w:r>
    </w:p>
    <w:p w14:paraId="25C3C2C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0CEBC6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3D6EEF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26CDE93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2F807B6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5578D55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3959F49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6A03F78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7A3EE96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6937BAA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152355E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771B695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09B16C1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6820EC7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3C67C95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47E4660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274F472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0927CDA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088CF92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03610B7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36DE155-DFC0-41D3-8740-10CFAE121648}"/>
  </w:font>
  <w:font w:name="黑体">
    <w:panose1 w:val="02010609060101010101"/>
    <w:charset w:val="86"/>
    <w:family w:val="auto"/>
    <w:pitch w:val="default"/>
    <w:sig w:usb0="800002BF" w:usb1="38CF7CFA" w:usb2="00000016" w:usb3="00000000" w:csb0="00040001" w:csb1="00000000"/>
    <w:embedRegular r:id="rId2" w:fontKey="{3B44D131-91CF-4D15-A5AD-7CA963A08C9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F541702-26D5-4E2C-9087-EFB6F22337DC}"/>
  </w:font>
  <w:font w:name="仿宋">
    <w:panose1 w:val="02010609060101010101"/>
    <w:charset w:val="86"/>
    <w:family w:val="modern"/>
    <w:pitch w:val="default"/>
    <w:sig w:usb0="800002BF" w:usb1="38CF7CFA" w:usb2="00000016" w:usb3="00000000" w:csb0="00040001" w:csb1="00000000"/>
    <w:embedRegular r:id="rId4" w:fontKey="{9645AF36-FB38-4E91-A597-F8EFECE1F2BD}"/>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D81E919D-80A8-442E-978A-EB47BD9FBF7A}"/>
  </w:font>
  <w:font w:name="仿宋_GB2312">
    <w:panose1 w:val="02010609030101010101"/>
    <w:charset w:val="86"/>
    <w:family w:val="auto"/>
    <w:pitch w:val="default"/>
    <w:sig w:usb0="00000001" w:usb1="080E0000" w:usb2="00000000" w:usb3="00000000" w:csb0="00040000" w:csb1="00000000"/>
    <w:embedRegular r:id="rId6" w:fontKey="{30517328-68CB-4DA2-8731-F70C609876BA}"/>
  </w:font>
  <w:font w:name="楷体_GB2312">
    <w:panose1 w:val="02010609030101010101"/>
    <w:charset w:val="86"/>
    <w:family w:val="auto"/>
    <w:pitch w:val="default"/>
    <w:sig w:usb0="00000001" w:usb1="080E0000" w:usb2="00000000" w:usb3="00000000" w:csb0="00040000" w:csb1="00000000"/>
    <w:embedRegular r:id="rId7" w:fontKey="{956241AF-2812-4341-82AF-F5689CC666F6}"/>
  </w:font>
  <w:font w:name="微软雅黑">
    <w:panose1 w:val="020B0503020204020204"/>
    <w:charset w:val="86"/>
    <w:family w:val="auto"/>
    <w:pitch w:val="default"/>
    <w:sig w:usb0="80000287" w:usb1="2ACF3C50" w:usb2="00000016" w:usb3="00000000" w:csb0="0004001F" w:csb1="00000000"/>
    <w:embedRegular r:id="rId8" w:fontKey="{1D70C675-EAF4-4A9E-8FFC-3545A6DF3BD2}"/>
  </w:font>
  <w:font w:name="方正小标宋_GBK">
    <w:panose1 w:val="02000000000000000000"/>
    <w:charset w:val="86"/>
    <w:family w:val="script"/>
    <w:pitch w:val="default"/>
    <w:sig w:usb0="A00002BF" w:usb1="38CF7CFA" w:usb2="00082016" w:usb3="00000000" w:csb0="00040001" w:csb1="00000000"/>
    <w:embedRegular r:id="rId9" w:fontKey="{E2144232-02A8-4B44-B4F1-98F5DAF4C17A}"/>
  </w:font>
  <w:font w:name="ArialUnicodeMS">
    <w:altName w:val="Malgun Gothic"/>
    <w:panose1 w:val="00000000000000000000"/>
    <w:charset w:val="81"/>
    <w:family w:val="auto"/>
    <w:pitch w:val="default"/>
    <w:sig w:usb0="00000000" w:usb1="00000000" w:usb2="00000010" w:usb3="00000000" w:csb0="00080001" w:csb1="00000000"/>
    <w:embedRegular r:id="rId10" w:fontKey="{6912B4C7-7981-4D84-8FFA-AC53DFC8CA0B}"/>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CBDCD">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4D7EC">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BD113">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D5BE1">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2B4A24"/>
    <w:multiLevelType w:val="singleLevel"/>
    <w:tmpl w:val="9A2B4A24"/>
    <w:lvl w:ilvl="0" w:tentative="0">
      <w:start w:val="1"/>
      <w:numFmt w:val="chineseCounting"/>
      <w:suff w:val="space"/>
      <w:lvlText w:val="(%1)"/>
      <w:lvlJc w:val="left"/>
      <w:rPr>
        <w:rFonts w:hint="eastAsia"/>
      </w:rPr>
    </w:lvl>
  </w:abstractNum>
  <w:abstractNum w:abstractNumId="1">
    <w:nsid w:val="BF974BC2"/>
    <w:multiLevelType w:val="singleLevel"/>
    <w:tmpl w:val="BF974BC2"/>
    <w:lvl w:ilvl="0" w:tentative="0">
      <w:start w:val="1"/>
      <w:numFmt w:val="chineseCounting"/>
      <w:suff w:val="nothing"/>
      <w:lvlText w:val="%1、"/>
      <w:lvlJc w:val="left"/>
      <w:rPr>
        <w:rFonts w:hint="eastAsia"/>
      </w:rPr>
    </w:lvl>
  </w:abstractNum>
  <w:abstractNum w:abstractNumId="2">
    <w:nsid w:val="CF70D713"/>
    <w:multiLevelType w:val="singleLevel"/>
    <w:tmpl w:val="CF70D713"/>
    <w:lvl w:ilvl="0" w:tentative="0">
      <w:start w:val="1"/>
      <w:numFmt w:val="decimal"/>
      <w:lvlText w:val="%1."/>
      <w:lvlJc w:val="left"/>
      <w:pPr>
        <w:tabs>
          <w:tab w:val="left" w:pos="312"/>
        </w:tabs>
        <w:ind w:left="640" w:leftChars="0" w:firstLine="0" w:firstLineChars="0"/>
      </w:pPr>
    </w:lvl>
  </w:abstractNum>
  <w:abstractNum w:abstractNumId="3">
    <w:nsid w:val="3847A6D2"/>
    <w:multiLevelType w:val="singleLevel"/>
    <w:tmpl w:val="3847A6D2"/>
    <w:lvl w:ilvl="0" w:tentative="0">
      <w:start w:val="3"/>
      <w:numFmt w:val="chineseCounting"/>
      <w:suff w:val="nothing"/>
      <w:lvlText w:val="（%1）"/>
      <w:lvlJc w:val="left"/>
      <w:rPr>
        <w:rFonts w:hint="eastAsia"/>
      </w:rPr>
    </w:lvl>
  </w:abstractNum>
  <w:abstractNum w:abstractNumId="4">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12337E"/>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9A6A8F"/>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8F4F86"/>
    <w:rsid w:val="13B97B08"/>
    <w:rsid w:val="13C527AC"/>
    <w:rsid w:val="144519E1"/>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BC4A21"/>
    <w:rsid w:val="19C10AF1"/>
    <w:rsid w:val="1A017CDA"/>
    <w:rsid w:val="1A2672DE"/>
    <w:rsid w:val="1A497F0F"/>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0274EC"/>
    <w:rsid w:val="1F394761"/>
    <w:rsid w:val="1F65664C"/>
    <w:rsid w:val="1F7C149A"/>
    <w:rsid w:val="1F84140D"/>
    <w:rsid w:val="1F9B7FFD"/>
    <w:rsid w:val="1F9C7614"/>
    <w:rsid w:val="1FBE1971"/>
    <w:rsid w:val="1FCF33BD"/>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8EC13B2"/>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95166"/>
    <w:rsid w:val="4DEC6CB8"/>
    <w:rsid w:val="4DF05692"/>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3B3776"/>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433583"/>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3A6EFB"/>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8464D9"/>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9EE62A0"/>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paragraph" w:customStyle="1" w:styleId="27">
    <w:name w:val="No Spacing_4237fe7c-c47e-41c6-9acd-fe1d22bbb520"/>
    <w:qFormat/>
    <w:uiPriority w:val="0"/>
    <w:pPr>
      <w:widowControl w:val="0"/>
      <w:jc w:val="both"/>
    </w:pPr>
    <w:rPr>
      <w:rFonts w:ascii="宋体" w:hAnsi="宋体" w:eastAsia="仿宋_GB2312" w:cs="Times New Roman"/>
      <w:kern w:val="2"/>
      <w:sz w:val="3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7.emf"/><Relationship Id="rId23" Type="http://schemas.openxmlformats.org/officeDocument/2006/relationships/image" Target="media/image6.emf"/><Relationship Id="rId22" Type="http://schemas.openxmlformats.org/officeDocument/2006/relationships/image" Target="media/image5.emf"/><Relationship Id="rId21" Type="http://schemas.openxmlformats.org/officeDocument/2006/relationships/image" Target="media/image4.emf"/><Relationship Id="rId20" Type="http://schemas.openxmlformats.org/officeDocument/2006/relationships/image" Target="media/image3.emf"/><Relationship Id="rId2" Type="http://schemas.openxmlformats.org/officeDocument/2006/relationships/settings" Target="settings.xml"/><Relationship Id="rId19" Type="http://schemas.openxmlformats.org/officeDocument/2006/relationships/image" Target="media/image2.emf"/><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858.24</c:v>
                </c:pt>
                <c:pt idx="1">
                  <c:v>646.79</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8582352.99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4764785.35</c:v>
                </c:pt>
                <c:pt idx="1">
                  <c:v>3817567.64</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646.79</c:v>
                </c:pt>
                <c:pt idx="1">
                  <c:v>646.79</c:v>
                </c:pt>
                <c:pt idx="2">
                  <c:v>646.79</c:v>
                </c:pt>
                <c:pt idx="3">
                  <c:v>646.79</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858.24</c:v>
                </c:pt>
                <c:pt idx="1">
                  <c:v>858.24</c:v>
                </c:pt>
                <c:pt idx="2">
                  <c:v>833.29</c:v>
                </c:pt>
                <c:pt idx="3">
                  <c:v>833.29</c:v>
                </c:pt>
                <c:pt idx="4">
                  <c:v>24.95</c:v>
                </c:pt>
                <c:pt idx="5">
                  <c:v>24.95</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1494.31</c:v>
                </c:pt>
                <c:pt idx="1">
                  <c:v>1494.31</c:v>
                </c:pt>
                <c:pt idx="2">
                  <c:v>1194.31</c:v>
                </c:pt>
                <c:pt idx="3">
                  <c:v>1194.31</c:v>
                </c:pt>
                <c:pt idx="4">
                  <c:v>300</c:v>
                </c:pt>
                <c:pt idx="5">
                  <c:v>300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858.24</c:v>
                </c:pt>
                <c:pt idx="1">
                  <c:v>858.24</c:v>
                </c:pt>
                <c:pt idx="2">
                  <c:v>833.29</c:v>
                </c:pt>
                <c:pt idx="3">
                  <c:v>833.29</c:v>
                </c:pt>
                <c:pt idx="4">
                  <c:v>24.95</c:v>
                </c:pt>
                <c:pt idx="5">
                  <c:v>24.95</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50</Pages>
  <Words>1660</Words>
  <Characters>6225</Characters>
  <Lines>86</Lines>
  <Paragraphs>24</Paragraphs>
  <TotalTime>69</TotalTime>
  <ScaleCrop>false</ScaleCrop>
  <LinksUpToDate>false</LinksUpToDate>
  <CharactersWithSpaces>6550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Lenovo</cp:lastModifiedBy>
  <cp:lastPrinted>2026-09-22T05:59:00Z</cp:lastPrinted>
  <dcterms:modified xsi:type="dcterms:W3CDTF">2026-10-09T01:29:17Z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3DC4B5E30DF8459F95EDDCDA096B7142_13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