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中共石家庄市鹿泉区委区直机关工作委员会</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286</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中共石家庄市鹿泉区委区直机关工作委员会</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中共石家庄市鹿泉区委区直机关工作委员会</w:t>
      </w:r>
    </w:p>
    <w:p>
      <w:pPr>
        <w:widowControl/>
        <w:spacing w:before="0" w:beforeLines="0" w:beforeAutospacing="0" w:after="0" w:afterLines="0" w:afterAutospacing="0" w:line="360" w:lineRule="auto"/>
        <w:jc w:val="center"/>
        <w:rPr>
          <w:rFonts w:ascii="Times New Roman" w:eastAsia="楷体_GB2312"/>
          <w:b w:val="0"/>
          <w:sz w:val="44"/>
          <w:szCs w:val="44"/>
        </w:rPr>
      </w:pPr>
      <w:bookmarkStart w:id="0" w:name="_GoBack"/>
      <w:bookmarkEnd w:id="0"/>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名词解释</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第一部分部门概况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第一条 根据《中共石家庄市委办公厅、石家庄市人民政府办公厅关于印发</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石家庄市鹿泉区机构改革方案</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的通知》（石办字〔2018〕86号)，制定本规定。</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第二条 中共石家庄市鹿泉区委区直机关工作委员会（简称区委区直机关工委）为中共石家庄市鹿泉区委派出机构，统一领导区直机关各部门党的工作，作为区委工作机关，机构规格正科级。</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第三条 区委区直机关工委的主要职责是：</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（一）统一组织、规划、部署区直机关党的工作，提出加强和改进机关党的建设的意见和建议，研究制定工作规划，并抓好组织实施。</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(二）指导区直机关党的政治建设、思想建设、组织建设、作风建设、纪律建设，把制度建设贯穿其中，深入推进反腐败斗争。</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(三)组织指导区直机关各级党组织和广大党员学习马克思列宁主义、毛泽东思想、邓小平理论、“三个代表”重要思想、科学发展观、习近平新时代中国特色社会主义思想。</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(四)对区直机关各级党组织、党员领导干部落实党建责任制、遵守政治纪律和政治规矩情况进行监督检查，并向区委报告。</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(五)指导区直机关各级党组织实施对党员特别是党员领导干部的监督和管理，及时向区委反映各部门领导班子、领导干部的情况。</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(六)配合区委有关部门抓好区直机关各部门领导班子思想政治建设，参与对党员领导干部民主生活会和党</w:t>
      </w:r>
      <w:r>
        <w:rPr>
          <w:rFonts w:hint="eastAsia" w:ascii="Times New Roman" w:hAnsi="Times New Roman" w:eastAsia="仿宋_GB2312" w:cs="Times New Roman"/>
          <w:kern w:val="0"/>
          <w:sz w:val="32"/>
          <w:szCs w:val="32"/>
          <w:lang w:val="en-US" w:eastAsia="zh-CN"/>
        </w:rPr>
        <w:t>委</w:t>
      </w:r>
      <w:r>
        <w:rPr>
          <w:rFonts w:ascii="Times New Roman" w:hAnsi="Times New Roman" w:eastAsia="仿宋_GB2312" w:cs="Times New Roman"/>
          <w:kern w:val="0"/>
          <w:sz w:val="32"/>
          <w:szCs w:val="32"/>
        </w:rPr>
        <w:t>（党</w:t>
      </w:r>
      <w:r>
        <w:rPr>
          <w:rFonts w:hint="eastAsia" w:ascii="Times New Roman" w:hAnsi="Times New Roman" w:eastAsia="仿宋_GB2312" w:cs="Times New Roman"/>
          <w:kern w:val="0"/>
          <w:sz w:val="32"/>
          <w:szCs w:val="32"/>
          <w:lang w:val="en-US" w:eastAsia="zh-CN"/>
        </w:rPr>
        <w:t>组</w:t>
      </w:r>
      <w:r>
        <w:rPr>
          <w:rFonts w:ascii="Times New Roman" w:hAnsi="Times New Roman" w:eastAsia="仿宋_GB2312" w:cs="Times New Roman"/>
          <w:kern w:val="0"/>
          <w:sz w:val="32"/>
          <w:szCs w:val="32"/>
        </w:rPr>
        <w:t>）理论学习中心组学习的督促检查和指导，了解掌握情况，按规定报送情况报告。</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七)督促指导区直机关党组织按期换届，审批关于召开党员大会或党员代表大会的请示，审批区直机关党组织领导班子的组成及书记、副书记的任免；负责审批区直机关完组织设置工作；对区直机关基层党组织请示的有关问题作出决定、批复或者答复。</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(八）指导区直机关各级党组织加强基层组织建设，做好党员发展、教育管理和党员信访等工作，及基层党组织党员评先评优工作。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(九）了解掌握区直机关工作人员的思想状况，指导区直机关各级党组织加强思想政治工作和精神文明建设。</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(十）协同有关部门指导、规划、协调、监督、检查区直机关干部教育培训工作，做好培训轮训区直机关中层党员干部和机关党务干部工作。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(十一)负责对区直各部门开展的党建工作进行督导检查考核等。</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（十二）完成区委交办的其他任务。</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第四条 区委区直机关工委设下列内设机构：</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办公室。负责机关日常工作的协调和督查，负责机关文电、会务、机要、保密、档案、宣传、后勤保障等工作，负责机关人事、劳资、财务、国有资产管理和公车管理工作，负责机关老干部服务工作，负责机关党支部建设，做好慰问老党员和生活困难党员及党员来信来访等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负责统筹协调区直工委督查工作，负责对区直机关各级党组织、党员领导干部落实党建责任制、遵守政治纪律和政治规矩情况的督查工作，负责对区直机关党组（党委）和各级党组织落实机关党建重点工作、重要制度情况的督查工作及党组织书记抓党建专项述职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负责机关党建、宣传、思想政治、精神文明建设及群团等工作;承担机关党风廉政建设具体工作；负责机关的机构编制、人事管理和教育培训工作。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组织指导科。负责区直机关党建情况的调查研究，起草区直工委重要文件、综合文稿；负责区直机关基层组织建设，提出和制定加强改进工作的意见、制度;对党政机关、人民团体和事业单位基层党组织分类指导，落实“三会一课”等党内生活制度;审批区直机关党组织设置;督促指导区直机关各部门党组织按期换届，审批关于召开党员大会或党员代表大会的请示，审批区直机关各部门机关党委(总支、支部）和机关纪委领导班子的组成及书记、副书记的任免;研究、指导党员发展、教育和管理工作，做好党费收缴管理和党建工作考核，做好党组织和党员评先评优及表彰奖励工作；参与领导干部民主生活会的督查和指导工作，负责党的代表大会代表的推选报批工作，负责区直机关干部教育培训的规划指导工作，组织实施有关干部特别是党务干部教育培训工作任务；指导区直机关的思想政治和精神文明建设工作。</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第五条 区委区直机关工委机关行政编制8名。股级职数2名。科级领导职数设置另行明确。</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第六条 本规定具体解释工作由中共石家庄市鹿泉区委机构编制委员会办公室承担，其调整由中共石家庄市鹿泉区委机构编制委员会办公室按规定程序办理。</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第七条 本规定自2019年2月2日起施行。</w:t>
      </w:r>
    </w:p>
    <w:p>
      <w:pPr>
        <w:spacing w:line="580" w:lineRule="exact"/>
        <w:ind w:firstLine="640" w:firstLineChars="200"/>
        <w:rPr>
          <w:rFonts w:ascii="Times New Roman" w:hAnsi="Times New Roman" w:eastAsia="仿宋_GB2312" w:cs="Times New Roman"/>
          <w:kern w:val="0"/>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中共石家庄市鹿泉区委区直机关工作委员会</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财政拨款</w:t>
            </w:r>
          </w:p>
        </w:tc>
      </w:tr>
    </w:tbl>
    <w:p>
      <w:pPr>
        <w:rPr>
          <w:rFonts w:hint="eastAsia" w:ascii="Times New Roman" w:hAnsi="Times New Roman" w:eastAsia="黑体" w:cs="Times New Roman"/>
          <w:sz w:val="32"/>
          <w:szCs w:val="32"/>
          <w:highlight w:val="yellow"/>
        </w:rPr>
      </w:pPr>
    </w:p>
    <w:p>
      <w:pPr>
        <w:ind w:firstLine="640" w:firstLineChars="200"/>
        <w:rPr>
          <w:rFonts w:hint="eastAsia" w:ascii="Times New Roman" w:hAnsi="Times New Roman" w:eastAsia="黑体" w:cs="Times New Roman"/>
          <w:sz w:val="32"/>
          <w:szCs w:val="32"/>
          <w:highlight w:val="yellow"/>
        </w:rPr>
      </w:pPr>
      <w:r>
        <w:rPr>
          <w:rFonts w:ascii="Times New Roman" w:hAnsi="Times New Roman" w:eastAsia="仿宋_GB2312" w:cs="Times New Roman"/>
          <w:kern w:val="0"/>
          <w:sz w:val="32"/>
          <w:szCs w:val="32"/>
        </w:rPr>
        <w:t>我部门无二级预算单位，因此，</w:t>
      </w:r>
      <w:r>
        <w:rPr>
          <w:rFonts w:hint="eastAsia" w:ascii="Times New Roman" w:hAnsi="Times New Roman" w:eastAsia="仿宋_GB2312" w:cs="Times New Roman"/>
          <w:kern w:val="0"/>
          <w:sz w:val="32"/>
          <w:szCs w:val="32"/>
          <w:lang w:val="en-US" w:eastAsia="zh-CN"/>
        </w:rPr>
        <w:t>中共石家庄市鹿泉区委区直机关工作委员会</w:t>
      </w:r>
      <w:r>
        <w:rPr>
          <w:rFonts w:ascii="Times New Roman" w:hAnsi="Times New Roman" w:eastAsia="仿宋_GB2312" w:cs="Times New Roman"/>
          <w:kern w:val="0"/>
          <w:sz w:val="32"/>
          <w:szCs w:val="32"/>
        </w:rPr>
        <w:t>2024年度部门决算即</w:t>
      </w:r>
      <w:r>
        <w:rPr>
          <w:rFonts w:hint="eastAsia" w:ascii="Times New Roman" w:hAnsi="Times New Roman" w:eastAsia="仿宋_GB2312" w:cs="Times New Roman"/>
          <w:kern w:val="0"/>
          <w:sz w:val="32"/>
          <w:szCs w:val="32"/>
          <w:lang w:val="en-US" w:eastAsia="zh-CN"/>
        </w:rPr>
        <w:t>中共石家庄市鹿泉区委区直机关工作委员会</w:t>
      </w:r>
      <w:r>
        <w:rPr>
          <w:rFonts w:ascii="Times New Roman" w:hAnsi="Times New Roman" w:eastAsia="仿宋_GB2312" w:cs="Times New Roman"/>
          <w:kern w:val="0"/>
          <w:sz w:val="32"/>
          <w:szCs w:val="32"/>
        </w:rPr>
        <w:t>本级2024年度决算。</w:t>
      </w:r>
    </w:p>
    <w:p>
      <w:pPr>
        <w:rPr>
          <w:rFonts w:hint="eastAsia" w:ascii="Times New Roman" w:hAnsi="Times New Roman" w:eastAsia="黑体" w:cs="Times New Roman"/>
          <w:sz w:val="32"/>
          <w:szCs w:val="32"/>
          <w:highlight w:val="yellow"/>
        </w:rPr>
      </w:pPr>
    </w:p>
    <w:p>
      <w:pPr>
        <w:rPr>
          <w:rFonts w:hint="eastAsia" w:ascii="Times New Roman" w:hAnsi="Times New Roman" w:eastAsia="黑体" w:cs="Times New Roman"/>
          <w:sz w:val="32"/>
          <w:szCs w:val="32"/>
          <w:highlight w:val="yellow"/>
        </w:rPr>
      </w:pPr>
    </w:p>
    <w:p>
      <w:pPr>
        <w:rPr>
          <w:rFonts w:hint="eastAsia" w:ascii="Times New Roman" w:hAnsi="Times New Roman" w:eastAsia="黑体" w:cs="Times New Roman"/>
          <w:sz w:val="32"/>
          <w:szCs w:val="32"/>
          <w:highlight w:val="yellow"/>
        </w:rPr>
      </w:pPr>
    </w:p>
    <w:p>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部门（单位）：中共石家庄市鹿泉区委区直机关工作委员会</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部门（单位）：中共石家庄市鹿泉区委区直机关工作委员会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部门（单位）：中共石家庄市鹿泉区委区直机关工作委员会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243.93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部门（单位）：中共石家庄市鹿泉区委区直机关工作委员会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268.01</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012"/>
        <w:gridCol w:w="1040"/>
        <w:gridCol w:w="677"/>
        <w:gridCol w:w="710"/>
        <w:gridCol w:w="339"/>
        <w:gridCol w:w="1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部门（单位）：中共石家庄市鹿泉区委区直机关工作委员会</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243.93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部门（单位）：中共石家庄市鹿泉区委区直机关工作委员会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43.19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16.15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29.47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210.20</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部门（单位）：中共石家庄市鹿泉区委区直机关工作委员会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本部门本年度无相关支出情况，按要求空表列示。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部门（单位）：中共石家庄市鹿泉区委区直机关工作委员会</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本部门本年度无相关支出情况，按要求空表列示。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部门（单位）：中共石家庄市鹿泉区委区直机关工作委员会</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本部门2025年度收、支总计（含结转和结余）均为268.01万元。与2024年度决算相比，收支各减少12.93万元，下降4.6%，主要原因是</w:t>
      </w:r>
      <w:r>
        <w:rPr>
          <w:rFonts w:hint="eastAsia" w:ascii="Times New Roman" w:eastAsia="仿宋_GB2312"/>
          <w:b w:val="0"/>
          <w:sz w:val="32"/>
          <w:szCs w:val="32"/>
          <w:lang w:val="en-US" w:eastAsia="zh-CN"/>
        </w:rPr>
        <w:t>公用</w:t>
      </w:r>
      <w:r>
        <w:rPr>
          <w:rFonts w:hint="eastAsia" w:ascii="Times New Roman" w:hAnsi="Times New Roman" w:eastAsia="仿宋_GB2312" w:cs="Times New Roman"/>
          <w:kern w:val="2"/>
          <w:sz w:val="32"/>
          <w:szCs w:val="32"/>
          <w:lang w:val="en-US" w:eastAsia="zh-CN"/>
        </w:rPr>
        <w:t>经费略有减少</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268.01万元，其中：财政拨款收入268.01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本部门2025年度本年支出合计268.01万元，其中：基本支出243.93万元，占91.0%；项目支出24.08万元，占9.0%；经营支出0.00万元，占0.0%；上缴上级支出0.00万元，占0.0%；对附属单位补助支出0.00万元，占0.0%。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4674235" cy="2429510"/>
            <wp:effectExtent l="4445" t="4445" r="7620" b="2349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本部门2025年度财政拨款收、支总计（含结转和结余）均为268.01万元。与2024年度相比，财政拨款收支各减少12.93万元，降低4.6%，主要原因是</w:t>
      </w:r>
      <w:r>
        <w:rPr>
          <w:rFonts w:hint="eastAsia" w:ascii="Times New Roman" w:eastAsia="仿宋_GB2312"/>
          <w:b w:val="0"/>
          <w:sz w:val="32"/>
          <w:szCs w:val="32"/>
          <w:lang w:val="en-US" w:eastAsia="zh-CN"/>
        </w:rPr>
        <w:t>公用</w:t>
      </w:r>
      <w:r>
        <w:rPr>
          <w:rFonts w:hint="eastAsia" w:ascii="Times New Roman" w:hAnsi="Times New Roman" w:eastAsia="仿宋_GB2312" w:cs="Times New Roman"/>
          <w:kern w:val="2"/>
          <w:sz w:val="32"/>
          <w:szCs w:val="32"/>
          <w:lang w:val="en-US" w:eastAsia="zh-CN"/>
        </w:rPr>
        <w:t>经费略有减少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本部门2025年度财政拨款本年收入268.01万元,比上年减少12.93万元，降低4.6%，主要原因是；本年支出268.01万元，比上年减少12.93万元，降低4.6%，主要原因是</w:t>
      </w:r>
      <w:r>
        <w:rPr>
          <w:rFonts w:hint="eastAsia" w:ascii="Times New Roman" w:eastAsia="仿宋_GB2312"/>
          <w:b w:val="0"/>
          <w:sz w:val="32"/>
          <w:szCs w:val="32"/>
          <w:lang w:val="en-US" w:eastAsia="zh-CN"/>
        </w:rPr>
        <w:t>公用</w:t>
      </w:r>
      <w:r>
        <w:rPr>
          <w:rFonts w:hint="eastAsia" w:ascii="Times New Roman" w:hAnsi="Times New Roman" w:eastAsia="仿宋_GB2312" w:cs="Times New Roman"/>
          <w:kern w:val="2"/>
          <w:sz w:val="32"/>
          <w:szCs w:val="32"/>
          <w:lang w:val="en-US" w:eastAsia="zh-CN"/>
        </w:rPr>
        <w:t>经费略有减少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一般公共预算财政拨款本年收入268.01万元,比上年减少12.93万元，降低4.6%，主要原因是；本年支出268.01万元，比上年减少12.93万元，降低4.6%，主要原因是</w:t>
      </w:r>
      <w:r>
        <w:rPr>
          <w:rFonts w:hint="eastAsia" w:ascii="Times New Roman" w:eastAsia="仿宋_GB2312"/>
          <w:b w:val="0"/>
          <w:sz w:val="32"/>
          <w:szCs w:val="32"/>
          <w:lang w:val="en-US" w:eastAsia="zh-CN"/>
        </w:rPr>
        <w:t>公用</w:t>
      </w:r>
      <w:r>
        <w:rPr>
          <w:rFonts w:hint="eastAsia" w:ascii="Times New Roman" w:hAnsi="Times New Roman" w:eastAsia="仿宋_GB2312" w:cs="Times New Roman"/>
          <w:kern w:val="2"/>
          <w:sz w:val="32"/>
          <w:szCs w:val="32"/>
          <w:lang w:val="en-US" w:eastAsia="zh-CN"/>
        </w:rPr>
        <w:t>经费略有减少</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4911725" cy="2999740"/>
            <wp:effectExtent l="4445" t="4445" r="17780" b="5715"/>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本部门2025年度财政拨款本年收入268.01万元，完成年初预算的87.0%，比年初预算减少40.16万元，决算数小于预算数主要原因是</w:t>
      </w:r>
      <w:r>
        <w:rPr>
          <w:rFonts w:hint="eastAsia" w:ascii="Times New Roman" w:eastAsia="仿宋_GB2312"/>
          <w:b w:val="0"/>
          <w:sz w:val="32"/>
          <w:szCs w:val="32"/>
          <w:lang w:val="en-US" w:eastAsia="zh-CN"/>
        </w:rPr>
        <w:t>活动减少，财政紧张</w:t>
      </w:r>
      <w:r>
        <w:rPr>
          <w:rFonts w:ascii="Times New Roman" w:eastAsia="仿宋_GB2312"/>
          <w:b w:val="0"/>
          <w:sz w:val="32"/>
          <w:szCs w:val="32"/>
        </w:rPr>
        <w:t>；本年支出268.01万元，完成年初预算的87.0%，比年初预算减少40.16万元，决算数小于预算数主要原因是</w:t>
      </w:r>
      <w:r>
        <w:rPr>
          <w:rFonts w:hint="eastAsia" w:ascii="Times New Roman" w:eastAsia="仿宋_GB2312"/>
          <w:b w:val="0"/>
          <w:sz w:val="32"/>
          <w:szCs w:val="32"/>
          <w:lang w:val="en-US" w:eastAsia="zh-CN"/>
        </w:rPr>
        <w:t>活动减少，财政紧张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一般公共预算财政拨款本年收入完成年初预算的87.0%，比年初预算减少40.16万元，主要原因是；支出完成年初预算的87.0%，比年初预算减少40.16万元，主要原因是</w:t>
      </w:r>
      <w:r>
        <w:rPr>
          <w:rFonts w:hint="eastAsia" w:ascii="Times New Roman" w:eastAsia="仿宋_GB2312"/>
          <w:b w:val="0"/>
          <w:sz w:val="32"/>
          <w:szCs w:val="32"/>
          <w:lang w:val="en-US" w:eastAsia="zh-CN"/>
        </w:rPr>
        <w:t>活动减少，财政紧张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2025年度财政拨款支出268.01万元，主要用于以下方面：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一般公共服务（类）支出184.98万元，占69.0%，社会保障和就业 （类）支出56.32万元，占21.0%；卫生健康（类）支出9.24万元，占3.4%，住房保障（类）支出17.47万元，占6.5%，主要用于等支出。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2025年度财政拨款基本支出243.93万元，其中：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210.20万元，主要包括基本工资、津贴补贴、奖金、伙食补助费、绩效工资、机关事业部门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pPr>
        <w:adjustRightInd w:val="0"/>
        <w:snapToGrid w:val="0"/>
        <w:spacing w:line="580" w:lineRule="exact"/>
        <w:ind w:firstLine="640" w:firstLineChars="200"/>
        <w:rPr>
          <w:rFonts w:ascii="Times New Roman" w:eastAsia="仿宋_GB2312"/>
          <w:sz w:val="32"/>
          <w:szCs w:val="32"/>
        </w:rPr>
      </w:pPr>
      <w:r>
        <w:rPr>
          <w:rFonts w:ascii="Times New Roman" w:eastAsia="仿宋_GB2312"/>
          <w:b w:val="0"/>
          <w:sz w:val="32"/>
          <w:szCs w:val="32"/>
        </w:rPr>
        <w:t>公用经费33.73万元，</w:t>
      </w:r>
      <w:r>
        <w:rPr>
          <w:rFonts w:hint="eastAsia" w:ascii="仿宋_GB2312" w:hAnsi="Times New Roman" w:eastAsia="仿宋_GB2312" w:cs="仿宋_GB2312"/>
          <w:sz w:val="32"/>
          <w:szCs w:val="32"/>
        </w:rPr>
        <w:t>办公费、印刷费、取暖费、培训费、委托业务费、工会经费、福利费、公务用车运行维护费、其他商品和服务支出</w:t>
      </w:r>
      <w:r>
        <w:rPr>
          <w:rFonts w:hint="eastAsia" w:ascii="仿宋_GB2312" w:hAnsi="Times New Roman" w:eastAsia="仿宋_GB2312" w:cs="仿宋_GB2312"/>
          <w:sz w:val="32"/>
          <w:szCs w:val="32"/>
          <w:lang w:eastAsia="zh-CN"/>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本部门2025年度“三公”经费财政拨款支出预算为0.81万元，支出决算为0.81万元，完成预算的100.0%</w:t>
      </w:r>
      <w:r>
        <w:rPr>
          <w:rFonts w:hint="eastAsia" w:ascii="Times New Roman" w:eastAsia="仿宋_GB2312"/>
          <w:b w:val="0"/>
          <w:sz w:val="32"/>
          <w:szCs w:val="32"/>
          <w:lang w:eastAsia="zh-CN"/>
        </w:rPr>
        <w:t>；</w:t>
      </w:r>
      <w:r>
        <w:rPr>
          <w:rFonts w:ascii="Times New Roman" w:eastAsia="仿宋_GB2312"/>
          <w:b w:val="0"/>
          <w:sz w:val="32"/>
          <w:szCs w:val="32"/>
        </w:rPr>
        <w:t>较2024年度决算增加0.10万元，增长14.1%，主要原因是</w:t>
      </w:r>
      <w:r>
        <w:rPr>
          <w:rFonts w:hint="eastAsia" w:ascii="仿宋_GB2312" w:hAnsi="Times New Roman" w:eastAsia="仿宋_GB2312" w:cs="Wingdings"/>
          <w:sz w:val="32"/>
          <w:szCs w:val="32"/>
          <w:lang w:val="en-US" w:eastAsia="zh-CN"/>
        </w:rPr>
        <w:t>厉行节约，严控公车使用</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w:t>
      </w:r>
      <w:r>
        <w:rPr>
          <w:rFonts w:hint="eastAsia" w:ascii="仿宋_GB2312" w:hAnsi="Times New Roman" w:eastAsia="仿宋_GB2312" w:cs="Wingdings"/>
          <w:sz w:val="32"/>
          <w:szCs w:val="32"/>
          <w:lang w:val="en-US" w:eastAsia="zh-CN"/>
        </w:rPr>
        <w:t>团组0个、共0人参加其他单位组织的因公出国（境）团组0个、共0人/无本单位组织的出国（境）团组。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本部门2025年度公务用车购置及运行维护费预算为0.81万元，支出决算0.81万元，完成预算的100.0%,较预算增加0.00万元，增长0.0%,主要原因是</w:t>
      </w:r>
      <w:r>
        <w:rPr>
          <w:rFonts w:hint="eastAsia" w:ascii="仿宋_GB2312" w:hAnsi="Times New Roman" w:eastAsia="仿宋_GB2312" w:cs="Wingdings"/>
          <w:sz w:val="32"/>
          <w:szCs w:val="32"/>
          <w:lang w:val="en-US" w:eastAsia="zh-CN"/>
        </w:rPr>
        <w:t>厉行节约，严控公车使用</w:t>
      </w:r>
      <w:r>
        <w:rPr>
          <w:rFonts w:ascii="Times New Roman" w:eastAsia="仿宋_GB2312"/>
          <w:b w:val="0"/>
          <w:sz w:val="32"/>
          <w:szCs w:val="32"/>
        </w:rPr>
        <w:t>；较上年增加0.10万元，增长14.1%,主要原因是</w:t>
      </w:r>
      <w:r>
        <w:rPr>
          <w:rFonts w:hint="eastAsia" w:ascii="仿宋_GB2312" w:hAnsi="Times New Roman" w:eastAsia="仿宋_GB2312" w:cs="Wingdings"/>
          <w:sz w:val="32"/>
          <w:szCs w:val="32"/>
          <w:lang w:val="en-US" w:eastAsia="zh-CN"/>
        </w:rPr>
        <w:t>厉行节约，严控公车使用</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w:t>
      </w:r>
      <w:r>
        <w:rPr>
          <w:rFonts w:hint="default" w:ascii="Times New Roman" w:hAnsi="Times New Roman" w:eastAsia="仿宋_GB2312" w:cs="Times New Roman"/>
          <w:color w:val="auto"/>
          <w:kern w:val="2"/>
          <w:sz w:val="32"/>
          <w:szCs w:val="32"/>
          <w:lang w:val="zh-CN" w:eastAsia="zh-CN" w:bidi="ar-SA"/>
        </w:rPr>
        <w:t>公务用车购置量0辆，发生“公务用车购置”经费支出 0万元。公务用车购置费支出较预算</w:t>
      </w:r>
      <w:r>
        <w:rPr>
          <w:rFonts w:hint="eastAsia" w:ascii="Times New Roman" w:hAnsi="Times New Roman" w:eastAsia="仿宋_GB2312" w:cs="Times New Roman"/>
          <w:color w:val="auto"/>
          <w:kern w:val="2"/>
          <w:sz w:val="32"/>
          <w:szCs w:val="32"/>
          <w:lang w:val="zh-CN" w:eastAsia="zh-CN" w:bidi="ar-SA"/>
        </w:rPr>
        <w:t>持平</w:t>
      </w:r>
      <w:r>
        <w:rPr>
          <w:rFonts w:hint="default" w:ascii="Times New Roman" w:hAnsi="Times New Roman" w:eastAsia="仿宋_GB2312" w:cs="Times New Roman"/>
          <w:color w:val="auto"/>
          <w:kern w:val="2"/>
          <w:sz w:val="32"/>
          <w:szCs w:val="32"/>
          <w:lang w:val="zh-CN" w:eastAsia="zh-CN" w:bidi="ar-SA"/>
        </w:rPr>
        <w:t>，主要是未发生公务用车购置经费支出；较上年</w:t>
      </w:r>
      <w:r>
        <w:rPr>
          <w:rFonts w:hint="eastAsia" w:ascii="Times New Roman" w:hAnsi="Times New Roman" w:eastAsia="仿宋_GB2312" w:cs="Times New Roman"/>
          <w:color w:val="auto"/>
          <w:kern w:val="2"/>
          <w:sz w:val="32"/>
          <w:szCs w:val="32"/>
          <w:lang w:val="zh-CN" w:eastAsia="zh-CN" w:bidi="ar-SA"/>
        </w:rPr>
        <w:t>持平</w:t>
      </w:r>
      <w:r>
        <w:rPr>
          <w:rFonts w:hint="default" w:ascii="Times New Roman" w:hAnsi="Times New Roman" w:eastAsia="仿宋_GB2312" w:cs="Times New Roman"/>
          <w:color w:val="auto"/>
          <w:kern w:val="2"/>
          <w:sz w:val="32"/>
          <w:szCs w:val="32"/>
          <w:lang w:val="zh-CN" w:eastAsia="zh-CN" w:bidi="ar-SA"/>
        </w:rPr>
        <w:t>，主要是未发生公务用车购置经费支出。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公务用车运行维护费支出0.81万元：</w:t>
      </w:r>
      <w:r>
        <w:rPr>
          <w:rFonts w:ascii="Times New Roman" w:eastAsia="仿宋_GB2312"/>
          <w:b w:val="0"/>
          <w:sz w:val="32"/>
          <w:szCs w:val="32"/>
        </w:rPr>
        <w:t>本部门2025年度单位公务用车保有量1辆，发生运行维护费支出0.81万元。较上年增加0.10万元，增长14.1%，主要原因是</w:t>
      </w:r>
      <w:r>
        <w:rPr>
          <w:rFonts w:hint="eastAsia" w:ascii="仿宋_GB2312" w:hAnsi="Times New Roman" w:eastAsia="仿宋_GB2312" w:cs="Wingdings"/>
          <w:sz w:val="32"/>
          <w:szCs w:val="32"/>
          <w:lang w:val="en-US" w:eastAsia="zh-CN"/>
        </w:rPr>
        <w:t>厉行节约，严控公车使用</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w:t>
      </w:r>
      <w:r>
        <w:rPr>
          <w:rFonts w:hint="default" w:ascii="Times New Roman" w:hAnsi="Times New Roman" w:eastAsia="仿宋_GB2312" w:cs="Times New Roman"/>
          <w:color w:val="auto"/>
          <w:kern w:val="2"/>
          <w:sz w:val="32"/>
          <w:szCs w:val="32"/>
          <w:lang w:val="zh-CN" w:eastAsia="zh-CN" w:bidi="ar-SA"/>
        </w:rPr>
        <w:t>公务接待费</w:t>
      </w:r>
      <w:r>
        <w:rPr>
          <w:rFonts w:hint="eastAsia" w:ascii="仿宋_GB2312" w:hAnsi="Times New Roman" w:eastAsia="仿宋_GB2312" w:cs="仿宋_GB2312"/>
          <w:sz w:val="32"/>
          <w:szCs w:val="32"/>
        </w:rPr>
        <w:t>支出0万元，其中公务接待共0批次、0人次，与预算和上年决算持平。</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eastAsia" w:ascii="Times New Roman" w:hAnsi="Times New Roman" w:eastAsia="仿宋_GB2312" w:cs="Times New Roman"/>
          <w:color w:val="auto"/>
          <w:kern w:val="2"/>
          <w:sz w:val="32"/>
          <w:szCs w:val="32"/>
          <w:lang w:val="en-US" w:eastAsia="zh-CN" w:bidi="ar-SA"/>
        </w:rPr>
      </w:pPr>
      <w:r>
        <w:rPr>
          <w:rFonts w:ascii="Times New Roman" w:eastAsia="仿宋_GB2312"/>
          <w:b w:val="0"/>
          <w:sz w:val="32"/>
          <w:szCs w:val="32"/>
        </w:rPr>
        <w:t>本部门2025年度机关运行经费支出33.73万元，较2024年度减少1.56万元，降低4.4%。主要原因是</w:t>
      </w:r>
      <w:r>
        <w:rPr>
          <w:rFonts w:hint="eastAsia" w:ascii="Times New Roman" w:hAnsi="Times New Roman" w:eastAsia="仿宋_GB2312" w:cs="Times New Roman"/>
          <w:color w:val="auto"/>
          <w:kern w:val="2"/>
          <w:sz w:val="32"/>
          <w:szCs w:val="32"/>
          <w:lang w:val="en-US" w:eastAsia="zh-CN" w:bidi="ar-SA"/>
        </w:rPr>
        <w:t>人员工资保险等基数变化。</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本部门2025年度政府采购支出总额0.26万元，从采购类型来看，政府采购货物支出0.26万元</w:t>
      </w:r>
      <w:r>
        <w:rPr>
          <w:rFonts w:hint="eastAsia" w:ascii="Times New Roman" w:eastAsia="仿宋_GB2312"/>
          <w:b w:val="0"/>
          <w:sz w:val="32"/>
          <w:szCs w:val="32"/>
          <w:lang w:eastAsia="zh-CN"/>
        </w:rPr>
        <w:t>，</w:t>
      </w:r>
      <w:r>
        <w:rPr>
          <w:rFonts w:ascii="Times New Roman" w:eastAsia="仿宋_GB2312"/>
          <w:b w:val="0"/>
          <w:sz w:val="32"/>
          <w:szCs w:val="32"/>
        </w:rPr>
        <w:t>授予中小企业合同金额0.26万元，占政府采购支出总额的100.0%</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截至2025年12月31日，本部门共有车辆1辆，比上年增加0辆，主要是。其中，应急保障用车1辆，单位价值100万元（含）以上设备（不含车辆）0台（套）。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49.16</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4</w:t>
      </w:r>
      <w:r>
        <w:rPr>
          <w:rFonts w:ascii="Times New Roman" w:eastAsia="仿宋_GB2312"/>
          <w:b w:val="0"/>
          <w:sz w:val="32"/>
          <w:szCs w:val="32"/>
        </w:rPr>
        <w:t>个，涉及资金</w:t>
      </w:r>
      <w:r>
        <w:rPr>
          <w:rFonts w:hint="eastAsia" w:ascii="Times New Roman" w:eastAsia="仿宋_GB2312"/>
          <w:b w:val="0"/>
          <w:sz w:val="32"/>
          <w:szCs w:val="32"/>
          <w:lang w:val="en-US" w:eastAsia="zh-CN"/>
        </w:rPr>
        <w:t>49.16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lang w:val="en-US" w:eastAsia="zh-CN"/>
        </w:rPr>
        <w:t>4</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49.16</w:t>
      </w:r>
      <w:r>
        <w:rPr>
          <w:rFonts w:ascii="Times New Roman" w:eastAsia="仿宋_GB2312"/>
          <w:b w:val="0"/>
          <w:sz w:val="32"/>
          <w:szCs w:val="32"/>
        </w:rPr>
        <w:t>万元</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val="en-US" w:eastAsia="zh-CN"/>
        </w:rPr>
        <w:t>4</w:t>
      </w:r>
      <w:r>
        <w:rPr>
          <w:rFonts w:ascii="Times New Roman" w:eastAsia="仿宋_GB2312"/>
          <w:b w:val="0"/>
          <w:sz w:val="32"/>
          <w:szCs w:val="32"/>
        </w:rPr>
        <w:t>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53</w:t>
      </w:r>
      <w:r>
        <w:rPr>
          <w:rFonts w:ascii="Times New Roman" w:eastAsia="仿宋_GB2312"/>
          <w:b w:val="0"/>
          <w:sz w:val="32"/>
          <w:szCs w:val="32"/>
        </w:rPr>
        <w:t>万元，执行数为</w:t>
      </w:r>
      <w:r>
        <w:rPr>
          <w:rFonts w:hint="eastAsia" w:ascii="Times New Roman" w:eastAsia="仿宋_GB2312"/>
          <w:b w:val="0"/>
          <w:sz w:val="32"/>
          <w:szCs w:val="32"/>
          <w:lang w:val="en-US" w:eastAsia="zh-CN"/>
        </w:rPr>
        <w:t>24.08</w:t>
      </w:r>
      <w:r>
        <w:rPr>
          <w:rFonts w:ascii="Times New Roman" w:eastAsia="仿宋_GB2312"/>
          <w:b w:val="0"/>
          <w:sz w:val="32"/>
          <w:szCs w:val="32"/>
        </w:rPr>
        <w:t>万元，完成预算的</w:t>
      </w:r>
      <w:r>
        <w:rPr>
          <w:rFonts w:hint="eastAsia" w:ascii="Times New Roman" w:eastAsia="仿宋_GB2312"/>
          <w:b w:val="0"/>
          <w:sz w:val="32"/>
          <w:szCs w:val="32"/>
          <w:lang w:val="en-US" w:eastAsia="zh-CN"/>
        </w:rPr>
        <w:t>45.43</w:t>
      </w:r>
      <w:r>
        <w:rPr>
          <w:rFonts w:ascii="Times New Roman" w:eastAsia="仿宋_GB2312"/>
          <w:b w:val="0"/>
          <w:sz w:val="32"/>
          <w:szCs w:val="32"/>
        </w:rPr>
        <w:t>%。</w:t>
      </w:r>
    </w:p>
    <w:tbl>
      <w:tblPr>
        <w:tblStyle w:val="11"/>
        <w:tblW w:w="81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3"/>
        <w:gridCol w:w="5515"/>
        <w:gridCol w:w="1000"/>
        <w:gridCol w:w="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序号</w:t>
            </w:r>
          </w:p>
        </w:tc>
        <w:tc>
          <w:tcPr>
            <w:tcW w:w="5515" w:type="dxa"/>
            <w:tcBorders>
              <w:top w:val="single" w:color="auto" w:sz="4" w:space="0"/>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项目名称</w:t>
            </w:r>
          </w:p>
        </w:tc>
        <w:tc>
          <w:tcPr>
            <w:tcW w:w="1000" w:type="dxa"/>
            <w:tcBorders>
              <w:top w:val="single" w:color="auto" w:sz="4" w:space="0"/>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自评得分</w:t>
            </w:r>
          </w:p>
        </w:tc>
        <w:tc>
          <w:tcPr>
            <w:tcW w:w="865" w:type="dxa"/>
            <w:tcBorders>
              <w:top w:val="single" w:color="auto" w:sz="4" w:space="0"/>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评价等级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551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left"/>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党</w:t>
            </w:r>
            <w:r>
              <w:rPr>
                <w:rFonts w:hint="eastAsia" w:ascii="仿宋_GB2312" w:hAnsi="宋体" w:eastAsia="仿宋_GB2312" w:cs="宋体"/>
                <w:kern w:val="0"/>
                <w:sz w:val="22"/>
                <w:szCs w:val="22"/>
                <w:lang w:val="en-US" w:eastAsia="zh-CN"/>
              </w:rPr>
              <w:t>组织</w:t>
            </w:r>
            <w:r>
              <w:rPr>
                <w:rFonts w:hint="eastAsia" w:ascii="仿宋_GB2312" w:hAnsi="宋体" w:eastAsia="仿宋_GB2312" w:cs="宋体"/>
                <w:kern w:val="0"/>
                <w:sz w:val="22"/>
                <w:szCs w:val="22"/>
              </w:rPr>
              <w:t>活动经费</w:t>
            </w:r>
          </w:p>
        </w:tc>
        <w:tc>
          <w:tcPr>
            <w:tcW w:w="1000"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100.00 </w:t>
            </w:r>
          </w:p>
        </w:tc>
        <w:tc>
          <w:tcPr>
            <w:tcW w:w="86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w:t>
            </w:r>
          </w:p>
        </w:tc>
        <w:tc>
          <w:tcPr>
            <w:tcW w:w="551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left"/>
              <w:textAlignment w:val="auto"/>
              <w:outlineLvl w:val="9"/>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党员活动经费</w:t>
            </w:r>
          </w:p>
        </w:tc>
        <w:tc>
          <w:tcPr>
            <w:tcW w:w="1000"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right"/>
              <w:textAlignment w:val="auto"/>
              <w:outlineLvl w:val="9"/>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xml:space="preserve">   100.00 </w:t>
            </w:r>
          </w:p>
        </w:tc>
        <w:tc>
          <w:tcPr>
            <w:tcW w:w="86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w:t>
            </w:r>
          </w:p>
        </w:tc>
        <w:tc>
          <w:tcPr>
            <w:tcW w:w="551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left"/>
              <w:textAlignment w:val="auto"/>
              <w:outlineLvl w:val="9"/>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涉军劳务派遣岗</w:t>
            </w:r>
          </w:p>
        </w:tc>
        <w:tc>
          <w:tcPr>
            <w:tcW w:w="1000"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100.00 </w:t>
            </w:r>
          </w:p>
        </w:tc>
        <w:tc>
          <w:tcPr>
            <w:tcW w:w="86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val="en-US" w:eastAsia="zh-CN"/>
              </w:rPr>
              <w:t>4</w:t>
            </w:r>
          </w:p>
        </w:tc>
        <w:tc>
          <w:tcPr>
            <w:tcW w:w="551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left"/>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表彰及慰问党员</w:t>
            </w:r>
          </w:p>
        </w:tc>
        <w:tc>
          <w:tcPr>
            <w:tcW w:w="1000"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100.00</w:t>
            </w:r>
            <w:r>
              <w:rPr>
                <w:rFonts w:hint="default" w:ascii="Times New Roman" w:hAnsi="Times New Roman" w:eastAsia="仿宋_GB2312" w:cs="Times New Roman"/>
                <w:kern w:val="0"/>
                <w:sz w:val="22"/>
                <w:szCs w:val="22"/>
              </w:rPr>
              <w:t xml:space="preserve"> </w:t>
            </w:r>
          </w:p>
        </w:tc>
        <w:tc>
          <w:tcPr>
            <w:tcW w:w="865" w:type="dxa"/>
            <w:tcBorders>
              <w:top w:val="nil"/>
              <w:left w:val="nil"/>
              <w:bottom w:val="single" w:color="auto" w:sz="4" w:space="0"/>
              <w:right w:val="single" w:color="auto" w:sz="4" w:space="0"/>
            </w:tcBorders>
            <w:vAlign w:val="center"/>
          </w:tcPr>
          <w:p>
            <w:pPr>
              <w:widowControl/>
              <w:wordWrap/>
              <w:adjustRightInd/>
              <w:spacing w:before="0" w:after="0" w:line="360" w:lineRule="auto"/>
              <w:ind w:left="-120" w:leftChars="-50" w:right="-120"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bl>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黑体"/>
          <w:b w:val="0"/>
          <w:sz w:val="44"/>
          <w:szCs w:val="44"/>
        </w:rPr>
        <w:t>第四部分 名词解释</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1DD944A-F9D6-45F3-BDD7-7094729F3EE9}"/>
  </w:font>
  <w:font w:name="Arial">
    <w:panose1 w:val="020B0604020202020204"/>
    <w:charset w:val="01"/>
    <w:family w:val="swiss"/>
    <w:pitch w:val="default"/>
    <w:sig w:usb0="E0002EFF" w:usb1="C000785B" w:usb2="00000009" w:usb3="00000000" w:csb0="400001FF" w:csb1="FFFF0000"/>
    <w:embedRegular r:id="rId2" w:fontKey="{0D49720D-33D0-4563-8E24-FA337ED6EB84}"/>
  </w:font>
  <w:font w:name="黑体">
    <w:panose1 w:val="02010609060101010101"/>
    <w:charset w:val="86"/>
    <w:family w:val="auto"/>
    <w:pitch w:val="default"/>
    <w:sig w:usb0="800002BF" w:usb1="38CF7CFA" w:usb2="00000016" w:usb3="00000000" w:csb0="00040001" w:csb1="00000000"/>
    <w:embedRegular r:id="rId3" w:fontKey="{284F4CE2-5C1B-493A-846B-D3686F78AB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D06BD13E-C770-4585-BFA7-804CA7F5FAA8}"/>
  </w:font>
  <w:font w:name="+西文正文">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5" w:fontKey="{2BCE9D49-A0CA-4F10-9E52-0B09D63C57D2}"/>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00" w:usb3="00000000" w:csb0="00000000" w:csb1="00000000"/>
    <w:embedRegular r:id="rId6" w:fontKey="{E794884D-DC84-4B96-B09A-DFA5FE28BBA1}"/>
  </w:font>
  <w:font w:name="楷体_GB2312">
    <w:panose1 w:val="02010609030101010101"/>
    <w:charset w:val="86"/>
    <w:family w:val="auto"/>
    <w:pitch w:val="default"/>
    <w:sig w:usb0="00000001" w:usb1="080E0000" w:usb2="00000000" w:usb3="00000000" w:csb0="00040000" w:csb1="00000000"/>
    <w:embedRegular r:id="rId7" w:fontKey="{34735037-9587-4A2F-84D5-DD2DC407E970}"/>
  </w:font>
  <w:font w:name="微软雅黑">
    <w:panose1 w:val="020B0503020204020204"/>
    <w:charset w:val="86"/>
    <w:family w:val="auto"/>
    <w:pitch w:val="default"/>
    <w:sig w:usb0="80000287" w:usb1="2ACF3C50" w:usb2="00000016" w:usb3="00000000" w:csb0="0004001F" w:csb1="00000000"/>
    <w:embedRegular r:id="rId8" w:fontKey="{67AEC212-7F19-4664-A7BA-DAA218842EA1}"/>
  </w:font>
  <w:font w:name="方正小标宋_GBK">
    <w:altName w:val="微软雅黑"/>
    <w:panose1 w:val="02000000000000000000"/>
    <w:charset w:val="86"/>
    <w:family w:val="script"/>
    <w:pitch w:val="default"/>
    <w:sig w:usb0="00000000" w:usb1="00000000" w:usb2="00000000" w:usb3="00000000" w:csb0="00000000" w:csb1="00000000"/>
    <w:embedRegular r:id="rId9" w:fontKey="{2D00870A-97C2-4326-BAFC-3E24C94C9091}"/>
  </w:font>
  <w:font w:name="仿宋_GB2312">
    <w:panose1 w:val="02010609030101010101"/>
    <w:charset w:val="86"/>
    <w:family w:val="auto"/>
    <w:pitch w:val="default"/>
    <w:sig w:usb0="00000001" w:usb1="080E0000" w:usb2="00000000" w:usb3="00000000" w:csb0="00040000" w:csb1="00000000"/>
    <w:embedRegular r:id="rId10" w:fontKey="{08226ECB-86AC-4A75-94AF-EB0AF407703B}"/>
  </w:font>
  <w:font w:name="ArialUnicodeMS">
    <w:altName w:val="Malgun Gothic"/>
    <w:panose1 w:val="00000000000000000000"/>
    <w:charset w:val="81"/>
    <w:family w:val="auto"/>
    <w:pitch w:val="default"/>
    <w:sig w:usb0="00000000" w:usb1="00000000" w:usb2="00000010" w:usb3="00000000" w:csb0="00080001" w:csb1="00000000"/>
    <w:embedRegular r:id="rId11" w:fontKey="{A477F804-BCEF-4D2B-9C85-91E887BAA2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0E374F"/>
    <w:rsid w:val="07533AFE"/>
    <w:rsid w:val="07AC18F2"/>
    <w:rsid w:val="07B3657A"/>
    <w:rsid w:val="07C857D0"/>
    <w:rsid w:val="081163FE"/>
    <w:rsid w:val="083F3A0A"/>
    <w:rsid w:val="08AB5AAF"/>
    <w:rsid w:val="08C65EBD"/>
    <w:rsid w:val="08D24C32"/>
    <w:rsid w:val="09012C64"/>
    <w:rsid w:val="093B2E99"/>
    <w:rsid w:val="095D7943"/>
    <w:rsid w:val="09C006C6"/>
    <w:rsid w:val="0A03475D"/>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3654C5"/>
    <w:rsid w:val="105A290D"/>
    <w:rsid w:val="10754A6C"/>
    <w:rsid w:val="108B537D"/>
    <w:rsid w:val="10B11DB1"/>
    <w:rsid w:val="11173F7A"/>
    <w:rsid w:val="11177F57"/>
    <w:rsid w:val="11217C97"/>
    <w:rsid w:val="113076C2"/>
    <w:rsid w:val="11365128"/>
    <w:rsid w:val="11464C20"/>
    <w:rsid w:val="11585A86"/>
    <w:rsid w:val="115E4926"/>
    <w:rsid w:val="118A1FFA"/>
    <w:rsid w:val="11E35B5A"/>
    <w:rsid w:val="11E42DD6"/>
    <w:rsid w:val="12252AF9"/>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060585"/>
    <w:rsid w:val="17117D96"/>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6661EC"/>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3D7DBF"/>
    <w:rsid w:val="1EB17C97"/>
    <w:rsid w:val="1ED22D79"/>
    <w:rsid w:val="1EDF707D"/>
    <w:rsid w:val="1F394761"/>
    <w:rsid w:val="1F65664C"/>
    <w:rsid w:val="1F7C149A"/>
    <w:rsid w:val="1F823675"/>
    <w:rsid w:val="1F84140D"/>
    <w:rsid w:val="1F9B7FFD"/>
    <w:rsid w:val="1F9C7614"/>
    <w:rsid w:val="1FBE1971"/>
    <w:rsid w:val="2008768D"/>
    <w:rsid w:val="204B327F"/>
    <w:rsid w:val="204C2B10"/>
    <w:rsid w:val="207D30AD"/>
    <w:rsid w:val="209064B9"/>
    <w:rsid w:val="20970D81"/>
    <w:rsid w:val="20D165D5"/>
    <w:rsid w:val="20E84EF7"/>
    <w:rsid w:val="210878E6"/>
    <w:rsid w:val="210E1408"/>
    <w:rsid w:val="211069AD"/>
    <w:rsid w:val="21573FAB"/>
    <w:rsid w:val="2172069C"/>
    <w:rsid w:val="21834E87"/>
    <w:rsid w:val="21987BC4"/>
    <w:rsid w:val="21BE314A"/>
    <w:rsid w:val="220451AB"/>
    <w:rsid w:val="22175AAF"/>
    <w:rsid w:val="2237486E"/>
    <w:rsid w:val="223D1378"/>
    <w:rsid w:val="22451BC7"/>
    <w:rsid w:val="225D75D5"/>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5D57F0"/>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074AB6"/>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C42B20"/>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EC42A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DF56229"/>
    <w:rsid w:val="3E1057AF"/>
    <w:rsid w:val="3E6C0DFA"/>
    <w:rsid w:val="3E740322"/>
    <w:rsid w:val="3E7F4380"/>
    <w:rsid w:val="3E8D171B"/>
    <w:rsid w:val="3EA5630D"/>
    <w:rsid w:val="3EBA731B"/>
    <w:rsid w:val="3EE33949"/>
    <w:rsid w:val="3EFB5800"/>
    <w:rsid w:val="3F3B4E59"/>
    <w:rsid w:val="3F6E677C"/>
    <w:rsid w:val="3F712F46"/>
    <w:rsid w:val="3F9670E3"/>
    <w:rsid w:val="3FBC0EF7"/>
    <w:rsid w:val="3FC2310E"/>
    <w:rsid w:val="3FCD2AB9"/>
    <w:rsid w:val="3FCD4B44"/>
    <w:rsid w:val="3FD17600"/>
    <w:rsid w:val="3FFF0C57"/>
    <w:rsid w:val="402E7C36"/>
    <w:rsid w:val="4050218A"/>
    <w:rsid w:val="405C7868"/>
    <w:rsid w:val="406B3BF6"/>
    <w:rsid w:val="408B24EB"/>
    <w:rsid w:val="408D1DBF"/>
    <w:rsid w:val="40C652D1"/>
    <w:rsid w:val="40F40090"/>
    <w:rsid w:val="41157FA2"/>
    <w:rsid w:val="41190458"/>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5C702D"/>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D44613"/>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1A6257"/>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497C5A"/>
    <w:rsid w:val="5EA45884"/>
    <w:rsid w:val="5EBD0484"/>
    <w:rsid w:val="5F2C5C7C"/>
    <w:rsid w:val="5F36141C"/>
    <w:rsid w:val="5FC5273F"/>
    <w:rsid w:val="5FD64459"/>
    <w:rsid w:val="5FE33352"/>
    <w:rsid w:val="602036F1"/>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84CF4"/>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425E28"/>
    <w:rsid w:val="69594266"/>
    <w:rsid w:val="697E12B2"/>
    <w:rsid w:val="69C8706D"/>
    <w:rsid w:val="6A0E3FB4"/>
    <w:rsid w:val="6A292754"/>
    <w:rsid w:val="6A5E3B28"/>
    <w:rsid w:val="6A6B1EBE"/>
    <w:rsid w:val="6A8F43F7"/>
    <w:rsid w:val="6AD24F26"/>
    <w:rsid w:val="6AD625F3"/>
    <w:rsid w:val="6B4353D2"/>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3D07EA"/>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61EB4"/>
    <w:rsid w:val="75272439"/>
    <w:rsid w:val="758F1E9B"/>
    <w:rsid w:val="75CE266B"/>
    <w:rsid w:val="75E538F2"/>
    <w:rsid w:val="76120141"/>
    <w:rsid w:val="76510960"/>
    <w:rsid w:val="768216BE"/>
    <w:rsid w:val="76C23B43"/>
    <w:rsid w:val="76FD6F97"/>
    <w:rsid w:val="770218E8"/>
    <w:rsid w:val="772223BA"/>
    <w:rsid w:val="779469CE"/>
    <w:rsid w:val="77C875A5"/>
    <w:rsid w:val="77D777E8"/>
    <w:rsid w:val="78A27DF6"/>
    <w:rsid w:val="79006697"/>
    <w:rsid w:val="79285B3A"/>
    <w:rsid w:val="79490B03"/>
    <w:rsid w:val="79625CA9"/>
    <w:rsid w:val="799D5976"/>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2E35B4"/>
    <w:rsid w:val="7D4E45F1"/>
    <w:rsid w:val="7DFB6D82"/>
    <w:rsid w:val="7E1D71D1"/>
    <w:rsid w:val="7E246254"/>
    <w:rsid w:val="7E502A88"/>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268.01</c:v>
                </c:pt>
                <c:pt idx="1">
                  <c:v>280.94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2680087.51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2439258.75</c:v>
                </c:pt>
                <c:pt idx="1">
                  <c:v>240828.76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280.94</c:v>
                </c:pt>
                <c:pt idx="1">
                  <c:v>280.94</c:v>
                </c:pt>
                <c:pt idx="2">
                  <c:v>280.94</c:v>
                </c:pt>
                <c:pt idx="3">
                  <c:v>280.94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268.01</c:v>
                </c:pt>
                <c:pt idx="1">
                  <c:v>268.01</c:v>
                </c:pt>
                <c:pt idx="2">
                  <c:v>268.01</c:v>
                </c:pt>
                <c:pt idx="3">
                  <c:v>268.01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308.17</c:v>
                </c:pt>
                <c:pt idx="1">
                  <c:v>308.17</c:v>
                </c:pt>
                <c:pt idx="2">
                  <c:v>308.17</c:v>
                </c:pt>
                <c:pt idx="3">
                  <c:v>308.17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268.01</c:v>
                </c:pt>
                <c:pt idx="1">
                  <c:v>268.01</c:v>
                </c:pt>
                <c:pt idx="2">
                  <c:v>268.01</c:v>
                </c:pt>
                <c:pt idx="3">
                  <c:v>268.01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TotalTime>
  <ScaleCrop>false</ScaleCrop>
  <LinksUpToDate>false</LinksUpToDate>
  <CharactersWithSpaces>6550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DELL</cp:lastModifiedBy>
  <cp:lastPrinted>2023-08-04T01:00:00Z</cp:lastPrinted>
  <dcterms:modified xsi:type="dcterms:W3CDTF">2026-09-29T02:16:41Z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