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石家庄市鹿泉区医疗保障局（本级）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365001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石家庄市鹿泉区医疗保障局（本级）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石家庄市鹿泉区医疗保障局（本级）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贯彻落实党中央和省、市、区委关于医疗保障工作的方针政策和决策部署，坚持和加强党对医疗保障工作的集中统一领导。 </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主要职责是：（一）贯彻落实国家、省、市关于城镇职工和城乡居民</w:t>
      </w:r>
      <w:r>
        <w:rPr>
          <w:rFonts w:hint="eastAsia" w:ascii="Times New Roman" w:eastAsia="仿宋_GB2312"/>
          <w:b w:val="0"/>
          <w:sz w:val="32"/>
          <w:szCs w:val="32"/>
          <w:lang w:eastAsia="zh-CN"/>
        </w:rPr>
        <w:t>基本</w:t>
      </w:r>
      <w:r>
        <w:rPr>
          <w:rFonts w:ascii="Times New Roman" w:eastAsia="仿宋_GB2312"/>
          <w:b w:val="0"/>
          <w:sz w:val="32"/>
          <w:szCs w:val="32"/>
        </w:rPr>
        <w:t>医疗保险、生育保险、长期护理保险、医疗救助等医疗保障法规、规章以及政策、制度、规划和标准。按照政策规定拟订本辖区具体医疗保障政策，并组织实施。 （二）贯彻落实国家、省、市医疗保障基金监督管理规定，建立健全医疗保障基金安全防控机制，建设维护网络信息系统和智能监控平台，按上级部署推进医疗保障基金支付方式改革，并组织实施。 （三）贯彻落实石家庄市城镇职工、</w:t>
      </w:r>
      <w:bookmarkStart w:id="0" w:name="_GoBack"/>
      <w:bookmarkEnd w:id="0"/>
      <w:r>
        <w:rPr>
          <w:rFonts w:ascii="Times New Roman" w:eastAsia="仿宋_GB2312"/>
          <w:b w:val="0"/>
          <w:sz w:val="32"/>
          <w:szCs w:val="32"/>
        </w:rPr>
        <w:t>城乡居民参保筹资和保障相关待遇政策。贯彻落实长期护理保险制度及政策并组织实施。 （四）贯彻落实城乡统一的药品、医用耗材、医疗服务项目、医疗服务设施等医保支付标准。 （五）按照政策规定制定和调整公立基层医疗机构医疗服务价格。贯彻落实上级医保支付医药服务价格政策。依法管理药品、医用耗材、医疗服务价格政策执行情况。组织实施药品、医用耗材、医疗服务价格政策执行情况。组织实施药品、医用耗材和医疗服务价格检测信息发布工作。 （六）贯彻落实石家庄市定点医疗机构协议和支付管理办法。建立健全医疗保障信用评价体系和信息披露制度，监督管理定点医药机构的医疗服务行为、医疗费用和医药价格，依法查处医疗保障领域违法违规行为。 （七）负责医疗保障经办管理、公共服务体系和信息化建设。贯彻落实异地就医管理和费用结算政策、医疗保障关系转移接续制度。 （八）完成区委、区政府交办的其他任务。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石家庄市鹿泉区医疗保障局（本级）</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部门（单位）：石家庄市鹿泉区医疗保障局（本级）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部门（单位）：石家庄市鹿泉区医疗保障局（本级）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310.16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310.16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264.09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264.09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256.52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256.52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医疗保障经办事务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部门（单位）：石家庄市鹿泉区医疗保障局（本级）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264.09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256.52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医疗保障经办事务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部门（单位）：石家庄市鹿泉区医疗保障局（本级）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264.09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264.09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310.16</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3"/>
        <w:gridCol w:w="3131"/>
        <w:gridCol w:w="962"/>
        <w:gridCol w:w="700"/>
        <w:gridCol w:w="734"/>
        <w:gridCol w:w="350"/>
        <w:gridCol w:w="11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部门（单位）：石家庄市鹿泉区医疗保障局（本级）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264.09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256.52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医疗保障经办事务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部门（单位）：石家庄市鹿泉区医疗保障局（本级）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95.76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33.41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164.02</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部门（单位）：石家庄市鹿泉区医疗保障局（本级）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ascii="仿宋" w:hAnsi="仿宋" w:eastAsia="仿宋" w:cs="仿宋"/>
                <w:spacing w:val="9"/>
                <w:sz w:val="19"/>
                <w:szCs w:val="19"/>
              </w:rPr>
              <w:t>注：本单位本年度无相关收支及结转结余情况，按要求空表列</w:t>
            </w:r>
            <w:r>
              <w:rPr>
                <w:rFonts w:ascii="仿宋" w:hAnsi="仿宋" w:eastAsia="仿宋" w:cs="仿宋"/>
                <w:spacing w:val="8"/>
                <w:sz w:val="19"/>
                <w:szCs w:val="19"/>
              </w:rPr>
              <w:t>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部门（单位）：石家庄市鹿泉区医疗保障局（本级）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ascii="仿宋" w:hAnsi="仿宋" w:eastAsia="仿宋" w:cs="仿宋"/>
                <w:spacing w:val="9"/>
                <w:sz w:val="19"/>
                <w:szCs w:val="19"/>
              </w:rPr>
              <w:t>注：本单位本年度无相关收支及结转结余情况，按要求空表列</w:t>
            </w:r>
            <w:r>
              <w:rPr>
                <w:rFonts w:ascii="仿宋" w:hAnsi="仿宋" w:eastAsia="仿宋" w:cs="仿宋"/>
                <w:spacing w:val="8"/>
                <w:sz w:val="19"/>
                <w:szCs w:val="19"/>
              </w:rPr>
              <w:t>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部门（单位）：石家庄市鹿泉区医疗保障局（本级）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ascii="仿宋" w:hAnsi="仿宋" w:eastAsia="仿宋" w:cs="仿宋"/>
                <w:spacing w:val="9"/>
                <w:sz w:val="19"/>
                <w:szCs w:val="19"/>
              </w:rPr>
              <w:t>注：本单位本年度无相关收支及结转结余情况，按要求空表列</w:t>
            </w:r>
            <w:r>
              <w:rPr>
                <w:rFonts w:ascii="仿宋" w:hAnsi="仿宋" w:eastAsia="仿宋" w:cs="仿宋"/>
                <w:spacing w:val="8"/>
                <w:sz w:val="19"/>
                <w:szCs w:val="19"/>
              </w:rPr>
              <w:t>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本单位2025年度收、支总计（含结转和结余）均为310.16万元。与2024年度决算相比，收支各减少93.00万元，下降23.1%，主要原因是依照市医保安排，2025年度医疗救助无需区本级上解，上解金额较2024年度减少。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310.16万元，其中：财政拨款收入310.16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本单位2025年度本年支出合计310.16万元，其中：基本支出259.77万元，占83.8%；项目支出50.39万元，占16.2%；经营支出0.00万元，占0.0%；上缴上级支出0.00万元，占0.0%；对附属单位补助支出0.00万元，占0.0%。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310.16万元。与2024年度相比，财政拨款收支各减少93.00万元，降低23.1%，主要原因是依照市医保安排，2025年度医疗救助无需区本级上解，上解金额较2024年度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310.16万元,比上年减少93.00万元，降低23.1%，主要原因是依照市医保安排，2025年度医疗救助无需区本级上解，上解金额较2024年度减少；本年支出310.16万元，比上年减少93.00万元，降低23.1%，主要原因是依照市医保安排，2025年度医疗救助无需区本级上解，上解金额较2024年度减少。</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 xml:space="preserve"> 一般公共预算财政拨款本年收入310.16万元,比上年减少93.00万元，降低23.1%，主要原因是依照市医保安排，2025年度医疗救助无需区本级上解，上解金额较2024年度减少；本年支出310.16万元，比上年减少93.00万元，降低23.1%，主要原因是依照市医保安排，2025年度医疗救助无需区本级上解，上解金额较2024年度减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310.16万元，完成年初预算的42.1%，比年初预算减少425.85万元，决算数小于预算数主要原因是依照市医保安排，2025年度医疗救助无需区本级上解，故决算数少于预算数；本年支出310.16万元，完成年初预算的42.1%，比年初预算减少425.85万元，决算数小于预算数主要原因是依照市医保安排，2025年度医疗救助无需区本级上解，故决算数少于预算数。</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2025年度财政拨款支出310.16万元，主要用于以下方面：</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社会保障和就业 （类）支出30.56万元，占9.9%；卫生健康（类）支出264.09万元，占85.1%；住房保障（类）支出15.51万元，占5.0%</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2025年度财政拨款基本支出259.77万元，其中：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164.02万元，主要包括基本工资、津贴补贴、奖金、伙食补助费、绩效工资、机关事业部门基本养老保险缴费、职业年金缴费、职工基本医疗保险缴费、公务员医疗补助缴费、住房公积金、医疗费、其他社会保障缴费、生活补助、医疗费补助、奖励金、其他对个人和家庭的补助支出</w:t>
      </w:r>
      <w:r>
        <w:rPr>
          <w:rFonts w:hint="eastAsia" w:ascii="Times New Roman" w:eastAsia="仿宋_GB2312"/>
          <w:b w:val="0"/>
          <w:sz w:val="32"/>
          <w:szCs w:val="32"/>
          <w:lang w:eastAsia="zh-CN"/>
        </w:rPr>
        <w:t>等</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95.76万元，主要包括办公费、印刷费、手续费、水费、电费、邮电费、取暖费、物业管理费、差旅费、维修（护）费、劳务费、委托业务费、工会经费、福利费、公务用车运行维护费、其他商品和服务支出</w:t>
      </w:r>
      <w:r>
        <w:rPr>
          <w:rFonts w:hint="eastAsia" w:ascii="Times New Roman" w:eastAsia="仿宋_GB2312"/>
          <w:b w:val="0"/>
          <w:sz w:val="32"/>
          <w:szCs w:val="32"/>
          <w:lang w:eastAsia="zh-CN"/>
        </w:rPr>
        <w:t>等</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年度“三公”经费财政拨款支出预算为0.00万元，支出决算为0.00万元，完成预算的</w:t>
      </w:r>
      <w:r>
        <w:rPr>
          <w:rFonts w:hint="eastAsia" w:ascii="Times New Roman" w:eastAsia="仿宋_GB2312"/>
          <w:b w:val="0"/>
          <w:sz w:val="32"/>
          <w:szCs w:val="32"/>
          <w:lang w:val="en-US" w:eastAsia="zh-CN"/>
        </w:rPr>
        <w:t>10</w:t>
      </w:r>
      <w:r>
        <w:rPr>
          <w:rFonts w:ascii="Times New Roman" w:eastAsia="仿宋_GB2312"/>
          <w:b w:val="0"/>
          <w:sz w:val="32"/>
          <w:szCs w:val="32"/>
        </w:rPr>
        <w:t>0.0%，</w:t>
      </w:r>
      <w:r>
        <w:rPr>
          <w:rFonts w:hint="eastAsia" w:ascii="Times New Roman" w:eastAsia="仿宋_GB2312"/>
          <w:b w:val="0"/>
          <w:sz w:val="32"/>
          <w:szCs w:val="32"/>
          <w:lang w:eastAsia="zh-CN"/>
        </w:rPr>
        <w:t>与年初预算持平</w:t>
      </w:r>
      <w:r>
        <w:rPr>
          <w:rFonts w:hint="eastAsia" w:ascii="Times New Roman" w:eastAsia="仿宋_GB2312"/>
          <w:b w:val="0"/>
          <w:sz w:val="32"/>
          <w:szCs w:val="32"/>
          <w:lang w:val="en-US" w:eastAsia="zh-CN"/>
        </w:rPr>
        <w:t>,</w:t>
      </w:r>
      <w:r>
        <w:rPr>
          <w:rFonts w:hint="eastAsia" w:ascii="Times New Roman" w:eastAsia="仿宋_GB2312"/>
          <w:b w:val="0"/>
          <w:sz w:val="32"/>
          <w:szCs w:val="32"/>
          <w:lang w:eastAsia="zh-CN"/>
        </w:rPr>
        <w:t>与</w:t>
      </w:r>
      <w:r>
        <w:rPr>
          <w:rFonts w:hint="eastAsia" w:ascii="Times New Roman" w:eastAsia="仿宋_GB2312"/>
          <w:b w:val="0"/>
          <w:sz w:val="32"/>
          <w:szCs w:val="32"/>
          <w:lang w:val="en-US" w:eastAsia="zh-CN"/>
        </w:rPr>
        <w:t>2024年度决算支出持平</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spacing w:before="207" w:line="321" w:lineRule="auto"/>
        <w:ind w:left="18" w:firstLine="657"/>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年度因公出 国（境）团组0个、共0人、参加其他单位组织的因公出国（境）团组0个、共0人、无本单位组织的出国（境）团组，未发生因公出国（境）费用支出。与年初预算持平，与202</w:t>
      </w:r>
      <w:r>
        <w:rPr>
          <w:rFonts w:hint="eastAsia" w:ascii="Times New Roman" w:eastAsia="仿宋_GB2312"/>
          <w:b w:val="0"/>
          <w:sz w:val="32"/>
          <w:szCs w:val="32"/>
          <w:lang w:val="en-US" w:eastAsia="zh-CN"/>
        </w:rPr>
        <w:t>4</w:t>
      </w:r>
      <w:r>
        <w:rPr>
          <w:rFonts w:ascii="Times New Roman" w:eastAsia="仿宋_GB2312"/>
          <w:b w:val="0"/>
          <w:sz w:val="32"/>
          <w:szCs w:val="32"/>
        </w:rPr>
        <w:t>年度决算支出持平。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 202</w:t>
      </w:r>
      <w:r>
        <w:rPr>
          <w:rFonts w:hint="eastAsia" w:ascii="Times New Roman" w:eastAsia="仿宋_GB2312"/>
          <w:b w:val="0"/>
          <w:sz w:val="32"/>
          <w:szCs w:val="32"/>
          <w:lang w:val="en-US" w:eastAsia="zh-CN"/>
        </w:rPr>
        <w:t>5</w:t>
      </w:r>
      <w:r>
        <w:rPr>
          <w:rFonts w:ascii="Times New Roman" w:eastAsia="仿宋_GB2312"/>
          <w:b w:val="0"/>
          <w:sz w:val="32"/>
          <w:szCs w:val="32"/>
        </w:rPr>
        <w:t xml:space="preserve"> 年度公务用车购置及运行维护费预算为 0 万元，支出决算为0万元，完成预算的 100%。与年初预算持平，与 202</w:t>
      </w:r>
      <w:r>
        <w:rPr>
          <w:rFonts w:hint="eastAsia" w:ascii="Times New Roman" w:eastAsia="仿宋_GB2312"/>
          <w:b w:val="0"/>
          <w:sz w:val="32"/>
          <w:szCs w:val="32"/>
          <w:lang w:val="en-US" w:eastAsia="zh-CN"/>
        </w:rPr>
        <w:t>4</w:t>
      </w:r>
      <w:r>
        <w:rPr>
          <w:rFonts w:ascii="Times New Roman" w:eastAsia="仿宋_GB2312"/>
          <w:b w:val="0"/>
          <w:sz w:val="32"/>
          <w:szCs w:val="32"/>
        </w:rPr>
        <w:t xml:space="preserve"> 年度决算支出持平。其中：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年度公务用车购置量0辆，未发生“公务用车购置”经费支出，与年初预算持平，与 202</w:t>
      </w:r>
      <w:r>
        <w:rPr>
          <w:rFonts w:hint="eastAsia" w:ascii="Times New Roman" w:eastAsia="仿宋_GB2312"/>
          <w:b w:val="0"/>
          <w:sz w:val="32"/>
          <w:szCs w:val="32"/>
          <w:lang w:val="en-US" w:eastAsia="zh-CN"/>
        </w:rPr>
        <w:t>4</w:t>
      </w:r>
      <w:r>
        <w:rPr>
          <w:rFonts w:ascii="Times New Roman" w:eastAsia="仿宋_GB2312"/>
          <w:b w:val="0"/>
          <w:sz w:val="32"/>
          <w:szCs w:val="32"/>
        </w:rPr>
        <w:t>年度决算支出持平。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年度单位公务用车保有量0辆，未发生“公务用车运行维护”经费支出，与年初预算持平，与 202</w:t>
      </w:r>
      <w:r>
        <w:rPr>
          <w:rFonts w:hint="eastAsia" w:ascii="Times New Roman" w:eastAsia="仿宋_GB2312"/>
          <w:b w:val="0"/>
          <w:sz w:val="32"/>
          <w:szCs w:val="32"/>
          <w:lang w:val="en-US" w:eastAsia="zh-CN"/>
        </w:rPr>
        <w:t>4</w:t>
      </w:r>
      <w:r>
        <w:rPr>
          <w:rFonts w:ascii="Times New Roman" w:eastAsia="仿宋_GB2312"/>
          <w:b w:val="0"/>
          <w:sz w:val="32"/>
          <w:szCs w:val="32"/>
        </w:rPr>
        <w:t>年度决算支出持平。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Times New Roman" w:eastAsia="仿宋_GB2312"/>
          <w:b w:val="0"/>
          <w:sz w:val="32"/>
          <w:szCs w:val="32"/>
        </w:rPr>
        <w:t>本</w:t>
      </w:r>
      <w:r>
        <w:rPr>
          <w:rFonts w:hint="eastAsia" w:ascii="Times New Roman" w:eastAsia="仿宋_GB2312"/>
          <w:b w:val="0"/>
          <w:sz w:val="32"/>
          <w:szCs w:val="32"/>
          <w:lang w:val="en-US" w:eastAsia="zh-CN"/>
        </w:rPr>
        <w:t>单位</w:t>
      </w: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 xml:space="preserve"> 年度公务接待费支出预算为0万元，支出决算0万元，完成预算的100%。未发生公务接待费支出。与预算持平，与 202</w:t>
      </w:r>
      <w:r>
        <w:rPr>
          <w:rFonts w:hint="eastAsia" w:ascii="Times New Roman" w:eastAsia="仿宋_GB2312"/>
          <w:b w:val="0"/>
          <w:sz w:val="32"/>
          <w:szCs w:val="32"/>
          <w:lang w:val="en-US" w:eastAsia="zh-CN"/>
        </w:rPr>
        <w:t>4</w:t>
      </w:r>
      <w:r>
        <w:rPr>
          <w:rFonts w:hint="eastAsia" w:ascii="Times New Roman" w:eastAsia="仿宋_GB2312"/>
          <w:b w:val="0"/>
          <w:sz w:val="32"/>
          <w:szCs w:val="32"/>
        </w:rPr>
        <w:t>年度决算支出持平。本年度共发生公务接待0批次</w:t>
      </w:r>
      <w:r>
        <w:rPr>
          <w:rFonts w:hint="eastAsia" w:ascii="Times New Roman" w:eastAsia="仿宋_GB2312"/>
          <w:b w:val="0"/>
          <w:sz w:val="32"/>
          <w:szCs w:val="32"/>
          <w:lang w:eastAsia="zh-CN"/>
        </w:rPr>
        <w:t>、</w:t>
      </w:r>
      <w:r>
        <w:rPr>
          <w:rFonts w:hint="eastAsia" w:ascii="Times New Roman" w:eastAsia="仿宋_GB2312"/>
          <w:b w:val="0"/>
          <w:sz w:val="32"/>
          <w:szCs w:val="32"/>
        </w:rPr>
        <w:t>0人次</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本单位2025年度机关运行经费支出95.76万元，较2024年度减少2.96万元，降低3.0%。主要原因是部门人员变动,在职人员职级变动等。</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6.89万元，从采购类型来看，政府采购货物支出0.55万元、政府采购工程支出0.00万元、政府采购服务支出6.34万元。授予中小企业合同金额6.89万元，占政府采购支出总额的100.0%，其中授予小微企业合同金额6.34万元，占政府采购支出总额的92.0%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其中，副部（省）级及以上领导用车0辆，主要负责人用车0辆，机要通信用车0辆，应急保障用车0辆，执法执勤用车0辆，特种专业技术用车0辆，离退休干部用车0辆，其他用车0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50.39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4</w:t>
      </w:r>
      <w:r>
        <w:rPr>
          <w:rFonts w:ascii="Times New Roman" w:eastAsia="仿宋_GB2312"/>
          <w:b w:val="0"/>
          <w:sz w:val="32"/>
          <w:szCs w:val="32"/>
        </w:rPr>
        <w:t>个，涉及资金</w:t>
      </w:r>
      <w:r>
        <w:rPr>
          <w:rFonts w:hint="eastAsia" w:ascii="Times New Roman" w:eastAsia="仿宋_GB2312"/>
          <w:b w:val="0"/>
          <w:sz w:val="32"/>
          <w:szCs w:val="32"/>
          <w:lang w:val="en-US" w:eastAsia="zh-CN"/>
        </w:rPr>
        <w:t>50.39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涉军派遣经费、关于提前下达2</w:t>
      </w:r>
      <w:r>
        <w:rPr>
          <w:rFonts w:hint="eastAsia" w:ascii="Times New Roman" w:eastAsia="仿宋_GB2312"/>
          <w:b w:val="0"/>
          <w:sz w:val="32"/>
          <w:szCs w:val="32"/>
          <w:lang w:val="en-US" w:eastAsia="zh-CN"/>
        </w:rPr>
        <w:t>5</w:t>
      </w:r>
      <w:r>
        <w:rPr>
          <w:rFonts w:hint="eastAsia" w:ascii="Times New Roman" w:eastAsia="仿宋_GB2312"/>
          <w:b w:val="0"/>
          <w:sz w:val="32"/>
          <w:szCs w:val="32"/>
          <w:lang w:eastAsia="zh-CN"/>
        </w:rPr>
        <w:t>年中央财政医疗服务与保障能力提升补助资金、监督检查专项经费、医疗保险专项经费</w:t>
      </w:r>
      <w:r>
        <w:rPr>
          <w:rFonts w:ascii="Times New Roman" w:eastAsia="仿宋_GB2312"/>
          <w:b w:val="0"/>
          <w:sz w:val="32"/>
          <w:szCs w:val="32"/>
        </w:rPr>
        <w:t>等</w:t>
      </w:r>
      <w:r>
        <w:rPr>
          <w:rFonts w:hint="eastAsia" w:ascii="Times New Roman" w:eastAsia="仿宋_GB2312"/>
          <w:b w:val="0"/>
          <w:sz w:val="32"/>
          <w:szCs w:val="32"/>
          <w:lang w:val="en-US" w:eastAsia="zh-CN"/>
        </w:rPr>
        <w:t>4</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50.39</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万元，从评价情况来看，202</w:t>
      </w:r>
      <w:r>
        <w:rPr>
          <w:rFonts w:hint="eastAsia" w:ascii="Times New Roman" w:eastAsia="仿宋_GB2312"/>
          <w:b w:val="0"/>
          <w:sz w:val="32"/>
          <w:szCs w:val="32"/>
          <w:lang w:val="en-US" w:eastAsia="zh-CN"/>
        </w:rPr>
        <w:t>5</w:t>
      </w:r>
      <w:r>
        <w:rPr>
          <w:rFonts w:ascii="Times New Roman" w:eastAsia="仿宋_GB2312"/>
          <w:b w:val="0"/>
          <w:sz w:val="32"/>
          <w:szCs w:val="32"/>
        </w:rPr>
        <w:t>年本单位绩效自评项目共</w:t>
      </w:r>
      <w:r>
        <w:rPr>
          <w:rFonts w:hint="eastAsia" w:ascii="Times New Roman" w:eastAsia="仿宋_GB2312"/>
          <w:b w:val="0"/>
          <w:sz w:val="32"/>
          <w:szCs w:val="32"/>
          <w:lang w:val="en-US" w:eastAsia="zh-CN"/>
        </w:rPr>
        <w:t>4</w:t>
      </w:r>
      <w:r>
        <w:rPr>
          <w:rFonts w:ascii="Times New Roman" w:eastAsia="仿宋_GB2312"/>
          <w:b w:val="0"/>
          <w:sz w:val="32"/>
          <w:szCs w:val="32"/>
        </w:rPr>
        <w:t>个，其中评价等级为“优”项目</w:t>
      </w:r>
      <w:r>
        <w:rPr>
          <w:rFonts w:hint="eastAsia" w:ascii="Times New Roman" w:eastAsia="仿宋_GB2312"/>
          <w:b w:val="0"/>
          <w:sz w:val="32"/>
          <w:szCs w:val="32"/>
          <w:lang w:val="en-US" w:eastAsia="zh-CN"/>
        </w:rPr>
        <w:t>4</w:t>
      </w:r>
      <w:r>
        <w:rPr>
          <w:rFonts w:ascii="Times New Roman" w:eastAsia="仿宋_GB2312"/>
          <w:b w:val="0"/>
          <w:sz w:val="32"/>
          <w:szCs w:val="32"/>
        </w:rPr>
        <w:t>个，评优率为100%。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eastAsia="zh-CN"/>
        </w:rPr>
        <w:t>医保局退役军人公益性岗位工资补贴</w:t>
      </w:r>
      <w:r>
        <w:rPr>
          <w:rFonts w:ascii="Times New Roman" w:eastAsia="仿宋_GB2312"/>
          <w:b w:val="0"/>
          <w:sz w:val="32"/>
          <w:szCs w:val="32"/>
        </w:rPr>
        <w:t>项目绩效自评结果。</w:t>
      </w:r>
    </w:p>
    <w:p>
      <w:pPr>
        <w:spacing w:before="63" w:line="227" w:lineRule="auto"/>
        <w:ind w:left="159" w:firstLine="640" w:firstLineChars="200"/>
        <w:rPr>
          <w:rFonts w:ascii="Times New Roman" w:eastAsia="仿宋_GB2312"/>
          <w:b w:val="0"/>
          <w:sz w:val="32"/>
          <w:szCs w:val="32"/>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医保局退役军人公益性岗位工资补贴</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w:t>
      </w:r>
      <w:r>
        <w:rPr>
          <w:rFonts w:ascii="Times New Roman" w:eastAsia="仿宋_GB2312"/>
          <w:b w:val="0"/>
          <w:sz w:val="32"/>
          <w:szCs w:val="32"/>
        </w:rPr>
        <w:t>万元，执行数为</w:t>
      </w:r>
      <w:r>
        <w:rPr>
          <w:rFonts w:hint="eastAsia" w:ascii="Times New Roman" w:eastAsia="仿宋_GB2312"/>
          <w:b w:val="0"/>
          <w:sz w:val="32"/>
          <w:szCs w:val="32"/>
          <w:lang w:val="en-US" w:eastAsia="zh-CN"/>
        </w:rPr>
        <w:t>12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%。项目绩效目标完成情况：对符合政府安排工作条件的退役士兵 2 名，帮扶救助，加大就业援助，实现</w:t>
      </w:r>
      <w:r>
        <w:rPr>
          <w:rFonts w:hint="eastAsia" w:ascii="Times New Roman" w:eastAsia="仿宋_GB2312"/>
          <w:b w:val="0"/>
          <w:sz w:val="32"/>
          <w:szCs w:val="32"/>
          <w:lang w:eastAsia="zh-CN"/>
        </w:rPr>
        <w:t>公益性岗位</w:t>
      </w:r>
      <w:r>
        <w:rPr>
          <w:rFonts w:ascii="Times New Roman" w:eastAsia="仿宋_GB2312"/>
          <w:b w:val="0"/>
          <w:sz w:val="32"/>
          <w:szCs w:val="32"/>
        </w:rPr>
        <w:t>托管安置。</w:t>
      </w:r>
    </w:p>
    <w:tbl>
      <w:tblPr>
        <w:tblStyle w:val="27"/>
        <w:tblW w:w="8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898"/>
        <w:gridCol w:w="1"/>
        <w:gridCol w:w="845"/>
        <w:gridCol w:w="970"/>
        <w:gridCol w:w="1219"/>
        <w:gridCol w:w="1165"/>
        <w:gridCol w:w="933"/>
        <w:gridCol w:w="1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55" w:type="dxa"/>
            <w:vAlign w:val="top"/>
          </w:tcPr>
          <w:p>
            <w:pPr>
              <w:spacing w:before="61" w:line="273" w:lineRule="auto"/>
              <w:ind w:left="116" w:right="341" w:firstLine="1"/>
              <w:rPr>
                <w:rFonts w:ascii="宋体" w:hAnsi="宋体" w:eastAsia="宋体" w:cs="宋体"/>
                <w:sz w:val="19"/>
                <w:szCs w:val="19"/>
              </w:rPr>
            </w:pPr>
            <w:r>
              <w:rPr>
                <w:rFonts w:ascii="宋体" w:hAnsi="宋体" w:eastAsia="宋体" w:cs="宋体"/>
                <w:spacing w:val="6"/>
                <w:sz w:val="19"/>
                <w:szCs w:val="19"/>
              </w:rPr>
              <w:t>填报单</w:t>
            </w:r>
            <w:r>
              <w:rPr>
                <w:rFonts w:ascii="宋体" w:hAnsi="宋体" w:eastAsia="宋体" w:cs="宋体"/>
                <w:spacing w:val="1"/>
                <w:sz w:val="19"/>
                <w:szCs w:val="19"/>
              </w:rPr>
              <w:t xml:space="preserve"> </w:t>
            </w:r>
            <w:r>
              <w:rPr>
                <w:rFonts w:ascii="宋体" w:hAnsi="宋体" w:eastAsia="宋体" w:cs="宋体"/>
                <w:sz w:val="19"/>
                <w:szCs w:val="19"/>
              </w:rPr>
              <w:t>位：</w:t>
            </w:r>
          </w:p>
        </w:tc>
        <w:tc>
          <w:tcPr>
            <w:tcW w:w="2714" w:type="dxa"/>
            <w:gridSpan w:val="4"/>
            <w:vAlign w:val="top"/>
          </w:tcPr>
          <w:p>
            <w:pPr>
              <w:spacing w:before="217" w:line="228" w:lineRule="auto"/>
              <w:ind w:left="460"/>
              <w:rPr>
                <w:rFonts w:ascii="宋体" w:hAnsi="宋体" w:eastAsia="宋体" w:cs="宋体"/>
                <w:sz w:val="19"/>
                <w:szCs w:val="19"/>
              </w:rPr>
            </w:pPr>
            <w:r>
              <w:rPr>
                <w:rFonts w:ascii="宋体" w:hAnsi="宋体" w:eastAsia="宋体" w:cs="宋体"/>
                <w:spacing w:val="9"/>
                <w:sz w:val="19"/>
                <w:szCs w:val="19"/>
              </w:rPr>
              <w:t>鹿泉区医疗保障局</w:t>
            </w:r>
          </w:p>
        </w:tc>
        <w:tc>
          <w:tcPr>
            <w:tcW w:w="1219" w:type="dxa"/>
            <w:vAlign w:val="top"/>
          </w:tcPr>
          <w:p>
            <w:pPr>
              <w:pStyle w:val="28"/>
            </w:pPr>
          </w:p>
        </w:tc>
        <w:tc>
          <w:tcPr>
            <w:tcW w:w="1165" w:type="dxa"/>
            <w:vAlign w:val="top"/>
          </w:tcPr>
          <w:p>
            <w:pPr>
              <w:pStyle w:val="28"/>
            </w:pPr>
          </w:p>
        </w:tc>
        <w:tc>
          <w:tcPr>
            <w:tcW w:w="933" w:type="dxa"/>
            <w:vAlign w:val="top"/>
          </w:tcPr>
          <w:p>
            <w:pPr>
              <w:pStyle w:val="28"/>
            </w:pPr>
          </w:p>
        </w:tc>
        <w:tc>
          <w:tcPr>
            <w:tcW w:w="1795" w:type="dxa"/>
            <w:vAlign w:val="top"/>
          </w:tcPr>
          <w:p>
            <w:pPr>
              <w:spacing w:before="217" w:line="228" w:lineRule="auto"/>
              <w:ind w:left="202"/>
              <w:rPr>
                <w:rFonts w:ascii="宋体" w:hAnsi="宋体" w:eastAsia="宋体" w:cs="宋体"/>
                <w:sz w:val="19"/>
                <w:szCs w:val="19"/>
              </w:rPr>
            </w:pPr>
            <w:r>
              <w:rPr>
                <w:rFonts w:ascii="宋体" w:hAnsi="宋体" w:eastAsia="宋体" w:cs="宋体"/>
                <w:spacing w:val="8"/>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Align w:val="top"/>
          </w:tcPr>
          <w:p>
            <w:pPr>
              <w:spacing w:before="60" w:line="271" w:lineRule="auto"/>
              <w:ind w:left="116" w:right="109" w:firstLine="2"/>
              <w:rPr>
                <w:rFonts w:ascii="宋体" w:hAnsi="宋体" w:eastAsia="宋体" w:cs="宋体"/>
                <w:sz w:val="19"/>
                <w:szCs w:val="19"/>
              </w:rPr>
            </w:pPr>
            <w:r>
              <w:rPr>
                <w:rFonts w:ascii="宋体" w:hAnsi="宋体" w:eastAsia="宋体" w:cs="宋体"/>
                <w:spacing w:val="2"/>
                <w:sz w:val="19"/>
                <w:szCs w:val="19"/>
              </w:rPr>
              <w:t>一、</w:t>
            </w:r>
            <w:r>
              <w:rPr>
                <w:rFonts w:ascii="宋体" w:hAnsi="宋体" w:eastAsia="宋体" w:cs="宋体"/>
                <w:spacing w:val="-43"/>
                <w:sz w:val="19"/>
                <w:szCs w:val="19"/>
              </w:rPr>
              <w:t xml:space="preserve"> </w:t>
            </w:r>
            <w:r>
              <w:rPr>
                <w:rFonts w:ascii="宋体" w:hAnsi="宋体" w:eastAsia="宋体" w:cs="宋体"/>
                <w:spacing w:val="2"/>
                <w:sz w:val="19"/>
                <w:szCs w:val="19"/>
              </w:rPr>
              <w:t>基本</w:t>
            </w:r>
            <w:r>
              <w:rPr>
                <w:rFonts w:ascii="宋体" w:hAnsi="宋体" w:eastAsia="宋体" w:cs="宋体"/>
                <w:sz w:val="19"/>
                <w:szCs w:val="19"/>
              </w:rPr>
              <w:t xml:space="preserve"> </w:t>
            </w:r>
            <w:r>
              <w:rPr>
                <w:rFonts w:ascii="宋体" w:hAnsi="宋体" w:eastAsia="宋体" w:cs="宋体"/>
                <w:spacing w:val="4"/>
                <w:sz w:val="19"/>
                <w:szCs w:val="19"/>
              </w:rPr>
              <w:t>情况</w:t>
            </w:r>
          </w:p>
        </w:tc>
        <w:tc>
          <w:tcPr>
            <w:tcW w:w="899" w:type="dxa"/>
            <w:gridSpan w:val="2"/>
            <w:vAlign w:val="top"/>
          </w:tcPr>
          <w:p>
            <w:pPr>
              <w:spacing w:before="60" w:line="271" w:lineRule="auto"/>
              <w:ind w:left="351" w:right="148" w:hanging="195"/>
              <w:rPr>
                <w:rFonts w:ascii="宋体" w:hAnsi="宋体" w:eastAsia="宋体" w:cs="宋体"/>
                <w:sz w:val="19"/>
                <w:szCs w:val="19"/>
              </w:rPr>
            </w:pPr>
            <w:r>
              <w:rPr>
                <w:rFonts w:ascii="宋体" w:hAnsi="宋体" w:eastAsia="宋体" w:cs="宋体"/>
                <w:spacing w:val="6"/>
                <w:sz w:val="19"/>
                <w:szCs w:val="19"/>
              </w:rPr>
              <w:t>项目名</w:t>
            </w:r>
            <w:r>
              <w:rPr>
                <w:rFonts w:ascii="宋体" w:hAnsi="宋体" w:eastAsia="宋体" w:cs="宋体"/>
                <w:sz w:val="19"/>
                <w:szCs w:val="19"/>
              </w:rPr>
              <w:t xml:space="preserve"> </w:t>
            </w:r>
            <w:r>
              <w:rPr>
                <w:rFonts w:ascii="宋体" w:hAnsi="宋体" w:eastAsia="宋体" w:cs="宋体"/>
                <w:spacing w:val="2"/>
                <w:sz w:val="19"/>
                <w:szCs w:val="19"/>
              </w:rPr>
              <w:t>称</w:t>
            </w:r>
          </w:p>
        </w:tc>
        <w:tc>
          <w:tcPr>
            <w:tcW w:w="1815" w:type="dxa"/>
            <w:gridSpan w:val="2"/>
            <w:vAlign w:val="top"/>
          </w:tcPr>
          <w:p>
            <w:pPr>
              <w:spacing w:before="60" w:line="271" w:lineRule="auto"/>
              <w:ind w:left="313" w:right="106" w:hanging="193"/>
              <w:rPr>
                <w:rFonts w:ascii="宋体" w:hAnsi="宋体" w:eastAsia="宋体" w:cs="宋体"/>
                <w:sz w:val="19"/>
                <w:szCs w:val="19"/>
              </w:rPr>
            </w:pPr>
            <w:r>
              <w:rPr>
                <w:rFonts w:ascii="宋体" w:hAnsi="宋体" w:eastAsia="宋体" w:cs="宋体"/>
                <w:spacing w:val="7"/>
                <w:sz w:val="19"/>
                <w:szCs w:val="19"/>
              </w:rPr>
              <w:t>医保局退役军人公</w:t>
            </w:r>
            <w:r>
              <w:rPr>
                <w:rFonts w:ascii="宋体" w:hAnsi="宋体" w:eastAsia="宋体" w:cs="宋体"/>
                <w:spacing w:val="8"/>
                <w:sz w:val="19"/>
                <w:szCs w:val="19"/>
              </w:rPr>
              <w:t>益</w:t>
            </w:r>
            <w:r>
              <w:rPr>
                <w:rFonts w:hint="eastAsia" w:ascii="宋体" w:hAnsi="宋体" w:eastAsia="宋体" w:cs="宋体"/>
                <w:spacing w:val="8"/>
                <w:sz w:val="19"/>
                <w:szCs w:val="19"/>
                <w:lang w:eastAsia="zh-CN"/>
              </w:rPr>
              <w:t>性</w:t>
            </w:r>
            <w:r>
              <w:rPr>
                <w:rFonts w:ascii="宋体" w:hAnsi="宋体" w:eastAsia="宋体" w:cs="宋体"/>
                <w:spacing w:val="8"/>
                <w:sz w:val="19"/>
                <w:szCs w:val="19"/>
              </w:rPr>
              <w:t>岗位工资补贴</w:t>
            </w:r>
          </w:p>
        </w:tc>
        <w:tc>
          <w:tcPr>
            <w:tcW w:w="1219" w:type="dxa"/>
            <w:vAlign w:val="top"/>
          </w:tcPr>
          <w:p>
            <w:pPr>
              <w:spacing w:before="59" w:line="228" w:lineRule="auto"/>
              <w:ind w:left="117"/>
              <w:rPr>
                <w:rFonts w:ascii="宋体" w:hAnsi="宋体" w:eastAsia="宋体" w:cs="宋体"/>
                <w:sz w:val="19"/>
                <w:szCs w:val="19"/>
              </w:rPr>
            </w:pPr>
            <w:r>
              <w:rPr>
                <w:rFonts w:ascii="宋体" w:hAnsi="宋体" w:eastAsia="宋体" w:cs="宋体"/>
                <w:spacing w:val="4"/>
                <w:sz w:val="19"/>
                <w:szCs w:val="19"/>
              </w:rPr>
              <w:t>实施(主管）</w:t>
            </w:r>
          </w:p>
          <w:p>
            <w:pPr>
              <w:spacing w:before="77" w:line="229" w:lineRule="auto"/>
              <w:ind w:left="416"/>
              <w:rPr>
                <w:rFonts w:ascii="宋体" w:hAnsi="宋体" w:eastAsia="宋体" w:cs="宋体"/>
                <w:sz w:val="19"/>
                <w:szCs w:val="19"/>
              </w:rPr>
            </w:pPr>
            <w:r>
              <w:rPr>
                <w:rFonts w:ascii="宋体" w:hAnsi="宋体" w:eastAsia="宋体" w:cs="宋体"/>
                <w:spacing w:val="4"/>
                <w:sz w:val="19"/>
                <w:szCs w:val="19"/>
              </w:rPr>
              <w:t>单位</w:t>
            </w:r>
          </w:p>
        </w:tc>
        <w:tc>
          <w:tcPr>
            <w:tcW w:w="3893" w:type="dxa"/>
            <w:gridSpan w:val="3"/>
            <w:vAlign w:val="top"/>
          </w:tcPr>
          <w:p>
            <w:pPr>
              <w:spacing w:before="215" w:line="228" w:lineRule="auto"/>
              <w:ind w:left="1051"/>
              <w:rPr>
                <w:rFonts w:ascii="宋体" w:hAnsi="宋体" w:eastAsia="宋体" w:cs="宋体"/>
                <w:sz w:val="19"/>
                <w:szCs w:val="19"/>
              </w:rPr>
            </w:pPr>
            <w:r>
              <w:rPr>
                <w:rFonts w:ascii="宋体" w:hAnsi="宋体" w:eastAsia="宋体" w:cs="宋体"/>
                <w:spacing w:val="9"/>
                <w:sz w:val="19"/>
                <w:szCs w:val="19"/>
              </w:rPr>
              <w:t>鹿泉区医疗保障局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314" w:lineRule="auto"/>
            </w:pPr>
          </w:p>
          <w:p>
            <w:pPr>
              <w:pStyle w:val="28"/>
              <w:spacing w:line="314" w:lineRule="auto"/>
            </w:pPr>
          </w:p>
          <w:p>
            <w:pPr>
              <w:pStyle w:val="28"/>
              <w:spacing w:line="315" w:lineRule="auto"/>
            </w:pPr>
          </w:p>
          <w:p>
            <w:pPr>
              <w:spacing w:before="62" w:line="228" w:lineRule="auto"/>
              <w:ind w:left="136"/>
              <w:rPr>
                <w:rFonts w:ascii="宋体" w:hAnsi="宋体" w:eastAsia="宋体" w:cs="宋体"/>
                <w:sz w:val="19"/>
                <w:szCs w:val="19"/>
              </w:rPr>
            </w:pPr>
            <w:r>
              <w:rPr>
                <w:rFonts w:ascii="宋体" w:hAnsi="宋体" w:eastAsia="宋体" w:cs="宋体"/>
                <w:spacing w:val="7"/>
                <w:sz w:val="19"/>
                <w:szCs w:val="19"/>
              </w:rPr>
              <w:t>二、预算</w:t>
            </w:r>
          </w:p>
          <w:p>
            <w:pPr>
              <w:spacing w:before="77" w:line="228" w:lineRule="auto"/>
              <w:ind w:left="132"/>
              <w:rPr>
                <w:rFonts w:ascii="宋体" w:hAnsi="宋体" w:eastAsia="宋体" w:cs="宋体"/>
                <w:sz w:val="19"/>
                <w:szCs w:val="19"/>
              </w:rPr>
            </w:pPr>
            <w:r>
              <w:rPr>
                <w:rFonts w:ascii="宋体" w:hAnsi="宋体" w:eastAsia="宋体" w:cs="宋体"/>
                <w:spacing w:val="7"/>
                <w:sz w:val="19"/>
                <w:szCs w:val="19"/>
              </w:rPr>
              <w:t>执行情况</w:t>
            </w:r>
          </w:p>
        </w:tc>
        <w:tc>
          <w:tcPr>
            <w:tcW w:w="1744" w:type="dxa"/>
            <w:gridSpan w:val="3"/>
            <w:vAlign w:val="top"/>
          </w:tcPr>
          <w:p>
            <w:pPr>
              <w:spacing w:before="60" w:line="228" w:lineRule="auto"/>
              <w:ind w:left="113"/>
              <w:rPr>
                <w:rFonts w:ascii="宋体" w:hAnsi="宋体" w:eastAsia="宋体" w:cs="宋体"/>
                <w:sz w:val="19"/>
                <w:szCs w:val="19"/>
              </w:rPr>
            </w:pPr>
            <w:r>
              <w:rPr>
                <w:rFonts w:ascii="宋体" w:hAnsi="宋体" w:eastAsia="宋体" w:cs="宋体"/>
                <w:spacing w:val="-1"/>
                <w:sz w:val="19"/>
                <w:szCs w:val="19"/>
              </w:rPr>
              <w:t>预算安排情况（调</w:t>
            </w:r>
          </w:p>
          <w:p>
            <w:pPr>
              <w:spacing w:before="77" w:line="229" w:lineRule="auto"/>
              <w:ind w:left="576"/>
              <w:rPr>
                <w:rFonts w:ascii="宋体" w:hAnsi="宋体" w:eastAsia="宋体" w:cs="宋体"/>
                <w:sz w:val="19"/>
                <w:szCs w:val="19"/>
              </w:rPr>
            </w:pPr>
            <w:r>
              <w:rPr>
                <w:rFonts w:ascii="宋体" w:hAnsi="宋体" w:eastAsia="宋体" w:cs="宋体"/>
                <w:spacing w:val="3"/>
                <w:sz w:val="19"/>
                <w:szCs w:val="19"/>
              </w:rPr>
              <w:t>整后）</w:t>
            </w:r>
          </w:p>
        </w:tc>
        <w:tc>
          <w:tcPr>
            <w:tcW w:w="2189" w:type="dxa"/>
            <w:gridSpan w:val="2"/>
            <w:vAlign w:val="top"/>
          </w:tcPr>
          <w:p>
            <w:pPr>
              <w:spacing w:before="216" w:line="229" w:lineRule="auto"/>
              <w:ind w:left="508"/>
              <w:rPr>
                <w:rFonts w:ascii="宋体" w:hAnsi="宋体" w:eastAsia="宋体" w:cs="宋体"/>
                <w:sz w:val="19"/>
                <w:szCs w:val="19"/>
              </w:rPr>
            </w:pPr>
            <w:r>
              <w:rPr>
                <w:rFonts w:ascii="宋体" w:hAnsi="宋体" w:eastAsia="宋体" w:cs="宋体"/>
                <w:spacing w:val="7"/>
                <w:sz w:val="19"/>
                <w:szCs w:val="19"/>
              </w:rPr>
              <w:t>资金到位情况</w:t>
            </w:r>
          </w:p>
        </w:tc>
        <w:tc>
          <w:tcPr>
            <w:tcW w:w="2098" w:type="dxa"/>
            <w:gridSpan w:val="2"/>
            <w:vAlign w:val="top"/>
          </w:tcPr>
          <w:p>
            <w:pPr>
              <w:spacing w:before="216" w:line="228" w:lineRule="auto"/>
              <w:ind w:left="464"/>
              <w:rPr>
                <w:rFonts w:ascii="宋体" w:hAnsi="宋体" w:eastAsia="宋体" w:cs="宋体"/>
                <w:sz w:val="19"/>
                <w:szCs w:val="19"/>
              </w:rPr>
            </w:pPr>
            <w:r>
              <w:rPr>
                <w:rFonts w:ascii="宋体" w:hAnsi="宋体" w:eastAsia="宋体" w:cs="宋体"/>
                <w:spacing w:val="7"/>
                <w:sz w:val="19"/>
                <w:szCs w:val="19"/>
              </w:rPr>
              <w:t>资金执行情况</w:t>
            </w:r>
          </w:p>
        </w:tc>
        <w:tc>
          <w:tcPr>
            <w:tcW w:w="1795" w:type="dxa"/>
            <w:vAlign w:val="top"/>
          </w:tcPr>
          <w:p>
            <w:pPr>
              <w:spacing w:before="216" w:line="228" w:lineRule="auto"/>
              <w:ind w:left="303"/>
              <w:rPr>
                <w:rFonts w:ascii="宋体" w:hAnsi="宋体" w:eastAsia="宋体" w:cs="宋体"/>
                <w:sz w:val="19"/>
                <w:szCs w:val="19"/>
              </w:rPr>
            </w:pPr>
            <w:r>
              <w:rPr>
                <w:rFonts w:ascii="宋体" w:hAnsi="宋体" w:eastAsia="宋体" w:cs="宋体"/>
                <w:spacing w:val="8"/>
                <w:sz w:val="19"/>
                <w:szCs w:val="19"/>
              </w:rPr>
              <w:t>预算执行进度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271" w:lineRule="auto"/>
              <w:ind w:left="113" w:right="391"/>
              <w:rPr>
                <w:rFonts w:ascii="宋体" w:hAnsi="宋体" w:eastAsia="宋体" w:cs="宋体"/>
                <w:sz w:val="19"/>
                <w:szCs w:val="19"/>
              </w:rPr>
            </w:pPr>
            <w:r>
              <w:rPr>
                <w:rFonts w:ascii="宋体" w:hAnsi="宋体" w:eastAsia="宋体" w:cs="宋体"/>
                <w:spacing w:val="4"/>
                <w:sz w:val="19"/>
                <w:szCs w:val="19"/>
              </w:rPr>
              <w:t>预算</w:t>
            </w:r>
            <w:r>
              <w:rPr>
                <w:rFonts w:ascii="宋体" w:hAnsi="宋体" w:eastAsia="宋体" w:cs="宋体"/>
                <w:sz w:val="19"/>
                <w:szCs w:val="19"/>
              </w:rPr>
              <w:t xml:space="preserve"> </w:t>
            </w:r>
            <w:r>
              <w:rPr>
                <w:rFonts w:ascii="宋体" w:hAnsi="宋体" w:eastAsia="宋体" w:cs="宋体"/>
                <w:spacing w:val="-1"/>
                <w:sz w:val="19"/>
                <w:szCs w:val="19"/>
              </w:rPr>
              <w:t>数：</w:t>
            </w:r>
          </w:p>
        </w:tc>
        <w:tc>
          <w:tcPr>
            <w:tcW w:w="845"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6" w:line="228" w:lineRule="auto"/>
              <w:ind w:left="116"/>
              <w:rPr>
                <w:rFonts w:ascii="宋体" w:hAnsi="宋体" w:eastAsia="宋体" w:cs="宋体"/>
                <w:sz w:val="19"/>
                <w:szCs w:val="19"/>
              </w:rPr>
            </w:pPr>
            <w:r>
              <w:rPr>
                <w:rFonts w:ascii="宋体" w:hAnsi="宋体" w:eastAsia="宋体" w:cs="宋体"/>
                <w:spacing w:val="4"/>
                <w:sz w:val="19"/>
                <w:szCs w:val="19"/>
              </w:rPr>
              <w:t>到位数：</w:t>
            </w:r>
          </w:p>
        </w:tc>
        <w:tc>
          <w:tcPr>
            <w:tcW w:w="1219"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6" w:line="228" w:lineRule="auto"/>
              <w:ind w:left="112"/>
              <w:rPr>
                <w:rFonts w:ascii="宋体" w:hAnsi="宋体" w:eastAsia="宋体" w:cs="宋体"/>
                <w:sz w:val="19"/>
                <w:szCs w:val="19"/>
              </w:rPr>
            </w:pPr>
            <w:r>
              <w:rPr>
                <w:rFonts w:ascii="宋体" w:hAnsi="宋体" w:eastAsia="宋体" w:cs="宋体"/>
                <w:spacing w:val="5"/>
                <w:sz w:val="19"/>
                <w:szCs w:val="19"/>
              </w:rPr>
              <w:t>执行数：</w:t>
            </w:r>
          </w:p>
        </w:tc>
        <w:tc>
          <w:tcPr>
            <w:tcW w:w="933"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restart"/>
            <w:tcBorders>
              <w:bottom w:val="nil"/>
            </w:tcBorders>
            <w:vAlign w:val="top"/>
          </w:tcPr>
          <w:p>
            <w:pPr>
              <w:pStyle w:val="28"/>
              <w:spacing w:line="261" w:lineRule="auto"/>
            </w:pPr>
          </w:p>
          <w:p>
            <w:pPr>
              <w:pStyle w:val="28"/>
              <w:spacing w:line="261" w:lineRule="auto"/>
            </w:pPr>
          </w:p>
          <w:p>
            <w:pPr>
              <w:pStyle w:val="28"/>
              <w:spacing w:line="261"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303" w:lineRule="auto"/>
              <w:ind w:left="194" w:right="108"/>
              <w:rPr>
                <w:rFonts w:ascii="宋体" w:hAnsi="宋体" w:eastAsia="宋体" w:cs="宋体"/>
                <w:sz w:val="19"/>
                <w:szCs w:val="19"/>
              </w:rPr>
            </w:pPr>
            <w:r>
              <w:rPr>
                <w:rFonts w:ascii="宋体" w:hAnsi="宋体" w:eastAsia="宋体" w:cs="宋体"/>
                <w:spacing w:val="3"/>
                <w:sz w:val="19"/>
                <w:szCs w:val="19"/>
              </w:rPr>
              <w:t>其中：</w:t>
            </w:r>
            <w:r>
              <w:rPr>
                <w:rFonts w:ascii="宋体" w:hAnsi="宋体" w:eastAsia="宋体" w:cs="宋体"/>
                <w:sz w:val="19"/>
                <w:szCs w:val="19"/>
              </w:rPr>
              <w:t xml:space="preserve"> </w:t>
            </w:r>
            <w:r>
              <w:rPr>
                <w:rFonts w:ascii="宋体" w:hAnsi="宋体" w:eastAsia="宋体" w:cs="宋体"/>
                <w:spacing w:val="7"/>
                <w:sz w:val="19"/>
                <w:szCs w:val="19"/>
              </w:rPr>
              <w:t>财政资</w:t>
            </w:r>
          </w:p>
          <w:p>
            <w:pPr>
              <w:spacing w:line="234" w:lineRule="auto"/>
              <w:ind w:left="596"/>
              <w:rPr>
                <w:rFonts w:ascii="宋体" w:hAnsi="宋体" w:eastAsia="宋体" w:cs="宋体"/>
                <w:sz w:val="19"/>
                <w:szCs w:val="19"/>
              </w:rPr>
            </w:pPr>
            <w:r>
              <w:rPr>
                <w:rFonts w:ascii="宋体" w:hAnsi="宋体" w:eastAsia="宋体" w:cs="宋体"/>
                <w:sz w:val="19"/>
                <w:szCs w:val="19"/>
              </w:rPr>
              <w:t>金</w:t>
            </w:r>
          </w:p>
        </w:tc>
        <w:tc>
          <w:tcPr>
            <w:tcW w:w="845"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7" w:line="305" w:lineRule="auto"/>
              <w:ind w:left="265" w:right="106" w:hanging="154"/>
              <w:rPr>
                <w:rFonts w:ascii="宋体" w:hAnsi="宋体" w:eastAsia="宋体" w:cs="宋体"/>
                <w:sz w:val="19"/>
                <w:szCs w:val="19"/>
              </w:rPr>
            </w:pPr>
            <w:r>
              <w:rPr>
                <w:rFonts w:ascii="宋体" w:hAnsi="宋体" w:eastAsia="宋体" w:cs="宋体"/>
                <w:spacing w:val="-4"/>
                <w:sz w:val="19"/>
                <w:szCs w:val="19"/>
              </w:rPr>
              <w:t>其中：财</w:t>
            </w:r>
            <w:r>
              <w:rPr>
                <w:rFonts w:ascii="宋体" w:hAnsi="宋体" w:eastAsia="宋体" w:cs="宋体"/>
                <w:spacing w:val="2"/>
                <w:sz w:val="19"/>
                <w:szCs w:val="19"/>
              </w:rPr>
              <w:t xml:space="preserve"> </w:t>
            </w:r>
            <w:r>
              <w:rPr>
                <w:rFonts w:ascii="宋体" w:hAnsi="宋体" w:eastAsia="宋体" w:cs="宋体"/>
                <w:spacing w:val="7"/>
                <w:sz w:val="19"/>
                <w:szCs w:val="19"/>
              </w:rPr>
              <w:t>政资金</w:t>
            </w:r>
          </w:p>
        </w:tc>
        <w:tc>
          <w:tcPr>
            <w:tcW w:w="1219"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7" w:line="305" w:lineRule="auto"/>
              <w:ind w:left="670" w:right="107" w:hanging="557"/>
              <w:rPr>
                <w:rFonts w:ascii="宋体" w:hAnsi="宋体" w:eastAsia="宋体" w:cs="宋体"/>
                <w:sz w:val="19"/>
                <w:szCs w:val="19"/>
              </w:rPr>
            </w:pPr>
            <w:r>
              <w:rPr>
                <w:rFonts w:ascii="宋体" w:hAnsi="宋体" w:eastAsia="宋体" w:cs="宋体"/>
                <w:spacing w:val="-3"/>
                <w:sz w:val="19"/>
                <w:szCs w:val="19"/>
              </w:rPr>
              <w:t>其中：财政</w:t>
            </w:r>
            <w:r>
              <w:rPr>
                <w:rFonts w:ascii="宋体" w:hAnsi="宋体" w:eastAsia="宋体" w:cs="宋体"/>
                <w:spacing w:val="3"/>
                <w:sz w:val="19"/>
                <w:szCs w:val="19"/>
              </w:rPr>
              <w:t xml:space="preserve"> </w:t>
            </w:r>
            <w:r>
              <w:rPr>
                <w:rFonts w:ascii="宋体" w:hAnsi="宋体" w:eastAsia="宋体" w:cs="宋体"/>
                <w:sz w:val="19"/>
                <w:szCs w:val="19"/>
              </w:rPr>
              <w:t>资金</w:t>
            </w:r>
          </w:p>
        </w:tc>
        <w:tc>
          <w:tcPr>
            <w:tcW w:w="933"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continue"/>
            <w:tcBorders>
              <w:top w:val="nil"/>
              <w:bottom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continue"/>
            <w:tcBorders>
              <w:top w:val="nil"/>
            </w:tcBorders>
            <w:vAlign w:val="top"/>
          </w:tcPr>
          <w:p>
            <w:pPr>
              <w:pStyle w:val="28"/>
            </w:pPr>
          </w:p>
        </w:tc>
        <w:tc>
          <w:tcPr>
            <w:tcW w:w="899" w:type="dxa"/>
            <w:gridSpan w:val="2"/>
            <w:vAlign w:val="top"/>
          </w:tcPr>
          <w:p>
            <w:pPr>
              <w:spacing w:before="61" w:line="229" w:lineRule="auto"/>
              <w:ind w:left="396"/>
              <w:rPr>
                <w:rFonts w:ascii="宋体" w:hAnsi="宋体" w:eastAsia="宋体" w:cs="宋体"/>
                <w:sz w:val="19"/>
                <w:szCs w:val="19"/>
              </w:rPr>
            </w:pPr>
            <w:r>
              <w:rPr>
                <w:rFonts w:ascii="宋体" w:hAnsi="宋体" w:eastAsia="宋体" w:cs="宋体"/>
                <w:spacing w:val="4"/>
                <w:sz w:val="19"/>
                <w:szCs w:val="19"/>
              </w:rPr>
              <w:t>其他</w:t>
            </w:r>
          </w:p>
        </w:tc>
        <w:tc>
          <w:tcPr>
            <w:tcW w:w="845" w:type="dxa"/>
            <w:vAlign w:val="top"/>
          </w:tcPr>
          <w:p>
            <w:pPr>
              <w:pStyle w:val="28"/>
            </w:pPr>
          </w:p>
        </w:tc>
        <w:tc>
          <w:tcPr>
            <w:tcW w:w="970" w:type="dxa"/>
            <w:vAlign w:val="top"/>
          </w:tcPr>
          <w:p>
            <w:pPr>
              <w:spacing w:before="61" w:line="229" w:lineRule="auto"/>
              <w:ind w:left="466"/>
              <w:rPr>
                <w:rFonts w:ascii="宋体" w:hAnsi="宋体" w:eastAsia="宋体" w:cs="宋体"/>
                <w:sz w:val="19"/>
                <w:szCs w:val="19"/>
              </w:rPr>
            </w:pPr>
            <w:r>
              <w:rPr>
                <w:rFonts w:ascii="宋体" w:hAnsi="宋体" w:eastAsia="宋体" w:cs="宋体"/>
                <w:spacing w:val="4"/>
                <w:sz w:val="19"/>
                <w:szCs w:val="19"/>
              </w:rPr>
              <w:t>其他</w:t>
            </w:r>
          </w:p>
        </w:tc>
        <w:tc>
          <w:tcPr>
            <w:tcW w:w="1219" w:type="dxa"/>
            <w:vAlign w:val="top"/>
          </w:tcPr>
          <w:p>
            <w:pPr>
              <w:pStyle w:val="28"/>
            </w:pPr>
          </w:p>
        </w:tc>
        <w:tc>
          <w:tcPr>
            <w:tcW w:w="1165" w:type="dxa"/>
            <w:vAlign w:val="top"/>
          </w:tcPr>
          <w:p>
            <w:pPr>
              <w:spacing w:before="61" w:line="229" w:lineRule="auto"/>
              <w:ind w:left="663"/>
              <w:rPr>
                <w:rFonts w:ascii="宋体" w:hAnsi="宋体" w:eastAsia="宋体" w:cs="宋体"/>
                <w:sz w:val="19"/>
                <w:szCs w:val="19"/>
              </w:rPr>
            </w:pPr>
            <w:r>
              <w:rPr>
                <w:rFonts w:ascii="宋体" w:hAnsi="宋体" w:eastAsia="宋体" w:cs="宋体"/>
                <w:spacing w:val="4"/>
                <w:sz w:val="19"/>
                <w:szCs w:val="19"/>
              </w:rPr>
              <w:t>其他</w:t>
            </w:r>
          </w:p>
        </w:tc>
        <w:tc>
          <w:tcPr>
            <w:tcW w:w="933" w:type="dxa"/>
            <w:vAlign w:val="top"/>
          </w:tcPr>
          <w:p>
            <w:pPr>
              <w:pStyle w:val="28"/>
            </w:pPr>
          </w:p>
        </w:tc>
        <w:tc>
          <w:tcPr>
            <w:tcW w:w="1795" w:type="dxa"/>
            <w:vMerge w:val="continue"/>
            <w:tcBorders>
              <w:top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restart"/>
            <w:tcBorders>
              <w:bottom w:val="nil"/>
            </w:tcBorders>
            <w:vAlign w:val="top"/>
          </w:tcPr>
          <w:p>
            <w:pPr>
              <w:pStyle w:val="28"/>
              <w:spacing w:line="471" w:lineRule="auto"/>
            </w:pPr>
          </w:p>
          <w:p>
            <w:pPr>
              <w:spacing w:before="61" w:line="229" w:lineRule="auto"/>
              <w:ind w:left="132"/>
              <w:rPr>
                <w:rFonts w:ascii="宋体" w:hAnsi="宋体" w:eastAsia="宋体" w:cs="宋体"/>
                <w:sz w:val="19"/>
                <w:szCs w:val="19"/>
              </w:rPr>
            </w:pPr>
            <w:r>
              <w:rPr>
                <w:rFonts w:ascii="宋体" w:hAnsi="宋体" w:eastAsia="宋体" w:cs="宋体"/>
                <w:spacing w:val="-6"/>
                <w:sz w:val="19"/>
                <w:szCs w:val="19"/>
              </w:rPr>
              <w:t>三、</w:t>
            </w:r>
            <w:r>
              <w:rPr>
                <w:rFonts w:ascii="宋体" w:hAnsi="宋体" w:eastAsia="宋体" w:cs="宋体"/>
                <w:spacing w:val="-41"/>
                <w:sz w:val="19"/>
                <w:szCs w:val="19"/>
              </w:rPr>
              <w:t xml:space="preserve"> </w:t>
            </w:r>
            <w:r>
              <w:rPr>
                <w:rFonts w:ascii="宋体" w:hAnsi="宋体" w:eastAsia="宋体" w:cs="宋体"/>
                <w:spacing w:val="-6"/>
                <w:sz w:val="19"/>
                <w:szCs w:val="19"/>
              </w:rPr>
              <w:t>目标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2714" w:type="dxa"/>
            <w:gridSpan w:val="4"/>
            <w:vAlign w:val="top"/>
          </w:tcPr>
          <w:p>
            <w:pPr>
              <w:spacing w:before="60" w:line="228" w:lineRule="auto"/>
              <w:ind w:left="761"/>
              <w:rPr>
                <w:rFonts w:ascii="宋体" w:hAnsi="宋体" w:eastAsia="宋体" w:cs="宋体"/>
                <w:sz w:val="19"/>
                <w:szCs w:val="19"/>
              </w:rPr>
            </w:pPr>
            <w:r>
              <w:rPr>
                <w:rFonts w:ascii="宋体" w:hAnsi="宋体" w:eastAsia="宋体" w:cs="宋体"/>
                <w:spacing w:val="8"/>
                <w:sz w:val="19"/>
                <w:szCs w:val="19"/>
              </w:rPr>
              <w:t>年度预期目标</w:t>
            </w:r>
          </w:p>
        </w:tc>
        <w:tc>
          <w:tcPr>
            <w:tcW w:w="3317" w:type="dxa"/>
            <w:gridSpan w:val="3"/>
            <w:vAlign w:val="top"/>
          </w:tcPr>
          <w:p>
            <w:pPr>
              <w:spacing w:before="60" w:line="228" w:lineRule="auto"/>
              <w:ind w:left="1069"/>
              <w:rPr>
                <w:rFonts w:ascii="宋体" w:hAnsi="宋体" w:eastAsia="宋体" w:cs="宋体"/>
                <w:sz w:val="19"/>
                <w:szCs w:val="19"/>
              </w:rPr>
            </w:pPr>
            <w:r>
              <w:rPr>
                <w:rFonts w:ascii="宋体" w:hAnsi="宋体" w:eastAsia="宋体" w:cs="宋体"/>
                <w:spacing w:val="8"/>
                <w:sz w:val="19"/>
                <w:szCs w:val="19"/>
              </w:rPr>
              <w:t>具体完成情况</w:t>
            </w:r>
          </w:p>
        </w:tc>
        <w:tc>
          <w:tcPr>
            <w:tcW w:w="1795" w:type="dxa"/>
            <w:vAlign w:val="top"/>
          </w:tcPr>
          <w:p>
            <w:pPr>
              <w:spacing w:before="60" w:line="228" w:lineRule="auto"/>
              <w:ind w:left="408"/>
              <w:rPr>
                <w:rFonts w:ascii="宋体" w:hAnsi="宋体" w:eastAsia="宋体" w:cs="宋体"/>
                <w:sz w:val="19"/>
                <w:szCs w:val="19"/>
              </w:rPr>
            </w:pPr>
            <w:r>
              <w:rPr>
                <w:rFonts w:ascii="宋体" w:hAnsi="宋体" w:eastAsia="宋体" w:cs="宋体"/>
                <w:spacing w:val="7"/>
                <w:sz w:val="19"/>
                <w:szCs w:val="19"/>
              </w:rPr>
              <w:t>总体完成率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55" w:type="dxa"/>
            <w:vMerge w:val="continue"/>
            <w:tcBorders>
              <w:top w:val="nil"/>
            </w:tcBorders>
            <w:vAlign w:val="top"/>
          </w:tcPr>
          <w:p>
            <w:pPr>
              <w:pStyle w:val="28"/>
            </w:pPr>
          </w:p>
        </w:tc>
        <w:tc>
          <w:tcPr>
            <w:tcW w:w="2714" w:type="dxa"/>
            <w:gridSpan w:val="4"/>
            <w:vAlign w:val="top"/>
          </w:tcPr>
          <w:p>
            <w:pPr>
              <w:spacing w:before="63" w:line="227" w:lineRule="auto"/>
              <w:ind w:left="159"/>
              <w:rPr>
                <w:rFonts w:ascii="宋体" w:hAnsi="宋体" w:eastAsia="宋体" w:cs="宋体"/>
                <w:sz w:val="19"/>
                <w:szCs w:val="19"/>
              </w:rPr>
            </w:pPr>
            <w:r>
              <w:rPr>
                <w:rFonts w:ascii="宋体" w:hAnsi="宋体" w:eastAsia="宋体" w:cs="宋体"/>
                <w:spacing w:val="9"/>
                <w:sz w:val="19"/>
                <w:szCs w:val="19"/>
              </w:rPr>
              <w:t>对符合政府安排工作条件的</w:t>
            </w:r>
          </w:p>
          <w:p>
            <w:pPr>
              <w:spacing w:before="78" w:line="228" w:lineRule="auto"/>
              <w:ind w:left="161"/>
              <w:rPr>
                <w:rFonts w:ascii="宋体" w:hAnsi="宋体" w:eastAsia="宋体" w:cs="宋体"/>
                <w:sz w:val="19"/>
                <w:szCs w:val="19"/>
              </w:rPr>
            </w:pPr>
            <w:r>
              <w:rPr>
                <w:rFonts w:ascii="宋体" w:hAnsi="宋体" w:eastAsia="宋体" w:cs="宋体"/>
                <w:spacing w:val="6"/>
                <w:sz w:val="19"/>
                <w:szCs w:val="19"/>
              </w:rPr>
              <w:t>退役士兵</w:t>
            </w:r>
            <w:r>
              <w:rPr>
                <w:rFonts w:ascii="宋体" w:hAnsi="宋体" w:eastAsia="宋体" w:cs="宋体"/>
                <w:spacing w:val="-33"/>
                <w:sz w:val="19"/>
                <w:szCs w:val="19"/>
              </w:rPr>
              <w:t xml:space="preserve"> </w:t>
            </w:r>
            <w:r>
              <w:rPr>
                <w:rFonts w:ascii="宋体" w:hAnsi="宋体" w:eastAsia="宋体" w:cs="宋体"/>
                <w:spacing w:val="6"/>
                <w:sz w:val="19"/>
                <w:szCs w:val="19"/>
              </w:rPr>
              <w:t>2</w:t>
            </w:r>
            <w:r>
              <w:rPr>
                <w:rFonts w:ascii="宋体" w:hAnsi="宋体" w:eastAsia="宋体" w:cs="宋体"/>
                <w:spacing w:val="-34"/>
                <w:sz w:val="19"/>
                <w:szCs w:val="19"/>
              </w:rPr>
              <w:t xml:space="preserve"> </w:t>
            </w:r>
            <w:r>
              <w:rPr>
                <w:rFonts w:ascii="宋体" w:hAnsi="宋体" w:eastAsia="宋体" w:cs="宋体"/>
                <w:spacing w:val="6"/>
                <w:sz w:val="19"/>
                <w:szCs w:val="19"/>
              </w:rPr>
              <w:t>名，帮扶救助，</w:t>
            </w:r>
          </w:p>
          <w:p>
            <w:pPr>
              <w:spacing w:before="77" w:line="229" w:lineRule="auto"/>
              <w:ind w:left="160"/>
              <w:rPr>
                <w:rFonts w:ascii="宋体" w:hAnsi="宋体" w:eastAsia="宋体" w:cs="宋体"/>
                <w:sz w:val="19"/>
                <w:szCs w:val="19"/>
              </w:rPr>
            </w:pPr>
            <w:r>
              <w:rPr>
                <w:rFonts w:ascii="宋体" w:hAnsi="宋体" w:eastAsia="宋体" w:cs="宋体"/>
                <w:spacing w:val="9"/>
                <w:sz w:val="19"/>
                <w:szCs w:val="19"/>
              </w:rPr>
              <w:t>加大就业援助，实现公益</w:t>
            </w:r>
            <w:r>
              <w:rPr>
                <w:rFonts w:hint="eastAsia" w:ascii="宋体" w:hAnsi="宋体" w:eastAsia="宋体" w:cs="宋体"/>
                <w:spacing w:val="9"/>
                <w:sz w:val="19"/>
                <w:szCs w:val="19"/>
                <w:lang w:eastAsia="zh-CN"/>
              </w:rPr>
              <w:t>性</w:t>
            </w:r>
            <w:r>
              <w:rPr>
                <w:rFonts w:ascii="宋体" w:hAnsi="宋体" w:eastAsia="宋体" w:cs="宋体"/>
                <w:spacing w:val="9"/>
                <w:sz w:val="19"/>
                <w:szCs w:val="19"/>
              </w:rPr>
              <w:t>岗</w:t>
            </w:r>
            <w:r>
              <w:rPr>
                <w:rFonts w:ascii="宋体" w:hAnsi="宋体" w:eastAsia="宋体" w:cs="宋体"/>
                <w:spacing w:val="6"/>
                <w:sz w:val="19"/>
                <w:szCs w:val="19"/>
              </w:rPr>
              <w:t>位托管安置。</w:t>
            </w:r>
          </w:p>
        </w:tc>
        <w:tc>
          <w:tcPr>
            <w:tcW w:w="3317" w:type="dxa"/>
            <w:gridSpan w:val="3"/>
            <w:vAlign w:val="top"/>
          </w:tcPr>
          <w:p>
            <w:pPr>
              <w:spacing w:before="219" w:line="227" w:lineRule="auto"/>
              <w:ind w:left="164"/>
              <w:rPr>
                <w:rFonts w:ascii="宋体" w:hAnsi="宋体" w:eastAsia="宋体" w:cs="宋体"/>
                <w:sz w:val="19"/>
                <w:szCs w:val="19"/>
              </w:rPr>
            </w:pPr>
            <w:r>
              <w:rPr>
                <w:rFonts w:ascii="宋体" w:hAnsi="宋体" w:eastAsia="宋体" w:cs="宋体"/>
                <w:spacing w:val="9"/>
                <w:sz w:val="19"/>
                <w:szCs w:val="19"/>
              </w:rPr>
              <w:t>对符合政府安排工作条件的退役士</w:t>
            </w:r>
          </w:p>
          <w:p>
            <w:pPr>
              <w:spacing w:before="78" w:line="228" w:lineRule="auto"/>
              <w:ind w:right="17"/>
              <w:jc w:val="right"/>
              <w:rPr>
                <w:rFonts w:ascii="宋体" w:hAnsi="宋体" w:eastAsia="宋体" w:cs="宋体"/>
                <w:sz w:val="19"/>
                <w:szCs w:val="19"/>
              </w:rPr>
            </w:pPr>
            <w:r>
              <w:rPr>
                <w:rFonts w:ascii="宋体" w:hAnsi="宋体" w:eastAsia="宋体" w:cs="宋体"/>
                <w:spacing w:val="6"/>
                <w:sz w:val="19"/>
                <w:szCs w:val="19"/>
              </w:rPr>
              <w:t>兵</w:t>
            </w:r>
            <w:r>
              <w:rPr>
                <w:rFonts w:ascii="宋体" w:hAnsi="宋体" w:eastAsia="宋体" w:cs="宋体"/>
                <w:spacing w:val="-20"/>
                <w:sz w:val="19"/>
                <w:szCs w:val="19"/>
              </w:rPr>
              <w:t xml:space="preserve"> </w:t>
            </w:r>
            <w:r>
              <w:rPr>
                <w:rFonts w:ascii="宋体" w:hAnsi="宋体" w:eastAsia="宋体" w:cs="宋体"/>
                <w:spacing w:val="6"/>
                <w:sz w:val="19"/>
                <w:szCs w:val="19"/>
              </w:rPr>
              <w:t>2</w:t>
            </w:r>
            <w:r>
              <w:rPr>
                <w:rFonts w:ascii="宋体" w:hAnsi="宋体" w:eastAsia="宋体" w:cs="宋体"/>
                <w:spacing w:val="-33"/>
                <w:sz w:val="19"/>
                <w:szCs w:val="19"/>
              </w:rPr>
              <w:t xml:space="preserve"> </w:t>
            </w:r>
            <w:r>
              <w:rPr>
                <w:rFonts w:ascii="宋体" w:hAnsi="宋体" w:eastAsia="宋体" w:cs="宋体"/>
                <w:spacing w:val="6"/>
                <w:sz w:val="19"/>
                <w:szCs w:val="19"/>
              </w:rPr>
              <w:t>名，帮扶救助，加大就业援助，</w:t>
            </w:r>
          </w:p>
          <w:p>
            <w:pPr>
              <w:spacing w:before="77" w:line="228" w:lineRule="auto"/>
              <w:ind w:left="568"/>
              <w:rPr>
                <w:rFonts w:ascii="宋体" w:hAnsi="宋体" w:eastAsia="宋体" w:cs="宋体"/>
                <w:sz w:val="19"/>
                <w:szCs w:val="19"/>
              </w:rPr>
            </w:pPr>
            <w:r>
              <w:rPr>
                <w:rFonts w:ascii="宋体" w:hAnsi="宋体" w:eastAsia="宋体" w:cs="宋体"/>
                <w:spacing w:val="7"/>
                <w:sz w:val="19"/>
                <w:szCs w:val="19"/>
              </w:rPr>
              <w:t>实现</w:t>
            </w:r>
            <w:r>
              <w:rPr>
                <w:rFonts w:hint="eastAsia" w:ascii="宋体" w:hAnsi="宋体" w:eastAsia="宋体" w:cs="宋体"/>
                <w:spacing w:val="7"/>
                <w:sz w:val="19"/>
                <w:szCs w:val="19"/>
                <w:lang w:eastAsia="zh-CN"/>
              </w:rPr>
              <w:t>公益性岗位</w:t>
            </w:r>
            <w:r>
              <w:rPr>
                <w:rFonts w:ascii="宋体" w:hAnsi="宋体" w:eastAsia="宋体" w:cs="宋体"/>
                <w:spacing w:val="7"/>
                <w:sz w:val="19"/>
                <w:szCs w:val="19"/>
              </w:rPr>
              <w:t>托管安置。</w:t>
            </w:r>
          </w:p>
        </w:tc>
        <w:tc>
          <w:tcPr>
            <w:tcW w:w="1795" w:type="dxa"/>
            <w:vAlign w:val="top"/>
          </w:tcPr>
          <w:p>
            <w:pPr>
              <w:pStyle w:val="28"/>
              <w:spacing w:line="466"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263" w:lineRule="auto"/>
            </w:pPr>
          </w:p>
          <w:p>
            <w:pPr>
              <w:pStyle w:val="28"/>
              <w:spacing w:line="264" w:lineRule="auto"/>
            </w:pPr>
          </w:p>
          <w:p>
            <w:pPr>
              <w:pStyle w:val="28"/>
              <w:spacing w:line="264" w:lineRule="auto"/>
            </w:pPr>
          </w:p>
          <w:p>
            <w:pPr>
              <w:spacing w:before="62" w:line="228" w:lineRule="auto"/>
              <w:ind w:left="134"/>
              <w:rPr>
                <w:rFonts w:ascii="宋体" w:hAnsi="宋体" w:eastAsia="宋体" w:cs="宋体"/>
                <w:sz w:val="19"/>
                <w:szCs w:val="19"/>
              </w:rPr>
            </w:pPr>
            <w:r>
              <w:rPr>
                <w:rFonts w:ascii="宋体" w:hAnsi="宋体" w:eastAsia="宋体" w:cs="宋体"/>
                <w:spacing w:val="-2"/>
                <w:sz w:val="19"/>
                <w:szCs w:val="19"/>
              </w:rPr>
              <w:t>四、</w:t>
            </w:r>
            <w:r>
              <w:rPr>
                <w:rFonts w:ascii="宋体" w:hAnsi="宋体" w:eastAsia="宋体" w:cs="宋体"/>
                <w:spacing w:val="-42"/>
                <w:sz w:val="19"/>
                <w:szCs w:val="19"/>
              </w:rPr>
              <w:t xml:space="preserve"> </w:t>
            </w:r>
            <w:r>
              <w:rPr>
                <w:rFonts w:ascii="宋体" w:hAnsi="宋体" w:eastAsia="宋体" w:cs="宋体"/>
                <w:spacing w:val="-2"/>
                <w:sz w:val="19"/>
                <w:szCs w:val="19"/>
              </w:rPr>
              <w:t>年度</w:t>
            </w:r>
          </w:p>
          <w:p>
            <w:pPr>
              <w:spacing w:before="77" w:line="229" w:lineRule="auto"/>
              <w:ind w:left="136"/>
              <w:rPr>
                <w:rFonts w:ascii="宋体" w:hAnsi="宋体" w:eastAsia="宋体" w:cs="宋体"/>
                <w:sz w:val="19"/>
                <w:szCs w:val="19"/>
              </w:rPr>
            </w:pPr>
            <w:r>
              <w:rPr>
                <w:rFonts w:ascii="宋体" w:hAnsi="宋体" w:eastAsia="宋体" w:cs="宋体"/>
                <w:spacing w:val="7"/>
                <w:sz w:val="19"/>
                <w:szCs w:val="19"/>
              </w:rPr>
              <w:t>绩效指标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899" w:type="dxa"/>
            <w:gridSpan w:val="2"/>
            <w:vAlign w:val="top"/>
          </w:tcPr>
          <w:p>
            <w:pPr>
              <w:spacing w:before="63" w:line="270" w:lineRule="auto"/>
              <w:ind w:left="352" w:right="148" w:hanging="196"/>
              <w:rPr>
                <w:rFonts w:ascii="宋体" w:hAnsi="宋体" w:eastAsia="宋体" w:cs="宋体"/>
                <w:sz w:val="19"/>
                <w:szCs w:val="19"/>
              </w:rPr>
            </w:pPr>
            <w:r>
              <w:rPr>
                <w:rFonts w:ascii="宋体" w:hAnsi="宋体" w:eastAsia="宋体" w:cs="宋体"/>
                <w:spacing w:val="6"/>
                <w:sz w:val="19"/>
                <w:szCs w:val="19"/>
              </w:rPr>
              <w:t>一级指</w:t>
            </w:r>
            <w:r>
              <w:rPr>
                <w:rFonts w:ascii="宋体" w:hAnsi="宋体" w:eastAsia="宋体" w:cs="宋体"/>
                <w:sz w:val="19"/>
                <w:szCs w:val="19"/>
              </w:rPr>
              <w:t xml:space="preserve"> 标</w:t>
            </w:r>
          </w:p>
        </w:tc>
        <w:tc>
          <w:tcPr>
            <w:tcW w:w="845" w:type="dxa"/>
            <w:vAlign w:val="top"/>
          </w:tcPr>
          <w:p>
            <w:pPr>
              <w:spacing w:before="63" w:line="270" w:lineRule="auto"/>
              <w:ind w:left="324" w:right="122" w:hanging="196"/>
              <w:rPr>
                <w:rFonts w:ascii="宋体" w:hAnsi="宋体" w:eastAsia="宋体" w:cs="宋体"/>
                <w:sz w:val="19"/>
                <w:szCs w:val="19"/>
              </w:rPr>
            </w:pPr>
            <w:r>
              <w:rPr>
                <w:rFonts w:ascii="宋体" w:hAnsi="宋体" w:eastAsia="宋体" w:cs="宋体"/>
                <w:spacing w:val="6"/>
                <w:sz w:val="19"/>
                <w:szCs w:val="19"/>
              </w:rPr>
              <w:t>二级指</w:t>
            </w:r>
            <w:r>
              <w:rPr>
                <w:rFonts w:ascii="宋体" w:hAnsi="宋体" w:eastAsia="宋体" w:cs="宋体"/>
                <w:sz w:val="19"/>
                <w:szCs w:val="19"/>
              </w:rPr>
              <w:t xml:space="preserve"> 标</w:t>
            </w:r>
          </w:p>
        </w:tc>
        <w:tc>
          <w:tcPr>
            <w:tcW w:w="2189" w:type="dxa"/>
            <w:gridSpan w:val="2"/>
            <w:vAlign w:val="top"/>
          </w:tcPr>
          <w:p>
            <w:pPr>
              <w:spacing w:before="219" w:line="229" w:lineRule="auto"/>
              <w:ind w:left="698"/>
              <w:rPr>
                <w:rFonts w:ascii="宋体" w:hAnsi="宋体" w:eastAsia="宋体" w:cs="宋体"/>
                <w:sz w:val="19"/>
                <w:szCs w:val="19"/>
              </w:rPr>
            </w:pPr>
            <w:r>
              <w:rPr>
                <w:rFonts w:ascii="宋体" w:hAnsi="宋体" w:eastAsia="宋体" w:cs="宋体"/>
                <w:spacing w:val="7"/>
                <w:sz w:val="19"/>
                <w:szCs w:val="19"/>
              </w:rPr>
              <w:t>三级指标</w:t>
            </w:r>
          </w:p>
        </w:tc>
        <w:tc>
          <w:tcPr>
            <w:tcW w:w="1165" w:type="dxa"/>
            <w:vAlign w:val="top"/>
          </w:tcPr>
          <w:p>
            <w:pPr>
              <w:spacing w:before="63" w:line="229" w:lineRule="auto"/>
              <w:ind w:left="188"/>
              <w:rPr>
                <w:rFonts w:ascii="宋体" w:hAnsi="宋体" w:eastAsia="宋体" w:cs="宋体"/>
                <w:sz w:val="19"/>
                <w:szCs w:val="19"/>
              </w:rPr>
            </w:pPr>
            <w:r>
              <w:rPr>
                <w:rFonts w:ascii="宋体" w:hAnsi="宋体" w:eastAsia="宋体" w:cs="宋体"/>
                <w:spacing w:val="7"/>
                <w:sz w:val="19"/>
                <w:szCs w:val="19"/>
              </w:rPr>
              <w:t>预期指标</w:t>
            </w:r>
          </w:p>
          <w:p>
            <w:pPr>
              <w:spacing w:before="76" w:line="228" w:lineRule="auto"/>
              <w:ind w:left="487"/>
              <w:rPr>
                <w:rFonts w:ascii="宋体" w:hAnsi="宋体" w:eastAsia="宋体" w:cs="宋体"/>
                <w:sz w:val="19"/>
                <w:szCs w:val="19"/>
              </w:rPr>
            </w:pPr>
            <w:r>
              <w:rPr>
                <w:rFonts w:ascii="宋体" w:hAnsi="宋体" w:eastAsia="宋体" w:cs="宋体"/>
                <w:spacing w:val="1"/>
                <w:sz w:val="19"/>
                <w:szCs w:val="19"/>
              </w:rPr>
              <w:t>值</w:t>
            </w:r>
          </w:p>
        </w:tc>
        <w:tc>
          <w:tcPr>
            <w:tcW w:w="933" w:type="dxa"/>
            <w:vAlign w:val="top"/>
          </w:tcPr>
          <w:p>
            <w:pPr>
              <w:spacing w:before="63" w:line="270" w:lineRule="auto"/>
              <w:ind w:left="274" w:right="161" w:hanging="95"/>
              <w:rPr>
                <w:rFonts w:ascii="宋体" w:hAnsi="宋体" w:eastAsia="宋体" w:cs="宋体"/>
                <w:sz w:val="19"/>
                <w:szCs w:val="19"/>
              </w:rPr>
            </w:pPr>
            <w:r>
              <w:rPr>
                <w:rFonts w:ascii="宋体" w:hAnsi="宋体" w:eastAsia="宋体" w:cs="宋体"/>
                <w:spacing w:val="5"/>
                <w:sz w:val="19"/>
                <w:szCs w:val="19"/>
              </w:rPr>
              <w:t>实际完</w:t>
            </w:r>
            <w:r>
              <w:rPr>
                <w:rFonts w:ascii="宋体" w:hAnsi="宋体" w:eastAsia="宋体" w:cs="宋体"/>
                <w:spacing w:val="1"/>
                <w:sz w:val="19"/>
                <w:szCs w:val="19"/>
              </w:rPr>
              <w:t xml:space="preserve"> </w:t>
            </w:r>
            <w:r>
              <w:rPr>
                <w:rFonts w:ascii="宋体" w:hAnsi="宋体" w:eastAsia="宋体" w:cs="宋体"/>
                <w:spacing w:val="4"/>
                <w:sz w:val="19"/>
                <w:szCs w:val="19"/>
              </w:rPr>
              <w:t>成值</w:t>
            </w:r>
          </w:p>
        </w:tc>
        <w:tc>
          <w:tcPr>
            <w:tcW w:w="1795" w:type="dxa"/>
            <w:vAlign w:val="top"/>
          </w:tcPr>
          <w:p>
            <w:pPr>
              <w:spacing w:before="219" w:line="228" w:lineRule="auto"/>
              <w:ind w:left="533"/>
              <w:rPr>
                <w:rFonts w:ascii="宋体" w:hAnsi="宋体" w:eastAsia="宋体" w:cs="宋体"/>
                <w:sz w:val="19"/>
                <w:szCs w:val="19"/>
              </w:rPr>
            </w:pPr>
            <w:r>
              <w:rPr>
                <w:rFonts w:ascii="宋体" w:hAnsi="宋体" w:eastAsia="宋体" w:cs="宋体"/>
                <w:spacing w:val="-1"/>
                <w:sz w:val="19"/>
                <w:szCs w:val="19"/>
              </w:rPr>
              <w:t>自评得分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restart"/>
            <w:tcBorders>
              <w:bottom w:val="nil"/>
            </w:tcBorders>
            <w:vAlign w:val="top"/>
          </w:tcPr>
          <w:p>
            <w:pPr>
              <w:pStyle w:val="28"/>
              <w:spacing w:line="315" w:lineRule="auto"/>
            </w:pPr>
          </w:p>
          <w:p>
            <w:pPr>
              <w:pStyle w:val="28"/>
              <w:spacing w:line="315" w:lineRule="auto"/>
            </w:pPr>
          </w:p>
          <w:p>
            <w:pPr>
              <w:spacing w:before="62" w:line="305" w:lineRule="auto"/>
              <w:ind w:left="113" w:right="24" w:firstLine="40"/>
              <w:rPr>
                <w:rFonts w:ascii="宋体" w:hAnsi="宋体" w:eastAsia="宋体" w:cs="宋体"/>
                <w:sz w:val="19"/>
                <w:szCs w:val="19"/>
              </w:rPr>
            </w:pPr>
            <w:r>
              <w:rPr>
                <w:rFonts w:ascii="宋体" w:hAnsi="宋体" w:eastAsia="宋体" w:cs="宋体"/>
                <w:spacing w:val="7"/>
                <w:sz w:val="19"/>
                <w:szCs w:val="19"/>
              </w:rPr>
              <w:t>产出指</w:t>
            </w:r>
            <w:r>
              <w:rPr>
                <w:rFonts w:ascii="宋体" w:hAnsi="宋体" w:eastAsia="宋体" w:cs="宋体"/>
                <w:sz w:val="19"/>
                <w:szCs w:val="19"/>
              </w:rPr>
              <w:t xml:space="preserve">  </w:t>
            </w:r>
            <w:r>
              <w:rPr>
                <w:rFonts w:ascii="宋体" w:hAnsi="宋体" w:eastAsia="宋体" w:cs="宋体"/>
                <w:spacing w:val="-1"/>
                <w:sz w:val="19"/>
                <w:szCs w:val="19"/>
              </w:rPr>
              <w:t>标（50）</w:t>
            </w:r>
          </w:p>
        </w:tc>
        <w:tc>
          <w:tcPr>
            <w:tcW w:w="845" w:type="dxa"/>
            <w:vAlign w:val="top"/>
          </w:tcPr>
          <w:p>
            <w:pPr>
              <w:spacing w:before="63" w:line="270" w:lineRule="auto"/>
              <w:ind w:left="324" w:right="122" w:hanging="198"/>
              <w:rPr>
                <w:rFonts w:ascii="宋体" w:hAnsi="宋体" w:eastAsia="宋体" w:cs="宋体"/>
                <w:sz w:val="19"/>
                <w:szCs w:val="19"/>
              </w:rPr>
            </w:pPr>
            <w:r>
              <w:rPr>
                <w:rFonts w:ascii="宋体" w:hAnsi="宋体" w:eastAsia="宋体" w:cs="宋体"/>
                <w:spacing w:val="6"/>
                <w:sz w:val="19"/>
                <w:szCs w:val="19"/>
              </w:rPr>
              <w:t>数量指</w:t>
            </w:r>
            <w:r>
              <w:rPr>
                <w:rFonts w:ascii="宋体" w:hAnsi="宋体" w:eastAsia="宋体" w:cs="宋体"/>
                <w:spacing w:val="1"/>
                <w:sz w:val="19"/>
                <w:szCs w:val="19"/>
              </w:rPr>
              <w:t xml:space="preserve"> </w:t>
            </w:r>
            <w:r>
              <w:rPr>
                <w:rFonts w:ascii="宋体" w:hAnsi="宋体" w:eastAsia="宋体" w:cs="宋体"/>
                <w:sz w:val="19"/>
                <w:szCs w:val="19"/>
              </w:rPr>
              <w:t>标</w:t>
            </w:r>
          </w:p>
        </w:tc>
        <w:tc>
          <w:tcPr>
            <w:tcW w:w="2189" w:type="dxa"/>
            <w:gridSpan w:val="2"/>
            <w:vAlign w:val="top"/>
          </w:tcPr>
          <w:p>
            <w:pPr>
              <w:spacing w:before="219" w:line="228" w:lineRule="auto"/>
              <w:ind w:left="111"/>
              <w:rPr>
                <w:rFonts w:ascii="宋体" w:hAnsi="宋体" w:eastAsia="宋体" w:cs="宋体"/>
                <w:sz w:val="19"/>
                <w:szCs w:val="19"/>
              </w:rPr>
            </w:pPr>
            <w:r>
              <w:rPr>
                <w:rFonts w:ascii="宋体" w:hAnsi="宋体" w:eastAsia="宋体" w:cs="宋体"/>
                <w:spacing w:val="8"/>
                <w:sz w:val="19"/>
                <w:szCs w:val="19"/>
              </w:rPr>
              <w:t>退役士兵人数</w:t>
            </w:r>
          </w:p>
        </w:tc>
        <w:tc>
          <w:tcPr>
            <w:tcW w:w="1165" w:type="dxa"/>
            <w:vAlign w:val="top"/>
          </w:tcPr>
          <w:p>
            <w:pPr>
              <w:spacing w:before="219"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9"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9" w:line="255"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2" w:line="229" w:lineRule="auto"/>
              <w:ind w:left="126"/>
              <w:rPr>
                <w:rFonts w:ascii="宋体" w:hAnsi="宋体" w:eastAsia="宋体" w:cs="宋体"/>
                <w:sz w:val="19"/>
                <w:szCs w:val="19"/>
              </w:rPr>
            </w:pPr>
            <w:r>
              <w:rPr>
                <w:rFonts w:ascii="宋体" w:hAnsi="宋体" w:eastAsia="宋体" w:cs="宋体"/>
                <w:spacing w:val="7"/>
                <w:sz w:val="19"/>
                <w:szCs w:val="19"/>
              </w:rPr>
              <w:t>质量指</w:t>
            </w:r>
          </w:p>
          <w:p>
            <w:pPr>
              <w:spacing w:before="76" w:line="229" w:lineRule="auto"/>
              <w:ind w:left="325"/>
              <w:rPr>
                <w:rFonts w:ascii="宋体" w:hAnsi="宋体" w:eastAsia="宋体" w:cs="宋体"/>
                <w:sz w:val="19"/>
                <w:szCs w:val="19"/>
              </w:rPr>
            </w:pPr>
            <w:r>
              <w:rPr>
                <w:rFonts w:ascii="宋体" w:hAnsi="宋体" w:eastAsia="宋体" w:cs="宋体"/>
                <w:sz w:val="19"/>
                <w:szCs w:val="19"/>
              </w:rPr>
              <w:t>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8"/>
                <w:sz w:val="19"/>
                <w:szCs w:val="19"/>
              </w:rPr>
              <w:t>工资发放完成率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55" w:type="dxa"/>
            <w:vMerge w:val="continue"/>
            <w:tcBorders>
              <w:top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3" w:line="271" w:lineRule="auto"/>
              <w:ind w:left="324" w:right="122" w:hanging="190"/>
              <w:rPr>
                <w:rFonts w:ascii="宋体" w:hAnsi="宋体" w:eastAsia="宋体" w:cs="宋体"/>
                <w:sz w:val="19"/>
                <w:szCs w:val="19"/>
              </w:rPr>
            </w:pPr>
            <w:r>
              <w:rPr>
                <w:rFonts w:ascii="宋体" w:hAnsi="宋体" w:eastAsia="宋体" w:cs="宋体"/>
                <w:spacing w:val="4"/>
                <w:sz w:val="19"/>
                <w:szCs w:val="19"/>
              </w:rPr>
              <w:t>时效指</w:t>
            </w:r>
            <w:r>
              <w:rPr>
                <w:rFonts w:ascii="宋体" w:hAnsi="宋体" w:eastAsia="宋体" w:cs="宋体"/>
                <w:sz w:val="19"/>
                <w:szCs w:val="19"/>
              </w:rPr>
              <w:t xml:space="preserve"> 标</w:t>
            </w:r>
          </w:p>
        </w:tc>
        <w:tc>
          <w:tcPr>
            <w:tcW w:w="2189" w:type="dxa"/>
            <w:gridSpan w:val="2"/>
            <w:vAlign w:val="top"/>
          </w:tcPr>
          <w:p>
            <w:pPr>
              <w:spacing w:before="218" w:line="229" w:lineRule="auto"/>
              <w:ind w:left="113"/>
              <w:rPr>
                <w:rFonts w:ascii="宋体" w:hAnsi="宋体" w:eastAsia="宋体" w:cs="宋体"/>
                <w:sz w:val="19"/>
                <w:szCs w:val="19"/>
              </w:rPr>
            </w:pPr>
            <w:r>
              <w:rPr>
                <w:rFonts w:ascii="宋体" w:hAnsi="宋体" w:eastAsia="宋体" w:cs="宋体"/>
                <w:spacing w:val="8"/>
                <w:sz w:val="19"/>
                <w:szCs w:val="19"/>
              </w:rPr>
              <w:t>工资发放标准</w:t>
            </w:r>
          </w:p>
        </w:tc>
        <w:tc>
          <w:tcPr>
            <w:tcW w:w="1165" w:type="dxa"/>
            <w:vAlign w:val="top"/>
          </w:tcPr>
          <w:p>
            <w:pPr>
              <w:spacing w:before="218" w:line="228" w:lineRule="auto"/>
              <w:ind w:left="116"/>
              <w:rPr>
                <w:rFonts w:hint="default" w:ascii="宋体" w:hAnsi="宋体" w:eastAsia="宋体" w:cs="宋体"/>
                <w:sz w:val="19"/>
                <w:szCs w:val="19"/>
                <w:lang w:val="en-US" w:eastAsia="zh-CN"/>
              </w:rPr>
            </w:pPr>
            <w:r>
              <w:rPr>
                <w:rFonts w:ascii="宋体" w:hAnsi="宋体" w:eastAsia="宋体" w:cs="宋体"/>
                <w:spacing w:val="15"/>
                <w:sz w:val="19"/>
                <w:szCs w:val="19"/>
              </w:rPr>
              <w:t>≥</w:t>
            </w:r>
            <w:r>
              <w:rPr>
                <w:rFonts w:hint="eastAsia" w:ascii="宋体" w:hAnsi="宋体" w:eastAsia="宋体" w:cs="宋体"/>
                <w:spacing w:val="15"/>
                <w:sz w:val="19"/>
                <w:szCs w:val="19"/>
                <w:lang w:val="en-US" w:eastAsia="zh-CN"/>
              </w:rPr>
              <w:t>60000元/人</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5" w:lineRule="exact"/>
              <w:ind w:left="803"/>
              <w:rPr>
                <w:rFonts w:ascii="宋体" w:hAnsi="宋体" w:eastAsia="宋体" w:cs="宋体"/>
                <w:sz w:val="19"/>
                <w:szCs w:val="19"/>
              </w:rPr>
            </w:pPr>
            <w:r>
              <w:rPr>
                <w:rFonts w:ascii="宋体" w:hAnsi="宋体" w:eastAsia="宋体" w:cs="宋体"/>
                <w:position w:val="1"/>
                <w:sz w:val="19"/>
                <w:szCs w:val="19"/>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55" w:type="dxa"/>
            <w:vMerge w:val="restart"/>
            <w:tcBorders>
              <w:bottom w:val="nil"/>
            </w:tcBorders>
            <w:vAlign w:val="top"/>
          </w:tcPr>
          <w:p>
            <w:pPr>
              <w:pStyle w:val="28"/>
            </w:pPr>
          </w:p>
        </w:tc>
        <w:tc>
          <w:tcPr>
            <w:tcW w:w="898" w:type="dxa"/>
            <w:vMerge w:val="restart"/>
            <w:tcBorders>
              <w:bottom w:val="nil"/>
            </w:tcBorders>
            <w:vAlign w:val="top"/>
          </w:tcPr>
          <w:p>
            <w:pPr>
              <w:pStyle w:val="28"/>
            </w:pPr>
          </w:p>
        </w:tc>
        <w:tc>
          <w:tcPr>
            <w:tcW w:w="846" w:type="dxa"/>
            <w:gridSpan w:val="2"/>
            <w:tcBorders>
              <w:top w:val="nil"/>
            </w:tcBorders>
            <w:vAlign w:val="top"/>
          </w:tcPr>
          <w:p>
            <w:pPr>
              <w:spacing w:before="62" w:line="272" w:lineRule="auto"/>
              <w:ind w:left="229" w:right="121" w:hanging="102"/>
              <w:rPr>
                <w:rFonts w:ascii="宋体" w:hAnsi="宋体" w:eastAsia="宋体" w:cs="宋体"/>
                <w:sz w:val="19"/>
                <w:szCs w:val="19"/>
              </w:rPr>
            </w:pPr>
            <w:r>
              <w:rPr>
                <w:rFonts w:ascii="宋体" w:hAnsi="宋体" w:eastAsia="宋体" w:cs="宋体"/>
                <w:spacing w:val="6"/>
                <w:sz w:val="19"/>
                <w:szCs w:val="19"/>
              </w:rPr>
              <w:t>预算执</w:t>
            </w:r>
            <w:r>
              <w:rPr>
                <w:rFonts w:ascii="宋体" w:hAnsi="宋体" w:eastAsia="宋体" w:cs="宋体"/>
                <w:spacing w:val="1"/>
                <w:sz w:val="19"/>
                <w:szCs w:val="19"/>
              </w:rPr>
              <w:t xml:space="preserve"> </w:t>
            </w:r>
            <w:r>
              <w:rPr>
                <w:rFonts w:ascii="宋体" w:hAnsi="宋体" w:eastAsia="宋体" w:cs="宋体"/>
                <w:spacing w:val="3"/>
                <w:sz w:val="19"/>
                <w:szCs w:val="19"/>
              </w:rPr>
              <w:t>行率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7"/>
                <w:sz w:val="19"/>
                <w:szCs w:val="19"/>
              </w:rPr>
              <w:t>预算执行率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8" w:type="dxa"/>
            <w:vMerge w:val="continue"/>
            <w:tcBorders>
              <w:top w:val="nil"/>
              <w:bottom w:val="nil"/>
            </w:tcBorders>
            <w:vAlign w:val="top"/>
          </w:tcPr>
          <w:p>
            <w:pPr>
              <w:pStyle w:val="28"/>
            </w:pPr>
          </w:p>
        </w:tc>
        <w:tc>
          <w:tcPr>
            <w:tcW w:w="846" w:type="dxa"/>
            <w:gridSpan w:val="2"/>
            <w:vAlign w:val="top"/>
          </w:tcPr>
          <w:p>
            <w:pPr>
              <w:spacing w:before="59" w:line="227" w:lineRule="auto"/>
              <w:ind w:left="127"/>
              <w:rPr>
                <w:rFonts w:ascii="宋体" w:hAnsi="宋体" w:eastAsia="宋体" w:cs="宋体"/>
                <w:sz w:val="19"/>
                <w:szCs w:val="19"/>
              </w:rPr>
            </w:pPr>
            <w:r>
              <w:rPr>
                <w:rFonts w:ascii="宋体" w:hAnsi="宋体" w:eastAsia="宋体" w:cs="宋体"/>
                <w:spacing w:val="6"/>
                <w:sz w:val="19"/>
                <w:szCs w:val="19"/>
              </w:rPr>
              <w:t>社会效</w:t>
            </w:r>
          </w:p>
          <w:p>
            <w:pPr>
              <w:spacing w:before="77" w:line="229" w:lineRule="auto"/>
              <w:ind w:left="127"/>
              <w:rPr>
                <w:rFonts w:ascii="宋体" w:hAnsi="宋体" w:eastAsia="宋体" w:cs="宋体"/>
                <w:sz w:val="19"/>
                <w:szCs w:val="19"/>
              </w:rPr>
            </w:pPr>
            <w:r>
              <w:rPr>
                <w:rFonts w:ascii="宋体" w:hAnsi="宋体" w:eastAsia="宋体" w:cs="宋体"/>
                <w:spacing w:val="6"/>
                <w:sz w:val="19"/>
                <w:szCs w:val="19"/>
              </w:rPr>
              <w:t>益指标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托管安置人数</w:t>
            </w:r>
          </w:p>
        </w:tc>
        <w:tc>
          <w:tcPr>
            <w:tcW w:w="1165" w:type="dxa"/>
            <w:vAlign w:val="top"/>
          </w:tcPr>
          <w:p>
            <w:pPr>
              <w:spacing w:before="215"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5" w:lineRule="exact"/>
              <w:ind w:left="800"/>
              <w:rPr>
                <w:rFonts w:ascii="宋体" w:hAnsi="宋体" w:eastAsia="宋体" w:cs="宋体"/>
                <w:sz w:val="19"/>
                <w:szCs w:val="19"/>
              </w:rPr>
            </w:pPr>
            <w:r>
              <w:rPr>
                <w:rFonts w:ascii="宋体" w:hAnsi="宋体" w:eastAsia="宋体" w:cs="宋体"/>
                <w:spacing w:val="1"/>
                <w:position w:val="1"/>
                <w:sz w:val="19"/>
                <w:szCs w:val="19"/>
              </w:rPr>
              <w:t>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055" w:type="dxa"/>
            <w:vMerge w:val="continue"/>
            <w:tcBorders>
              <w:top w:val="nil"/>
              <w:bottom w:val="nil"/>
            </w:tcBorders>
            <w:vAlign w:val="top"/>
          </w:tcPr>
          <w:p>
            <w:pPr>
              <w:pStyle w:val="28"/>
            </w:pPr>
          </w:p>
        </w:tc>
        <w:tc>
          <w:tcPr>
            <w:tcW w:w="898" w:type="dxa"/>
            <w:vMerge w:val="continue"/>
            <w:tcBorders>
              <w:top w:val="nil"/>
            </w:tcBorders>
            <w:vAlign w:val="top"/>
          </w:tcPr>
          <w:p>
            <w:pPr>
              <w:pStyle w:val="28"/>
            </w:pPr>
          </w:p>
        </w:tc>
        <w:tc>
          <w:tcPr>
            <w:tcW w:w="846" w:type="dxa"/>
            <w:gridSpan w:val="2"/>
            <w:vAlign w:val="top"/>
          </w:tcPr>
          <w:p>
            <w:pPr>
              <w:spacing w:before="59" w:line="271" w:lineRule="auto"/>
              <w:ind w:left="229" w:right="121" w:hanging="103"/>
              <w:rPr>
                <w:rFonts w:ascii="宋体" w:hAnsi="宋体" w:eastAsia="宋体" w:cs="宋体"/>
                <w:sz w:val="19"/>
                <w:szCs w:val="19"/>
              </w:rPr>
            </w:pPr>
            <w:r>
              <w:rPr>
                <w:rFonts w:ascii="宋体" w:hAnsi="宋体" w:eastAsia="宋体" w:cs="宋体"/>
                <w:spacing w:val="7"/>
                <w:sz w:val="19"/>
                <w:szCs w:val="19"/>
              </w:rPr>
              <w:t>满意度</w:t>
            </w:r>
            <w:r>
              <w:rPr>
                <w:rFonts w:ascii="宋体" w:hAnsi="宋体" w:eastAsia="宋体" w:cs="宋体"/>
                <w:sz w:val="19"/>
                <w:szCs w:val="19"/>
              </w:rPr>
              <w:t xml:space="preserve"> </w:t>
            </w:r>
            <w:r>
              <w:rPr>
                <w:rFonts w:ascii="宋体" w:hAnsi="宋体" w:eastAsia="宋体" w:cs="宋体"/>
                <w:spacing w:val="4"/>
                <w:sz w:val="19"/>
                <w:szCs w:val="19"/>
              </w:rPr>
              <w:t>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群众满意度</w:t>
            </w:r>
          </w:p>
        </w:tc>
        <w:tc>
          <w:tcPr>
            <w:tcW w:w="1165" w:type="dxa"/>
            <w:vAlign w:val="top"/>
          </w:tcPr>
          <w:p>
            <w:pPr>
              <w:spacing w:before="215"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55" w:type="dxa"/>
            <w:vMerge w:val="continue"/>
            <w:tcBorders>
              <w:top w:val="nil"/>
            </w:tcBorders>
            <w:vAlign w:val="top"/>
          </w:tcPr>
          <w:p>
            <w:pPr>
              <w:pStyle w:val="28"/>
            </w:pPr>
          </w:p>
        </w:tc>
        <w:tc>
          <w:tcPr>
            <w:tcW w:w="6031" w:type="dxa"/>
            <w:gridSpan w:val="7"/>
            <w:vAlign w:val="top"/>
          </w:tcPr>
          <w:p>
            <w:pPr>
              <w:spacing w:before="63" w:line="229" w:lineRule="auto"/>
              <w:ind w:left="2824"/>
              <w:rPr>
                <w:rFonts w:ascii="宋体" w:hAnsi="宋体" w:eastAsia="宋体" w:cs="宋体"/>
                <w:sz w:val="19"/>
                <w:szCs w:val="19"/>
              </w:rPr>
            </w:pPr>
            <w:r>
              <w:rPr>
                <w:rFonts w:ascii="宋体" w:hAnsi="宋体" w:eastAsia="宋体" w:cs="宋体"/>
                <w:spacing w:val="2"/>
                <w:sz w:val="19"/>
                <w:szCs w:val="19"/>
              </w:rPr>
              <w:t>总分</w:t>
            </w:r>
          </w:p>
        </w:tc>
        <w:tc>
          <w:tcPr>
            <w:tcW w:w="1795" w:type="dxa"/>
            <w:vAlign w:val="top"/>
          </w:tcPr>
          <w:p>
            <w:pPr>
              <w:spacing w:before="63"/>
              <w:ind w:left="768"/>
              <w:rPr>
                <w:rFonts w:ascii="宋体" w:hAnsi="宋体" w:eastAsia="宋体" w:cs="宋体"/>
                <w:sz w:val="19"/>
                <w:szCs w:val="19"/>
              </w:rPr>
            </w:pPr>
            <w:r>
              <w:rPr>
                <w:rFonts w:ascii="宋体" w:hAnsi="宋体" w:eastAsia="宋体" w:cs="宋体"/>
                <w:spacing w:val="-3"/>
                <w:sz w:val="19"/>
                <w:szCs w:val="19"/>
              </w:rPr>
              <w:t>100</w:t>
            </w:r>
          </w:p>
        </w:tc>
      </w:tr>
    </w:tbl>
    <w:p>
      <w:pPr>
        <w:spacing w:before="63" w:line="227" w:lineRule="auto"/>
        <w:ind w:left="159" w:firstLine="640" w:firstLineChars="200"/>
        <w:rPr>
          <w:rFonts w:ascii="Times New Roman" w:eastAsia="仿宋_GB2312"/>
          <w:b w:val="0"/>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1、资金到位，使用合规。资金拨付程序从申请、审核、审查、审批到最后发放都按照中央、省、市相关财政政策实施，使用符合财务管理规定。</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2、管理规范，监督有效。严格资金使用程序</w:t>
      </w:r>
      <w:r>
        <w:rPr>
          <w:rFonts w:hint="eastAsia" w:ascii="Times New Roman" w:eastAsia="仿宋_GB2312"/>
          <w:b w:val="0"/>
          <w:sz w:val="32"/>
          <w:szCs w:val="32"/>
          <w:lang w:eastAsia="zh-CN"/>
        </w:rPr>
        <w:t>，</w:t>
      </w:r>
      <w:r>
        <w:rPr>
          <w:rFonts w:ascii="Times New Roman" w:eastAsia="仿宋_GB2312"/>
          <w:b w:val="0"/>
          <w:sz w:val="32"/>
          <w:szCs w:val="32"/>
        </w:rPr>
        <w:t>健全资金管理制度，定期对资金使用情况进行检查，严格确保项目质量。</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1.本单位202</w:t>
      </w:r>
      <w:r>
        <w:rPr>
          <w:rFonts w:hint="eastAsia" w:ascii="Times New Roman" w:eastAsia="仿宋_GB2312"/>
          <w:b w:val="0"/>
          <w:sz w:val="32"/>
          <w:szCs w:val="32"/>
          <w:lang w:val="en-US" w:eastAsia="zh-CN"/>
        </w:rPr>
        <w:t>5</w:t>
      </w:r>
      <w:r>
        <w:rPr>
          <w:rFonts w:ascii="Times New Roman" w:eastAsia="仿宋_GB2312"/>
          <w:b w:val="0"/>
          <w:sz w:val="32"/>
          <w:szCs w:val="32"/>
        </w:rPr>
        <w:t>年度政府性基金预算财政拨款收入支出决算表（公开07表）、国有资本经营预算财政拨款支出决算表（公开08表）、财政拨款“三公”经费支出决算表（公开09表）无相应收支，故空表列示。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532080D-DEB9-4353-A242-32304763E5A9}"/>
  </w:font>
  <w:font w:name="黑体">
    <w:panose1 w:val="02010609060101010101"/>
    <w:charset w:val="86"/>
    <w:family w:val="auto"/>
    <w:pitch w:val="default"/>
    <w:sig w:usb0="800002BF" w:usb1="38CF7CFA" w:usb2="00000016" w:usb3="00000000" w:csb0="00040001" w:csb1="00000000"/>
    <w:embedRegular r:id="rId2" w:fontKey="{E57458FC-2726-4E1A-B69D-47E74C7FE6A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7B2B85E7-5DD5-46C2-8162-6DB0EBCE740A}"/>
  </w:font>
  <w:font w:name="仿宋">
    <w:panose1 w:val="02010609060101010101"/>
    <w:charset w:val="86"/>
    <w:family w:val="modern"/>
    <w:pitch w:val="default"/>
    <w:sig w:usb0="800002BF" w:usb1="38CF7CFA" w:usb2="00000016" w:usb3="00000000" w:csb0="00040001" w:csb1="00000000"/>
    <w:embedRegular r:id="rId4" w:fontKey="{219C9E25-ECAE-4642-BD56-047CC418A00B}"/>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304CE551-04BD-45B3-87F2-0809EF41E9E7}"/>
  </w:font>
  <w:font w:name="楷体_GB2312">
    <w:panose1 w:val="02010609030101010101"/>
    <w:charset w:val="86"/>
    <w:family w:val="auto"/>
    <w:pitch w:val="default"/>
    <w:sig w:usb0="00000000" w:usb1="00000000" w:usb2="00000000" w:usb3="00000000" w:csb0="00000000" w:csb1="00000000"/>
    <w:embedRegular r:id="rId6" w:fontKey="{E8E87B33-FF01-4318-A83E-4349AB08EA29}"/>
  </w:font>
  <w:font w:name="微软雅黑">
    <w:panose1 w:val="020B0503020204020204"/>
    <w:charset w:val="86"/>
    <w:family w:val="auto"/>
    <w:pitch w:val="default"/>
    <w:sig w:usb0="80000287" w:usb1="280F3C52" w:usb2="00000016" w:usb3="00000000" w:csb0="0004001F" w:csb1="00000000"/>
    <w:embedRegular r:id="rId7" w:fontKey="{9779FB25-771E-44B2-9228-ACFF36119515}"/>
  </w:font>
  <w:font w:name="方正小标宋_GBK">
    <w:panose1 w:val="02000000000000000000"/>
    <w:charset w:val="86"/>
    <w:family w:val="script"/>
    <w:pitch w:val="default"/>
    <w:sig w:usb0="00000000" w:usb1="00000000" w:usb2="00000000" w:usb3="00000000" w:csb0="00000000" w:csb1="00000000"/>
    <w:embedRegular r:id="rId8" w:fontKey="{8E65B5A9-EBD5-4881-9C09-DB90DB52E512}"/>
  </w:font>
  <w:font w:name="仿宋_GB2312">
    <w:panose1 w:val="02010609030101010101"/>
    <w:charset w:val="86"/>
    <w:family w:val="auto"/>
    <w:pitch w:val="default"/>
    <w:sig w:usb0="00000000" w:usb1="00000000" w:usb2="00000000" w:usb3="00000000" w:csb0="00000000" w:csb1="00000000"/>
    <w:embedRegular r:id="rId9" w:fontKey="{BF2D4A2C-2FEE-48E2-9F68-B650D64BE3A1}"/>
  </w:font>
  <w:font w:name="ArialUnicodeMS">
    <w:altName w:val="Malgun Gothic"/>
    <w:panose1 w:val="00000000000000000000"/>
    <w:charset w:val="81"/>
    <w:family w:val="auto"/>
    <w:pitch w:val="default"/>
    <w:sig w:usb0="00000000" w:usb1="00000000" w:usb2="00000010" w:usb3="00000000" w:csb0="00080001" w:csb1="00000000"/>
    <w:embedRegular r:id="rId10" w:fontKey="{88513B27-D39D-4C59-8EFA-87BAEB41BC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0E4103F"/>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27585B"/>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9F26923"/>
    <w:rsid w:val="1A017CDA"/>
    <w:rsid w:val="1A2672DE"/>
    <w:rsid w:val="1AA81D42"/>
    <w:rsid w:val="1AB433D9"/>
    <w:rsid w:val="1AEE2FA0"/>
    <w:rsid w:val="1AFB6D70"/>
    <w:rsid w:val="1B1B11EE"/>
    <w:rsid w:val="1B3719E0"/>
    <w:rsid w:val="1B450759"/>
    <w:rsid w:val="1B6261C3"/>
    <w:rsid w:val="1B731730"/>
    <w:rsid w:val="1B7E3BCD"/>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761D39"/>
    <w:rsid w:val="1ED22D79"/>
    <w:rsid w:val="1EDF707D"/>
    <w:rsid w:val="1F394761"/>
    <w:rsid w:val="1F65664C"/>
    <w:rsid w:val="1F7C149A"/>
    <w:rsid w:val="1F84140D"/>
    <w:rsid w:val="1F9B7FFD"/>
    <w:rsid w:val="1F9C7614"/>
    <w:rsid w:val="1FA42ED9"/>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B85450"/>
    <w:rsid w:val="22C43743"/>
    <w:rsid w:val="22D31DF3"/>
    <w:rsid w:val="22FD3CF7"/>
    <w:rsid w:val="232C221B"/>
    <w:rsid w:val="2356249E"/>
    <w:rsid w:val="236E713A"/>
    <w:rsid w:val="23700968"/>
    <w:rsid w:val="238761A6"/>
    <w:rsid w:val="23920578"/>
    <w:rsid w:val="23BB6F9A"/>
    <w:rsid w:val="23FC3864"/>
    <w:rsid w:val="24857B00"/>
    <w:rsid w:val="24BA560C"/>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264DAE"/>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F31D57"/>
    <w:rsid w:val="3C14299D"/>
    <w:rsid w:val="3C6C0B58"/>
    <w:rsid w:val="3C945583"/>
    <w:rsid w:val="3CBE41D5"/>
    <w:rsid w:val="3D0D2649"/>
    <w:rsid w:val="3D446B0E"/>
    <w:rsid w:val="3D745844"/>
    <w:rsid w:val="3D8626D0"/>
    <w:rsid w:val="3D8C1AA8"/>
    <w:rsid w:val="3D953A6B"/>
    <w:rsid w:val="3DA4012F"/>
    <w:rsid w:val="3DBB5979"/>
    <w:rsid w:val="3DD56F21"/>
    <w:rsid w:val="3DEF6699"/>
    <w:rsid w:val="3E1057AF"/>
    <w:rsid w:val="3E6C0DFA"/>
    <w:rsid w:val="3E740322"/>
    <w:rsid w:val="3E7F4380"/>
    <w:rsid w:val="3E8D171B"/>
    <w:rsid w:val="3EA5630D"/>
    <w:rsid w:val="3EBA731B"/>
    <w:rsid w:val="3EE33949"/>
    <w:rsid w:val="3EFB5800"/>
    <w:rsid w:val="3F3B47D7"/>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5B30C0"/>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3F2708"/>
    <w:rsid w:val="4648721E"/>
    <w:rsid w:val="46663E71"/>
    <w:rsid w:val="466A37AC"/>
    <w:rsid w:val="468A1A00"/>
    <w:rsid w:val="46930E95"/>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551C6C"/>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2DD7D0A"/>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016DE5"/>
    <w:rsid w:val="6B5B46E4"/>
    <w:rsid w:val="6B7218BE"/>
    <w:rsid w:val="6B750BA9"/>
    <w:rsid w:val="6BB93285"/>
    <w:rsid w:val="6C0C698C"/>
    <w:rsid w:val="6C222401"/>
    <w:rsid w:val="6C56267F"/>
    <w:rsid w:val="6C826EF9"/>
    <w:rsid w:val="6CAE4C93"/>
    <w:rsid w:val="6CB14F16"/>
    <w:rsid w:val="6CEC2069"/>
    <w:rsid w:val="6CF91635"/>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EB174E"/>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9C11B2"/>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310.16</c:v>
                </c:pt>
                <c:pt idx="1">
                  <c:v>403.16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3101586.67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2597734.65</c:v>
                </c:pt>
                <c:pt idx="1">
                  <c:v>503852.02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403.16</c:v>
                </c:pt>
                <c:pt idx="1">
                  <c:v>403.16</c:v>
                </c:pt>
                <c:pt idx="2">
                  <c:v>403.16</c:v>
                </c:pt>
                <c:pt idx="3">
                  <c:v>403.16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310.16</c:v>
                </c:pt>
                <c:pt idx="1">
                  <c:v>310.16</c:v>
                </c:pt>
                <c:pt idx="2">
                  <c:v>310.16</c:v>
                </c:pt>
                <c:pt idx="3">
                  <c:v>310.16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736.01</c:v>
                </c:pt>
                <c:pt idx="1">
                  <c:v>736.01</c:v>
                </c:pt>
                <c:pt idx="2">
                  <c:v>736.01</c:v>
                </c:pt>
                <c:pt idx="3">
                  <c:v>736.01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310.16</c:v>
                </c:pt>
                <c:pt idx="1">
                  <c:v>310.16</c:v>
                </c:pt>
                <c:pt idx="2">
                  <c:v>310.16</c:v>
                </c:pt>
                <c:pt idx="3">
                  <c:v>310.16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12</TotalTime>
  <ScaleCrop>false</ScaleCrop>
  <LinksUpToDate>false</LinksUpToDate>
  <CharactersWithSpaces>6550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2026-09-24T01:30:50Z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