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石家庄市鹿泉区科学技术协会</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731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石家庄市鹿泉区科学技术协会</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石家庄市鹿泉区科学技术协会</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ind w:firstLine="640"/>
        <w:jc w:val="left"/>
        <w:rPr>
          <w:rFonts w:ascii="仿宋" w:hAnsi="仿宋" w:eastAsia="仿宋" w:cs="仿宋"/>
          <w:color w:val="000000"/>
          <w:kern w:val="1"/>
          <w:sz w:val="32"/>
          <w:szCs w:val="32"/>
        </w:rPr>
      </w:pPr>
      <w:r>
        <w:rPr>
          <w:rFonts w:ascii="仿宋" w:hAnsi="仿宋" w:eastAsia="仿宋" w:cs="仿宋"/>
          <w:color w:val="000000"/>
          <w:kern w:val="1"/>
          <w:sz w:val="32"/>
          <w:szCs w:val="32"/>
        </w:rPr>
        <w:t>1指导有关学会、协会、研究会及各企业科协、科协社会团体的科普工作，面向农民、社区居民、青少年、城镇劳动者、领导干部和公务员等重点人群，开展科技培训、科普惠农、科普益民等重点科普活动；开展科普日、科技周、减灾日、三下乡等系列科普活动；加强全民科学素质教育基地和科普教育基地建设，加强科普工作典型创建工作，加强科普设施建设，通过多种形式开展科普知识宣传活动。</w:t>
      </w:r>
    </w:p>
    <w:p>
      <w:pPr>
        <w:widowControl/>
        <w:ind w:firstLine="640"/>
        <w:jc w:val="left"/>
      </w:pPr>
      <w:r>
        <w:rPr>
          <w:rFonts w:ascii="仿宋" w:hAnsi="仿宋" w:eastAsia="仿宋" w:cs="仿宋"/>
          <w:color w:val="000000"/>
          <w:kern w:val="1"/>
          <w:sz w:val="32"/>
          <w:szCs w:val="32"/>
        </w:rPr>
        <w:t>2、开展反邪教、反对伪科学的活动。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仿宋" w:hAnsi="仿宋" w:eastAsia="仿宋" w:cs="仿宋"/>
          <w:color w:val="000000"/>
          <w:kern w:val="1"/>
          <w:sz w:val="32"/>
          <w:szCs w:val="32"/>
        </w:rPr>
        <w:t>3、发展我区同外界科学技术团体、科学技术工作者的交往和联系，改进运行机制：一是坚持民主办会的原则，认真做好服务工作。二是发挥优势，广泛调动有关学会的积极性，加强集成，形成整体合力，做好涉及全局的重要工作。三是完善建设科技工作者之家的各项举措，全心全意为科技工作者服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石家庄市鹿泉区科学技术协会</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eastAsia="仿宋_GB2312" w:cs="仿宋_GB2312"/>
                <w:kern w:val="0"/>
                <w:sz w:val="28"/>
                <w:szCs w:val="28"/>
              </w:rPr>
              <w:t>参公事业单位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sz w:val="28"/>
                <w:szCs w:val="28"/>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部门（单位）：石家庄市鹿泉区科学技术协会</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部门（单位）：石家庄市鹿泉区科学技术协会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271.77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271.77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党委办公厅（室）及相关机构事务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部门（单位）：石家庄市鹿泉区科学技术协会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部门（单位）：石家庄市鹿泉区科学技术协会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190.78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271.77</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部门（单位）：石家庄市鹿泉区科学技术协会</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6"/>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部门（单位）：石家庄市鹿泉区科学技术协会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6"/>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205.08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34.37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50.40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31.88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31.88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2.54</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236.95</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部门（单位）：石家庄市鹿泉区科学技术协会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部门（单位）：石家庄市鹿泉区科学技术协会</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部门（单位）：石家庄市鹿泉区科学技术协会</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0.79</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0.79</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0.79</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0.79</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本部门2025年度收、支总计（含结转和结余）均为271.77万元。与2024年度决算相比，收支各增加22.32万元，增长9%，主要原因是</w:t>
      </w:r>
      <w:r>
        <w:rPr>
          <w:rFonts w:hint="eastAsia" w:ascii="Times New Roman" w:eastAsia="仿宋_GB2312"/>
          <w:b w:val="0"/>
          <w:sz w:val="32"/>
          <w:szCs w:val="32"/>
          <w:lang w:val="en-US" w:eastAsia="zh-CN"/>
        </w:rPr>
        <w:t>正常调资和人员调入</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本部门2025年度本年收入合计271.77万元，其中：财政拨款收入271.77万元，占100%；上级补助收入0万元，占</w:t>
      </w:r>
      <w:r>
        <w:rPr>
          <w:rFonts w:hint="eastAsia" w:ascii="Times New Roman" w:eastAsia="仿宋_GB2312"/>
          <w:b w:val="0"/>
          <w:sz w:val="32"/>
          <w:szCs w:val="32"/>
          <w:lang w:val="en-US" w:eastAsia="zh-CN"/>
        </w:rPr>
        <w:t>0</w:t>
      </w:r>
      <w:r>
        <w:rPr>
          <w:rFonts w:ascii="Times New Roman" w:eastAsia="仿宋_GB2312"/>
          <w:b w:val="0"/>
          <w:sz w:val="32"/>
          <w:szCs w:val="32"/>
        </w:rPr>
        <w:t>%；事业收入0万元，占0%；经营收入0万元，占</w:t>
      </w:r>
      <w:r>
        <w:rPr>
          <w:rFonts w:hint="eastAsia" w:ascii="Times New Roman" w:eastAsia="仿宋_GB2312"/>
          <w:b w:val="0"/>
          <w:sz w:val="32"/>
          <w:szCs w:val="32"/>
          <w:lang w:val="en-US" w:eastAsia="zh-CN"/>
        </w:rPr>
        <w:t>0</w:t>
      </w:r>
      <w:r>
        <w:rPr>
          <w:rFonts w:ascii="Times New Roman" w:eastAsia="仿宋_GB2312"/>
          <w:b w:val="0"/>
          <w:sz w:val="32"/>
          <w:szCs w:val="32"/>
        </w:rPr>
        <w:t>%；附属单位上缴收入0万元，占0%；其他收入0万元，占0%。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本部门2025年度本年支出合计271.77万元，其中：基本支出271.77万元，占100%；项目支出0万元，占0%；经营支出0万元，占0%；上缴上级支出0万元，占0%；对附属单位补助支出0万元，占0%。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本部门2025年度财政拨款收、支总计（含结转和结余）均为271.77万元。与2024年度相比，财政拨款收支各增加22.32万元，增长9%，主要原因是</w:t>
      </w:r>
      <w:r>
        <w:rPr>
          <w:rFonts w:hint="eastAsia" w:ascii="Times New Roman" w:eastAsia="仿宋_GB2312"/>
          <w:b w:val="0"/>
          <w:sz w:val="32"/>
          <w:szCs w:val="32"/>
          <w:lang w:val="en-US" w:eastAsia="zh-CN"/>
        </w:rPr>
        <w:t>正常调资和人员调入</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本部门2025年度财政拨款本年收入271.77万元,比上年增加22.32万元，增长9%，主要原因是</w:t>
      </w:r>
      <w:r>
        <w:rPr>
          <w:rFonts w:hint="eastAsia" w:ascii="Times New Roman" w:eastAsia="仿宋_GB2312"/>
          <w:b w:val="0"/>
          <w:sz w:val="32"/>
          <w:szCs w:val="32"/>
          <w:lang w:val="en-US" w:eastAsia="zh-CN"/>
        </w:rPr>
        <w:t>正常调资和人员调入</w:t>
      </w:r>
      <w:r>
        <w:rPr>
          <w:rFonts w:ascii="Times New Roman" w:eastAsia="仿宋_GB2312"/>
          <w:b w:val="0"/>
          <w:sz w:val="32"/>
          <w:szCs w:val="32"/>
        </w:rPr>
        <w:t>；本年支出271.77万元，比上年增加22.32万元，增长9%，主要原因是</w:t>
      </w:r>
      <w:r>
        <w:rPr>
          <w:rFonts w:hint="eastAsia" w:ascii="Times New Roman" w:eastAsia="仿宋_GB2312"/>
          <w:b w:val="0"/>
          <w:sz w:val="32"/>
          <w:szCs w:val="32"/>
          <w:lang w:val="en-US" w:eastAsia="zh-CN"/>
        </w:rPr>
        <w:t>正常调资和人员调入</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一般公共预算财政拨款本年收入271.77万元,比上年增加22.32万元，增长9.0%，主要原因是</w:t>
      </w:r>
      <w:r>
        <w:rPr>
          <w:rFonts w:hint="eastAsia" w:ascii="Times New Roman" w:eastAsia="仿宋_GB2312"/>
          <w:b w:val="0"/>
          <w:sz w:val="32"/>
          <w:szCs w:val="32"/>
          <w:lang w:val="en-US" w:eastAsia="zh-CN"/>
        </w:rPr>
        <w:t>正常调资和人员调入</w:t>
      </w:r>
      <w:r>
        <w:rPr>
          <w:rFonts w:ascii="Times New Roman" w:eastAsia="仿宋_GB2312"/>
          <w:b w:val="0"/>
          <w:sz w:val="32"/>
          <w:szCs w:val="32"/>
        </w:rPr>
        <w:t>；本年支出271.77万元，比上年增加22.32万元，增长9.0%，主要原因是</w:t>
      </w:r>
      <w:r>
        <w:rPr>
          <w:rFonts w:hint="eastAsia" w:ascii="Times New Roman" w:eastAsia="仿宋_GB2312"/>
          <w:b w:val="0"/>
          <w:sz w:val="32"/>
          <w:szCs w:val="32"/>
          <w:lang w:val="en-US" w:eastAsia="zh-CN"/>
        </w:rPr>
        <w:t>正常调资和人员调入</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政府性基金预算财政拨款本年收入0万元，比上年增加0万元，增长0%，主要原因是；本年支出0万元，比上年增加0万元，增长0%，主要原因是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无政府性基金预算</w:t>
      </w:r>
      <w:r>
        <w:rPr>
          <w:rFonts w:ascii="Times New Roman" w:eastAsia="仿宋_GB2312"/>
          <w:b w:val="0"/>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eastAsia="仿宋_GB2312"/>
          <w:b w:val="0"/>
          <w:sz w:val="32"/>
          <w:szCs w:val="32"/>
        </w:rPr>
        <w:t>3. 国有资本经营预算财政拨款本年收入0万元，比上年增加0万元，增长0%，主要原因是；本年支出0万元，比上年增加0万元，增长0%，主要原因是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无国有资本经营预算</w:t>
      </w:r>
      <w:r>
        <w:rPr>
          <w:rFonts w:ascii="Times New Roman" w:hAnsi="Times New Roman" w:eastAsia="仿宋_GB2312" w:cs="Times New Roman"/>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本部门2025年度财政拨款本年收入271.77万元，完成年初预算的98.8%，比年初预算减少3.3万元，决算数小于预算数主要原因是</w:t>
      </w:r>
      <w:r>
        <w:rPr>
          <w:rFonts w:hint="eastAsia" w:ascii="Times New Roman" w:hAnsi="Times New Roman" w:eastAsia="仿宋_GB2312" w:cs="Times New Roman"/>
          <w:sz w:val="32"/>
          <w:szCs w:val="32"/>
          <w:lang w:val="en-US" w:eastAsia="zh-CN"/>
        </w:rPr>
        <w:t>无项目支出</w:t>
      </w:r>
      <w:r>
        <w:rPr>
          <w:rFonts w:ascii="Times New Roman" w:eastAsia="仿宋_GB2312"/>
          <w:b w:val="0"/>
          <w:sz w:val="32"/>
          <w:szCs w:val="32"/>
        </w:rPr>
        <w:t>；本年支出271.77万元，完成年初预算的98.8%，比年初预算减少3.3万元，决算数小于预算数主要原因是</w:t>
      </w:r>
      <w:r>
        <w:rPr>
          <w:rFonts w:hint="eastAsia" w:ascii="Times New Roman" w:hAnsi="Times New Roman" w:eastAsia="仿宋_GB2312" w:cs="Times New Roman"/>
          <w:sz w:val="32"/>
          <w:szCs w:val="32"/>
          <w:lang w:val="en-US" w:eastAsia="zh-CN"/>
        </w:rPr>
        <w:t>无项目支出</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一般公共预算财政拨款本年收入完成年初预算的98.8%，比年初预算减少3.3万元，主要原因是</w:t>
      </w:r>
      <w:r>
        <w:rPr>
          <w:rFonts w:hint="eastAsia" w:ascii="Times New Roman" w:hAnsi="Times New Roman" w:eastAsia="仿宋_GB2312" w:cs="Times New Roman"/>
          <w:sz w:val="32"/>
          <w:szCs w:val="32"/>
          <w:lang w:val="en-US" w:eastAsia="zh-CN"/>
        </w:rPr>
        <w:t>无项目支出</w:t>
      </w:r>
      <w:r>
        <w:rPr>
          <w:rFonts w:ascii="Times New Roman" w:eastAsia="仿宋_GB2312"/>
          <w:b w:val="0"/>
          <w:sz w:val="32"/>
          <w:szCs w:val="32"/>
        </w:rPr>
        <w:t>；支出完成年初预算的98.8%，比年初预算减少3.3万元，主要原因是</w:t>
      </w:r>
      <w:r>
        <w:rPr>
          <w:rFonts w:hint="eastAsia" w:ascii="Times New Roman" w:hAnsi="Times New Roman" w:eastAsia="仿宋_GB2312" w:cs="Times New Roman"/>
          <w:sz w:val="32"/>
          <w:szCs w:val="32"/>
          <w:lang w:val="en-US" w:eastAsia="zh-CN"/>
        </w:rPr>
        <w:t>无项目支出</w:t>
      </w:r>
      <w:r>
        <w:rPr>
          <w:rFonts w:ascii="Times New Roman" w:eastAsia="仿宋_GB2312"/>
          <w:b w:val="0"/>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eastAsia="仿宋_GB2312"/>
          <w:b w:val="0"/>
          <w:sz w:val="32"/>
          <w:szCs w:val="32"/>
        </w:rPr>
        <w:t>2. 政府性基金预算财政拨款本年收入完成年初预算的0%，比年初预算增加0万元，主要原因是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无政府性基金预算</w:t>
      </w:r>
      <w:r>
        <w:rPr>
          <w:rFonts w:ascii="Times New Roman" w:eastAsia="仿宋_GB2312"/>
          <w:b w:val="0"/>
          <w:sz w:val="32"/>
          <w:szCs w:val="32"/>
        </w:rPr>
        <w:t>；支出完成年初预算的0%，比年初预算增加0万元，主要原因是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无政府性基金预算</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eastAsia="仿宋_GB2312"/>
          <w:b w:val="0"/>
          <w:sz w:val="32"/>
          <w:szCs w:val="32"/>
        </w:rPr>
        <w:t>3. 国有资本经营预算财政拨款本年收入完成年初预算的0%，比年初预算增加0万元，主要原因是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无国有资本经营预算</w:t>
      </w:r>
      <w:r>
        <w:rPr>
          <w:rFonts w:ascii="Times New Roman" w:eastAsia="仿宋_GB2312"/>
          <w:b w:val="0"/>
          <w:sz w:val="32"/>
          <w:szCs w:val="32"/>
        </w:rPr>
        <w:t>；支出完成年初预算的0%，比年初预算增加0万元，主要原因是</w:t>
      </w:r>
      <w:r>
        <w:rPr>
          <w:rFonts w:ascii="Times New Roman" w:eastAsia="仿宋_GB2312"/>
          <w:sz w:val="32"/>
          <w:szCs w:val="32"/>
        </w:rPr>
        <w:t>我</w:t>
      </w:r>
      <w:r>
        <w:rPr>
          <w:rFonts w:hint="eastAsia" w:ascii="Times New Roman" w:eastAsia="仿宋_GB2312"/>
          <w:sz w:val="32"/>
          <w:szCs w:val="32"/>
        </w:rPr>
        <w:t>部门</w:t>
      </w:r>
      <w:r>
        <w:rPr>
          <w:rFonts w:ascii="Times New Roman" w:eastAsia="仿宋_GB2312"/>
          <w:sz w:val="32"/>
          <w:szCs w:val="32"/>
        </w:rPr>
        <w:t>无国有资本经营预算</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eastAsia="仿宋_GB2312"/>
          <w:sz w:val="32"/>
          <w:szCs w:val="32"/>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2025年度财政拨款支出271.77万元，主要用于以下方面：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adjustRightInd w:val="0"/>
        <w:snapToGrid w:val="0"/>
        <w:spacing w:line="580" w:lineRule="exact"/>
        <w:ind w:firstLine="640" w:firstLineChars="200"/>
        <w:rPr>
          <w:rFonts w:hint="eastAsia" w:ascii="Times New Roman" w:eastAsia="仿宋_GB2312"/>
          <w:sz w:val="32"/>
          <w:szCs w:val="32"/>
          <w:lang w:eastAsia="zh-CN"/>
        </w:rPr>
      </w:pPr>
      <w:r>
        <w:rPr>
          <w:rFonts w:ascii="Times New Roman" w:eastAsia="仿宋_GB2312"/>
          <w:b w:val="0"/>
          <w:sz w:val="32"/>
          <w:szCs w:val="32"/>
        </w:rPr>
        <w:t>一般公共服务（类）支出190.78万元，占70.2%，主要用于</w:t>
      </w:r>
      <w:r>
        <w:rPr>
          <w:rFonts w:ascii="Times New Roman" w:eastAsia="仿宋_GB2312"/>
          <w:sz w:val="32"/>
          <w:szCs w:val="32"/>
        </w:rPr>
        <w:t>行政管理事务等支出</w:t>
      </w:r>
      <w:r>
        <w:rPr>
          <w:rFonts w:ascii="Times New Roman" w:eastAsia="仿宋_GB2312"/>
          <w:b w:val="0"/>
          <w:sz w:val="32"/>
          <w:szCs w:val="32"/>
        </w:rPr>
        <w:t>；社会保障和就业 （类）支出51.84万元，占19.1%，主要用于</w:t>
      </w:r>
      <w:r>
        <w:rPr>
          <w:rFonts w:ascii="Times New Roman" w:eastAsia="仿宋_GB2312"/>
          <w:sz w:val="32"/>
          <w:szCs w:val="32"/>
        </w:rPr>
        <w:t>缴纳社保、退休人员补助等支出；</w:t>
      </w:r>
      <w:r>
        <w:rPr>
          <w:rFonts w:ascii="Times New Roman" w:eastAsia="仿宋_GB2312"/>
          <w:b w:val="0"/>
          <w:sz w:val="32"/>
          <w:szCs w:val="32"/>
        </w:rPr>
        <w:t>卫生健康（类）支出9.50万元，占3.5%，主要用于</w:t>
      </w:r>
      <w:r>
        <w:rPr>
          <w:rFonts w:ascii="Times New Roman" w:eastAsia="仿宋_GB2312"/>
          <w:sz w:val="32"/>
          <w:szCs w:val="32"/>
        </w:rPr>
        <w:t>缴纳医保等支出；</w:t>
      </w:r>
      <w:r>
        <w:rPr>
          <w:rFonts w:ascii="Times New Roman" w:eastAsia="仿宋_GB2312"/>
          <w:b w:val="0"/>
          <w:sz w:val="32"/>
          <w:szCs w:val="32"/>
        </w:rPr>
        <w:t>住房保障（类）支出19.66万元，占7.2%，主要用于</w:t>
      </w:r>
      <w:r>
        <w:rPr>
          <w:rFonts w:ascii="Times New Roman" w:eastAsia="仿宋_GB2312"/>
          <w:sz w:val="32"/>
          <w:szCs w:val="32"/>
        </w:rPr>
        <w:t>缴纳住房公积金等支出。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line="360" w:lineRule="auto"/>
        <w:ind w:firstLine="640" w:firstLineChars="200"/>
        <w:jc w:val="left"/>
        <w:rPr>
          <w:rFonts w:ascii="Times New Roman" w:hAnsi="Times New Roman" w:eastAsia="仿宋_GB2312" w:cs="Times New Roman"/>
          <w:sz w:val="32"/>
          <w:szCs w:val="32"/>
        </w:rPr>
      </w:pPr>
      <w:r>
        <w:rPr>
          <w:rFonts w:hint="eastAsia" w:ascii="Times New Roman" w:eastAsia="仿宋_GB2312"/>
          <w:sz w:val="32"/>
          <w:szCs w:val="32"/>
          <w:lang w:val="en-US" w:eastAsia="zh-CN"/>
        </w:rPr>
        <w:t>我单位无政府性基金预算财政拨款支出</w:t>
      </w:r>
      <w:r>
        <w:rPr>
          <w:rFonts w:ascii="Times New Roman" w:eastAsia="仿宋_GB2312"/>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line="360" w:lineRule="auto"/>
        <w:ind w:firstLine="640" w:firstLineChars="200"/>
        <w:jc w:val="left"/>
        <w:rPr>
          <w:rFonts w:ascii="Times New Roman" w:hAnsi="Times New Roman" w:eastAsia="仿宋_GB2312" w:cs="Times New Roman"/>
          <w:b/>
          <w:color w:val="FF0000"/>
          <w:sz w:val="32"/>
          <w:szCs w:val="32"/>
        </w:rPr>
      </w:pPr>
      <w:r>
        <w:rPr>
          <w:rFonts w:hint="eastAsia" w:ascii="Times New Roman" w:eastAsia="仿宋_GB2312"/>
          <w:sz w:val="32"/>
          <w:szCs w:val="32"/>
          <w:lang w:val="en-US" w:eastAsia="zh-CN"/>
        </w:rPr>
        <w:t>我单位无国有资本经营预算财政拨款支出。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2025年度财政拨款基本支出271.77万元，其中：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236.95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34.81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本部门2025年度“三公”经费财政拨款支出预算为0.79万元，支出决算为0.79万元，完成预算的100.0%，较预算增加0.00万元，增长0.0%，主要原因是；较2024年度决算减少0.85万元，降低51.8%，主要原因是</w:t>
      </w:r>
      <w:r>
        <w:rPr>
          <w:rFonts w:hint="eastAsia" w:ascii="Times New Roman" w:eastAsia="仿宋_GB2312"/>
          <w:b w:val="0"/>
          <w:sz w:val="32"/>
          <w:szCs w:val="32"/>
          <w:lang w:val="en-US" w:eastAsia="zh-CN"/>
        </w:rPr>
        <w:t>活动减少</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本部门2025年度公务用车购置及运行维护费预算为0.79万元，支出决算0.79万元，完成预算的100%,较预算增加0万元，增长0%,主要原因是</w:t>
      </w:r>
      <w:r>
        <w:rPr>
          <w:rFonts w:hint="eastAsia" w:ascii="Times New Roman" w:eastAsia="仿宋_GB2312"/>
          <w:b w:val="0"/>
          <w:sz w:val="32"/>
          <w:szCs w:val="32"/>
          <w:lang w:val="en-US" w:eastAsia="zh-CN"/>
        </w:rPr>
        <w:t>活动减少</w:t>
      </w:r>
      <w:r>
        <w:rPr>
          <w:rFonts w:ascii="Times New Roman" w:eastAsia="仿宋_GB2312"/>
          <w:b w:val="0"/>
          <w:sz w:val="32"/>
          <w:szCs w:val="32"/>
        </w:rPr>
        <w:t>；较上年减少0.85万元，降低51.8%,主要原因是</w:t>
      </w:r>
      <w:r>
        <w:rPr>
          <w:rFonts w:hint="eastAsia" w:ascii="Times New Roman" w:eastAsia="仿宋_GB2312"/>
          <w:b w:val="0"/>
          <w:sz w:val="32"/>
          <w:szCs w:val="32"/>
          <w:lang w:val="en-US" w:eastAsia="zh-CN"/>
        </w:rPr>
        <w:t>活动减少</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本部门2025年度公务用车购置量0辆，发生“公务用车购置”经费支出0万元。公务用车购置费支出较预算增加0万元，增长0%,主要原因是</w:t>
      </w:r>
      <w:r>
        <w:rPr>
          <w:rFonts w:hint="eastAsia" w:ascii="Times New Roman" w:eastAsia="仿宋_GB2312"/>
          <w:b w:val="0"/>
          <w:sz w:val="32"/>
          <w:szCs w:val="32"/>
          <w:lang w:val="en-US" w:eastAsia="zh-CN"/>
        </w:rPr>
        <w:t>无购置公务用车</w:t>
      </w:r>
      <w:r>
        <w:rPr>
          <w:rFonts w:ascii="Times New Roman" w:eastAsia="仿宋_GB2312"/>
          <w:b w:val="0"/>
          <w:sz w:val="32"/>
          <w:szCs w:val="32"/>
        </w:rPr>
        <w:t>；较上年增加0万元，增长0%,主要原因是</w:t>
      </w:r>
      <w:r>
        <w:rPr>
          <w:rFonts w:hint="eastAsia" w:ascii="Times New Roman" w:eastAsia="仿宋_GB2312"/>
          <w:b w:val="0"/>
          <w:sz w:val="32"/>
          <w:szCs w:val="32"/>
          <w:lang w:val="en-US" w:eastAsia="zh-CN"/>
        </w:rPr>
        <w:t>无购置公务用车</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公务用车运行维护费支出0.79万元：</w:t>
      </w:r>
      <w:r>
        <w:rPr>
          <w:rFonts w:ascii="Times New Roman" w:eastAsia="仿宋_GB2312"/>
          <w:b w:val="0"/>
          <w:sz w:val="32"/>
          <w:szCs w:val="32"/>
        </w:rPr>
        <w:t>本部门2025年度单位公务用车保有量1辆，发生运行维护费支出0.79万元。公车运行维护费支出较预算增加0万元，增长0%,主要原因是</w:t>
      </w:r>
      <w:r>
        <w:rPr>
          <w:rFonts w:hint="eastAsia" w:ascii="Times New Roman" w:eastAsia="仿宋_GB2312"/>
          <w:b w:val="0"/>
          <w:sz w:val="32"/>
          <w:szCs w:val="32"/>
          <w:lang w:val="en-US" w:eastAsia="zh-CN"/>
        </w:rPr>
        <w:t>活动减少</w:t>
      </w:r>
      <w:r>
        <w:rPr>
          <w:rFonts w:ascii="Times New Roman" w:eastAsia="仿宋_GB2312"/>
          <w:b w:val="0"/>
          <w:sz w:val="32"/>
          <w:szCs w:val="32"/>
        </w:rPr>
        <w:t>；较上年减少0.85万元，降低51.8%，主要原因是</w:t>
      </w:r>
      <w:r>
        <w:rPr>
          <w:rFonts w:hint="eastAsia" w:ascii="Times New Roman" w:eastAsia="仿宋_GB2312"/>
          <w:b w:val="0"/>
          <w:sz w:val="32"/>
          <w:szCs w:val="32"/>
          <w:lang w:val="en-US" w:eastAsia="zh-CN"/>
        </w:rPr>
        <w:t>活动减少</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本部门2025年度公务接待费支出预算为0万元，支出决算0万元，完成预算的0%。公务接待费支出较预算增加0万元，增长0%,主要原因是</w:t>
      </w:r>
      <w:r>
        <w:rPr>
          <w:rFonts w:hint="eastAsia" w:ascii="Times New Roman" w:eastAsia="仿宋_GB2312"/>
          <w:b w:val="0"/>
          <w:sz w:val="32"/>
          <w:szCs w:val="32"/>
          <w:lang w:val="en-US" w:eastAsia="zh-CN"/>
        </w:rPr>
        <w:t>无公务接待</w:t>
      </w:r>
      <w:r>
        <w:rPr>
          <w:rFonts w:ascii="Times New Roman" w:eastAsia="仿宋_GB2312"/>
          <w:b w:val="0"/>
          <w:sz w:val="32"/>
          <w:szCs w:val="32"/>
        </w:rPr>
        <w:t>；较上年度增加0万元，增长0%,主要原因是</w:t>
      </w:r>
      <w:r>
        <w:rPr>
          <w:rFonts w:hint="eastAsia" w:ascii="Times New Roman" w:eastAsia="仿宋_GB2312"/>
          <w:b w:val="0"/>
          <w:sz w:val="32"/>
          <w:szCs w:val="32"/>
          <w:lang w:val="en-US" w:eastAsia="zh-CN"/>
        </w:rPr>
        <w:t>无公务接待</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本部门2025年度机关运行经费支出34.81万元，较2024年度增加2.28万元，增长7.0%。主要</w:t>
      </w:r>
      <w:r>
        <w:rPr>
          <w:rFonts w:ascii="Times New Roman" w:eastAsia="仿宋_GB2312"/>
          <w:b w:val="0"/>
          <w:color w:val="auto"/>
          <w:sz w:val="32"/>
          <w:szCs w:val="32"/>
          <w:highlight w:val="none"/>
        </w:rPr>
        <w:t>原因是</w:t>
      </w:r>
      <w:r>
        <w:rPr>
          <w:rFonts w:hint="eastAsia" w:ascii="Times New Roman" w:eastAsia="仿宋_GB2312"/>
          <w:b w:val="0"/>
          <w:color w:val="auto"/>
          <w:sz w:val="32"/>
          <w:szCs w:val="32"/>
          <w:highlight w:val="none"/>
          <w:lang w:val="en-US" w:eastAsia="zh-CN"/>
        </w:rPr>
        <w:t>人员增加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1.31万元，从采购类型来看，政府采购货物支出0.96万元、政府采购工程支出0万元、政府采购服务支出0.35万元。授予中小企业合同金额1.31万元，占政府采购支出总额的100%，其中授予小微企业合同金额1.31万元，占政府采购支出总额的100%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根据预算绩效管理要求，本部门组织对2024年度本级预算项目支出全面开展绩效自评，共涉及资金</w:t>
      </w:r>
      <w:r>
        <w:rPr>
          <w:rFonts w:hint="eastAsia" w:ascii="Times New Roman" w:eastAsia="仿宋_GB2312"/>
          <w:sz w:val="32"/>
          <w:szCs w:val="32"/>
          <w:lang w:val="en-US" w:eastAsia="zh-CN"/>
        </w:rPr>
        <w:t>0</w:t>
      </w:r>
      <w:r>
        <w:rPr>
          <w:rFonts w:ascii="Times New Roman" w:eastAsia="仿宋_GB2312"/>
          <w:sz w:val="32"/>
          <w:szCs w:val="32"/>
        </w:rPr>
        <w:t>万元（决算金额）。其中，一般公共预算项目</w:t>
      </w:r>
      <w:r>
        <w:rPr>
          <w:rFonts w:hint="eastAsia" w:ascii="宋体" w:hAnsi="宋体" w:eastAsia="宋体"/>
          <w:sz w:val="32"/>
          <w:szCs w:val="32"/>
        </w:rPr>
        <w:t>2</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万元，占一般公共预算项目支出总额的</w:t>
      </w:r>
      <w:r>
        <w:rPr>
          <w:rFonts w:hint="eastAsia" w:ascii="Times New Roman" w:eastAsia="仿宋_GB2312"/>
          <w:sz w:val="32"/>
          <w:szCs w:val="32"/>
        </w:rPr>
        <w:t>100</w:t>
      </w:r>
      <w:r>
        <w:rPr>
          <w:rFonts w:ascii="Times New Roman" w:eastAsia="仿宋_GB2312"/>
          <w:sz w:val="32"/>
          <w:szCs w:val="32"/>
        </w:rPr>
        <w:t>%；政府性基金预算项目</w:t>
      </w:r>
      <w:r>
        <w:rPr>
          <w:rFonts w:hint="eastAsia" w:ascii="宋体" w:hAnsi="宋体" w:eastAsia="宋体"/>
          <w:sz w:val="32"/>
          <w:szCs w:val="32"/>
        </w:rPr>
        <w:t>0</w:t>
      </w:r>
      <w:r>
        <w:rPr>
          <w:rFonts w:ascii="Times New Roman" w:eastAsia="仿宋_GB2312"/>
          <w:sz w:val="32"/>
          <w:szCs w:val="32"/>
        </w:rPr>
        <w:t>个，涉及资金</w:t>
      </w:r>
      <w:r>
        <w:rPr>
          <w:rFonts w:hint="eastAsia" w:ascii="宋体" w:hAnsi="宋体" w:eastAsia="宋体"/>
          <w:sz w:val="32"/>
          <w:szCs w:val="32"/>
        </w:rPr>
        <w:t>0</w:t>
      </w:r>
      <w:r>
        <w:rPr>
          <w:rFonts w:ascii="Times New Roman" w:eastAsia="仿宋_GB2312"/>
          <w:sz w:val="32"/>
          <w:szCs w:val="32"/>
        </w:rPr>
        <w:t>万元，占政府性基金预算项目支出总额的</w:t>
      </w:r>
      <w:r>
        <w:rPr>
          <w:rFonts w:hint="eastAsia" w:ascii="宋体" w:hAnsi="宋体" w:eastAsia="宋体"/>
          <w:sz w:val="32"/>
          <w:szCs w:val="32"/>
        </w:rPr>
        <w:t>0</w:t>
      </w:r>
      <w:r>
        <w:rPr>
          <w:rFonts w:ascii="Times New Roman" w:eastAsia="仿宋_GB2312"/>
          <w:sz w:val="32"/>
          <w:szCs w:val="32"/>
        </w:rPr>
        <w:t>%；国有资本经营预算项目</w:t>
      </w:r>
      <w:r>
        <w:rPr>
          <w:rFonts w:hint="eastAsia" w:ascii="宋体" w:hAnsi="宋体" w:eastAsia="宋体"/>
          <w:sz w:val="32"/>
          <w:szCs w:val="32"/>
        </w:rPr>
        <w:t>0</w:t>
      </w:r>
      <w:r>
        <w:rPr>
          <w:rFonts w:ascii="Times New Roman" w:eastAsia="仿宋_GB2312"/>
          <w:sz w:val="32"/>
          <w:szCs w:val="32"/>
        </w:rPr>
        <w:t>个，涉及资金</w:t>
      </w:r>
      <w:r>
        <w:rPr>
          <w:rFonts w:hint="eastAsia" w:ascii="宋体" w:hAnsi="宋体" w:eastAsia="宋体"/>
          <w:sz w:val="32"/>
          <w:szCs w:val="32"/>
        </w:rPr>
        <w:t>0</w:t>
      </w:r>
      <w:r>
        <w:rPr>
          <w:rFonts w:ascii="Times New Roman" w:eastAsia="仿宋_GB2312"/>
          <w:sz w:val="32"/>
          <w:szCs w:val="32"/>
        </w:rPr>
        <w:t>万元，占国有资本经营预算项目支出总额的</w:t>
      </w:r>
      <w:r>
        <w:rPr>
          <w:rFonts w:hint="eastAsia" w:ascii="宋体" w:hAnsi="宋体" w:eastAsia="宋体"/>
          <w:sz w:val="32"/>
          <w:szCs w:val="32"/>
        </w:rPr>
        <w:t>0</w:t>
      </w:r>
      <w:r>
        <w:rPr>
          <w:rFonts w:ascii="Times New Roman" w:eastAsia="仿宋_GB2312"/>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line="360" w:lineRule="auto"/>
        <w:ind w:firstLine="640" w:firstLineChars="200"/>
        <w:jc w:val="left"/>
        <w:rPr>
          <w:rFonts w:ascii="Times New Roman" w:eastAsia="仿宋_GB2312" w:cs="宋体"/>
          <w:sz w:val="32"/>
          <w:szCs w:val="32"/>
        </w:rPr>
      </w:pPr>
      <w:r>
        <w:rPr>
          <w:rFonts w:ascii="Times New Roman" w:eastAsia="仿宋_GB2312" w:cs="宋体"/>
          <w:sz w:val="32"/>
          <w:szCs w:val="32"/>
        </w:rPr>
        <w:t>本部门在今年部门决算公开中反映科普经费、老科协活动经费等2个项目绩效自评结果。</w:t>
      </w:r>
    </w:p>
    <w:p>
      <w:pPr>
        <w:widowControl/>
        <w:spacing w:line="360" w:lineRule="auto"/>
        <w:ind w:firstLine="640" w:firstLineChars="200"/>
        <w:jc w:val="left"/>
        <w:rPr>
          <w:rFonts w:ascii="Times New Roman" w:eastAsia="仿宋_GB2312" w:cs="宋体"/>
          <w:sz w:val="32"/>
          <w:szCs w:val="32"/>
          <w:lang w:eastAsia="zh-CN"/>
        </w:rPr>
      </w:pPr>
      <w:r>
        <w:rPr>
          <w:rFonts w:hint="eastAsia" w:ascii="Times New Roman" w:eastAsia="仿宋_GB2312" w:cs="宋体"/>
          <w:sz w:val="32"/>
          <w:szCs w:val="32"/>
          <w:lang w:eastAsia="zh-CN"/>
        </w:rPr>
        <w:t>（1）科普经费</w:t>
      </w:r>
      <w:r>
        <w:rPr>
          <w:rFonts w:ascii="Times New Roman" w:eastAsia="仿宋_GB2312" w:cs="宋体"/>
          <w:sz w:val="32"/>
          <w:szCs w:val="32"/>
          <w:lang w:eastAsia="zh-CN"/>
        </w:rPr>
        <w:t>专项项目绩效自评</w:t>
      </w:r>
      <w:r>
        <w:rPr>
          <w:rFonts w:hint="eastAsia" w:ascii="Times New Roman" w:eastAsia="仿宋_GB2312" w:cs="宋体"/>
          <w:sz w:val="32"/>
          <w:szCs w:val="32"/>
          <w:lang w:eastAsia="zh-CN"/>
        </w:rPr>
        <w:t>综述：根据年初设定的绩效目标，该专项项目绩效自评得分为</w:t>
      </w:r>
      <w:r>
        <w:rPr>
          <w:rFonts w:hint="eastAsia" w:ascii="Times New Roman" w:eastAsia="仿宋_GB2312" w:cs="宋体"/>
          <w:sz w:val="32"/>
          <w:szCs w:val="32"/>
          <w:lang w:val="en-US" w:eastAsia="zh-CN"/>
        </w:rPr>
        <w:t>80</w:t>
      </w:r>
      <w:r>
        <w:rPr>
          <w:rFonts w:ascii="Times New Roman" w:eastAsia="仿宋_GB2312" w:cs="宋体"/>
          <w:sz w:val="32"/>
          <w:szCs w:val="32"/>
          <w:lang w:eastAsia="zh-CN"/>
        </w:rPr>
        <w:t>分（绩效自评表附后：附</w:t>
      </w:r>
      <w:r>
        <w:rPr>
          <w:rFonts w:hint="eastAsia" w:ascii="Times New Roman" w:eastAsia="仿宋_GB2312" w:cs="宋体"/>
          <w:sz w:val="32"/>
          <w:szCs w:val="32"/>
          <w:lang w:eastAsia="zh-CN"/>
        </w:rPr>
        <w:t>1</w:t>
      </w:r>
      <w:r>
        <w:rPr>
          <w:rFonts w:ascii="Times New Roman" w:eastAsia="仿宋_GB2312" w:cs="宋体"/>
          <w:sz w:val="32"/>
          <w:szCs w:val="32"/>
          <w:lang w:eastAsia="zh-CN"/>
        </w:rPr>
        <w:t>）。全年预算数为</w:t>
      </w:r>
      <w:r>
        <w:rPr>
          <w:rFonts w:hint="eastAsia" w:ascii="Times New Roman" w:eastAsia="仿宋_GB2312" w:cs="宋体"/>
          <w:sz w:val="32"/>
          <w:szCs w:val="32"/>
          <w:lang w:eastAsia="zh-CN"/>
        </w:rPr>
        <w:t>1</w:t>
      </w:r>
      <w:r>
        <w:rPr>
          <w:rFonts w:hint="eastAsia" w:ascii="Times New Roman" w:eastAsia="仿宋_GB2312" w:cs="宋体"/>
          <w:sz w:val="32"/>
          <w:szCs w:val="32"/>
          <w:lang w:val="en-US" w:eastAsia="zh-CN"/>
        </w:rPr>
        <w:t>0</w:t>
      </w:r>
      <w:r>
        <w:rPr>
          <w:rFonts w:ascii="Times New Roman" w:eastAsia="仿宋_GB2312" w:cs="宋体"/>
          <w:sz w:val="32"/>
          <w:szCs w:val="32"/>
          <w:lang w:eastAsia="zh-CN"/>
        </w:rPr>
        <w:t>万元，执行数为</w:t>
      </w:r>
      <w:r>
        <w:rPr>
          <w:rFonts w:hint="eastAsia" w:ascii="Times New Roman" w:eastAsia="仿宋_GB2312" w:cs="宋体"/>
          <w:sz w:val="32"/>
          <w:szCs w:val="32"/>
          <w:lang w:val="en-US" w:eastAsia="zh-CN"/>
        </w:rPr>
        <w:t>0</w:t>
      </w:r>
      <w:r>
        <w:rPr>
          <w:rFonts w:ascii="Times New Roman" w:eastAsia="仿宋_GB2312" w:cs="宋体"/>
          <w:sz w:val="32"/>
          <w:szCs w:val="32"/>
          <w:lang w:eastAsia="zh-CN"/>
        </w:rPr>
        <w:t>万元，完成预算的</w:t>
      </w:r>
      <w:r>
        <w:rPr>
          <w:rFonts w:hint="eastAsia" w:ascii="Times New Roman" w:eastAsia="仿宋_GB2312" w:cs="宋体"/>
          <w:sz w:val="32"/>
          <w:szCs w:val="32"/>
          <w:lang w:val="en-US" w:eastAsia="zh-CN"/>
        </w:rPr>
        <w:t>0</w:t>
      </w:r>
      <w:r>
        <w:rPr>
          <w:rFonts w:ascii="Times New Roman" w:eastAsia="仿宋_GB2312" w:cs="宋体"/>
          <w:sz w:val="32"/>
          <w:szCs w:val="32"/>
          <w:lang w:eastAsia="zh-CN"/>
        </w:rPr>
        <w:t>%。项目绩效目标完成情况：我</w:t>
      </w:r>
      <w:r>
        <w:rPr>
          <w:rFonts w:hint="eastAsia" w:ascii="Times New Roman" w:eastAsia="仿宋_GB2312" w:cs="宋体"/>
          <w:sz w:val="32"/>
          <w:szCs w:val="32"/>
          <w:lang w:eastAsia="zh-CN"/>
        </w:rPr>
        <w:t>单位定期开展科普宣传活动</w:t>
      </w:r>
      <w:r>
        <w:rPr>
          <w:rFonts w:ascii="Times New Roman" w:eastAsia="仿宋_GB2312" w:cs="宋体"/>
          <w:sz w:val="32"/>
          <w:szCs w:val="32"/>
          <w:lang w:eastAsia="zh-CN"/>
        </w:rPr>
        <w:t>，发</w:t>
      </w:r>
      <w:r>
        <w:rPr>
          <w:rFonts w:hint="eastAsia" w:ascii="Times New Roman" w:eastAsia="仿宋_GB2312" w:cs="宋体"/>
          <w:sz w:val="32"/>
          <w:szCs w:val="32"/>
          <w:lang w:eastAsia="zh-CN"/>
        </w:rPr>
        <w:t>放科技资料、图书，提高全民素养</w:t>
      </w:r>
      <w:r>
        <w:rPr>
          <w:rFonts w:ascii="Times New Roman" w:eastAsia="仿宋_GB2312" w:cs="宋体"/>
          <w:sz w:val="32"/>
          <w:szCs w:val="32"/>
          <w:lang w:eastAsia="zh-CN"/>
        </w:rPr>
        <w:t>。发现的主要问题及原因：一是社会</w:t>
      </w:r>
      <w:r>
        <w:rPr>
          <w:rFonts w:hint="eastAsia" w:ascii="Times New Roman" w:eastAsia="仿宋_GB2312" w:cs="宋体"/>
          <w:sz w:val="32"/>
          <w:szCs w:val="32"/>
          <w:lang w:eastAsia="zh-CN"/>
        </w:rPr>
        <w:t>影响力不够大，影响范围不够广，</w:t>
      </w:r>
      <w:r>
        <w:rPr>
          <w:rFonts w:hint="eastAsia" w:ascii="Times New Roman" w:eastAsia="仿宋_GB2312" w:cs="宋体"/>
          <w:sz w:val="32"/>
          <w:szCs w:val="32"/>
          <w:lang w:val="en-US" w:eastAsia="zh-CN"/>
        </w:rPr>
        <w:t>因财政紧张</w:t>
      </w:r>
      <w:r>
        <w:rPr>
          <w:rFonts w:hint="eastAsia" w:ascii="Times New Roman" w:eastAsia="仿宋_GB2312" w:cs="宋体"/>
          <w:sz w:val="32"/>
          <w:szCs w:val="32"/>
          <w:lang w:eastAsia="zh-CN"/>
        </w:rPr>
        <w:t>拨款不及时。</w:t>
      </w:r>
      <w:r>
        <w:rPr>
          <w:rFonts w:ascii="Times New Roman" w:eastAsia="仿宋_GB2312" w:cs="宋体"/>
          <w:sz w:val="32"/>
          <w:szCs w:val="32"/>
          <w:lang w:eastAsia="zh-CN"/>
        </w:rPr>
        <w:t>下一步改进措施：一是</w:t>
      </w:r>
      <w:r>
        <w:rPr>
          <w:rFonts w:hint="eastAsia" w:ascii="Times New Roman" w:eastAsia="仿宋_GB2312" w:cs="宋体"/>
          <w:sz w:val="32"/>
          <w:szCs w:val="32"/>
          <w:lang w:eastAsia="zh-CN"/>
        </w:rPr>
        <w:t>扩大社会影响力，增加参与活动的</w:t>
      </w:r>
      <w:r>
        <w:rPr>
          <w:rFonts w:ascii="Times New Roman" w:eastAsia="仿宋_GB2312" w:cs="宋体"/>
          <w:sz w:val="32"/>
          <w:szCs w:val="32"/>
          <w:lang w:eastAsia="zh-CN"/>
        </w:rPr>
        <w:t>人数</w:t>
      </w:r>
      <w:r>
        <w:rPr>
          <w:rFonts w:hint="eastAsia" w:ascii="Times New Roman" w:eastAsia="仿宋_GB2312" w:cs="宋体"/>
          <w:sz w:val="32"/>
          <w:szCs w:val="32"/>
          <w:lang w:eastAsia="zh-CN"/>
        </w:rPr>
        <w:t>，加强资金支出管理，进一步优化支出结构</w:t>
      </w:r>
      <w:r>
        <w:rPr>
          <w:rFonts w:ascii="Times New Roman" w:eastAsia="仿宋_GB2312" w:cs="宋体"/>
          <w:sz w:val="32"/>
          <w:szCs w:val="32"/>
          <w:lang w:eastAsia="zh-CN"/>
        </w:rPr>
        <w:t>。</w:t>
      </w:r>
    </w:p>
    <w:p>
      <w:pPr>
        <w:widowControl/>
        <w:spacing w:line="360" w:lineRule="auto"/>
        <w:ind w:firstLine="640" w:firstLineChars="200"/>
        <w:jc w:val="left"/>
        <w:rPr>
          <w:rFonts w:ascii="Times New Roman" w:eastAsia="仿宋_GB2312" w:cs="宋体"/>
          <w:sz w:val="32"/>
          <w:szCs w:val="32"/>
          <w:lang w:eastAsia="zh-CN"/>
        </w:rPr>
      </w:pPr>
      <w:r>
        <w:rPr>
          <w:rFonts w:hint="eastAsia" w:ascii="Times New Roman" w:eastAsia="仿宋_GB2312" w:cs="宋体"/>
          <w:sz w:val="32"/>
          <w:szCs w:val="32"/>
          <w:lang w:eastAsia="zh-CN"/>
        </w:rPr>
        <w:t>（2）老科协经费</w:t>
      </w:r>
      <w:r>
        <w:rPr>
          <w:rFonts w:ascii="Times New Roman" w:eastAsia="仿宋_GB2312" w:cs="宋体"/>
          <w:sz w:val="32"/>
          <w:szCs w:val="32"/>
          <w:lang w:eastAsia="zh-CN"/>
        </w:rPr>
        <w:t>专项项目绩效自评</w:t>
      </w:r>
      <w:r>
        <w:rPr>
          <w:rFonts w:hint="eastAsia" w:ascii="Times New Roman" w:eastAsia="仿宋_GB2312" w:cs="宋体"/>
          <w:sz w:val="32"/>
          <w:szCs w:val="32"/>
          <w:lang w:eastAsia="zh-CN"/>
        </w:rPr>
        <w:t>综述：根据年初设定的绩效目标，该</w:t>
      </w:r>
      <w:r>
        <w:rPr>
          <w:rFonts w:ascii="Times New Roman" w:eastAsia="仿宋_GB2312" w:cs="宋体"/>
          <w:sz w:val="32"/>
          <w:szCs w:val="32"/>
          <w:lang w:eastAsia="zh-CN"/>
        </w:rPr>
        <w:t>专项项目绩效自评得分为</w:t>
      </w:r>
      <w:r>
        <w:rPr>
          <w:rFonts w:hint="eastAsia" w:ascii="Times New Roman" w:eastAsia="仿宋_GB2312" w:cs="宋体"/>
          <w:sz w:val="32"/>
          <w:szCs w:val="32"/>
          <w:lang w:eastAsia="zh-CN"/>
        </w:rPr>
        <w:t>90</w:t>
      </w:r>
      <w:r>
        <w:rPr>
          <w:rFonts w:ascii="Times New Roman" w:eastAsia="仿宋_GB2312" w:cs="宋体"/>
          <w:sz w:val="32"/>
          <w:szCs w:val="32"/>
          <w:lang w:eastAsia="zh-CN"/>
        </w:rPr>
        <w:t>分（绩效自评表附后：附</w:t>
      </w:r>
      <w:r>
        <w:rPr>
          <w:rFonts w:hint="eastAsia" w:ascii="Times New Roman" w:eastAsia="仿宋_GB2312" w:cs="宋体"/>
          <w:sz w:val="32"/>
          <w:szCs w:val="32"/>
          <w:lang w:eastAsia="zh-CN"/>
        </w:rPr>
        <w:t>1</w:t>
      </w:r>
      <w:r>
        <w:rPr>
          <w:rFonts w:ascii="Times New Roman" w:eastAsia="仿宋_GB2312" w:cs="宋体"/>
          <w:sz w:val="32"/>
          <w:szCs w:val="32"/>
          <w:lang w:eastAsia="zh-CN"/>
        </w:rPr>
        <w:t>）。全年预算数为</w:t>
      </w:r>
      <w:r>
        <w:rPr>
          <w:rFonts w:hint="eastAsia" w:ascii="Times New Roman" w:eastAsia="仿宋_GB2312" w:cs="宋体"/>
          <w:sz w:val="32"/>
          <w:szCs w:val="32"/>
          <w:lang w:eastAsia="zh-CN"/>
        </w:rPr>
        <w:t>5</w:t>
      </w:r>
      <w:r>
        <w:rPr>
          <w:rFonts w:ascii="Times New Roman" w:eastAsia="仿宋_GB2312" w:cs="宋体"/>
          <w:sz w:val="32"/>
          <w:szCs w:val="32"/>
          <w:lang w:eastAsia="zh-CN"/>
        </w:rPr>
        <w:t>万元，执行数为</w:t>
      </w:r>
      <w:r>
        <w:rPr>
          <w:rFonts w:hint="eastAsia" w:ascii="Times New Roman" w:eastAsia="仿宋_GB2312" w:cs="宋体"/>
          <w:sz w:val="32"/>
          <w:szCs w:val="32"/>
          <w:lang w:val="en-US" w:eastAsia="zh-CN"/>
        </w:rPr>
        <w:t>0</w:t>
      </w:r>
      <w:r>
        <w:rPr>
          <w:rFonts w:ascii="Times New Roman" w:eastAsia="仿宋_GB2312" w:cs="宋体"/>
          <w:sz w:val="32"/>
          <w:szCs w:val="32"/>
          <w:lang w:eastAsia="zh-CN"/>
        </w:rPr>
        <w:t>万元，完成预算的</w:t>
      </w:r>
      <w:r>
        <w:rPr>
          <w:rFonts w:hint="eastAsia" w:ascii="Times New Roman" w:eastAsia="仿宋_GB2312" w:cs="宋体"/>
          <w:sz w:val="32"/>
          <w:szCs w:val="32"/>
          <w:lang w:val="en-US" w:eastAsia="zh-CN"/>
        </w:rPr>
        <w:t>0</w:t>
      </w:r>
      <w:r>
        <w:rPr>
          <w:rFonts w:ascii="Times New Roman" w:eastAsia="仿宋_GB2312" w:cs="宋体"/>
          <w:sz w:val="32"/>
          <w:szCs w:val="32"/>
          <w:lang w:eastAsia="zh-CN"/>
        </w:rPr>
        <w:t>%。项目绩效目标完成情况：我</w:t>
      </w:r>
      <w:r>
        <w:rPr>
          <w:rFonts w:hint="eastAsia" w:ascii="Times New Roman" w:eastAsia="仿宋_GB2312" w:cs="宋体"/>
          <w:sz w:val="32"/>
          <w:szCs w:val="32"/>
          <w:lang w:eastAsia="zh-CN"/>
        </w:rPr>
        <w:t>单位定期开展科普宣传活动</w:t>
      </w:r>
      <w:r>
        <w:rPr>
          <w:rFonts w:ascii="Times New Roman" w:eastAsia="仿宋_GB2312" w:cs="宋体"/>
          <w:sz w:val="32"/>
          <w:szCs w:val="32"/>
          <w:lang w:eastAsia="zh-CN"/>
        </w:rPr>
        <w:t>，发</w:t>
      </w:r>
      <w:r>
        <w:rPr>
          <w:rFonts w:hint="eastAsia" w:ascii="Times New Roman" w:eastAsia="仿宋_GB2312" w:cs="宋体"/>
          <w:sz w:val="32"/>
          <w:szCs w:val="32"/>
          <w:lang w:eastAsia="zh-CN"/>
        </w:rPr>
        <w:t>放科技资料、图书，提高全民素养</w:t>
      </w:r>
      <w:r>
        <w:rPr>
          <w:rFonts w:ascii="Times New Roman" w:eastAsia="仿宋_GB2312" w:cs="宋体"/>
          <w:sz w:val="32"/>
          <w:szCs w:val="32"/>
          <w:lang w:eastAsia="zh-CN"/>
        </w:rPr>
        <w:t>。发现的主要问题及原因：一是社会</w:t>
      </w:r>
      <w:r>
        <w:rPr>
          <w:rFonts w:hint="eastAsia" w:ascii="Times New Roman" w:eastAsia="仿宋_GB2312" w:cs="宋体"/>
          <w:sz w:val="32"/>
          <w:szCs w:val="32"/>
          <w:lang w:eastAsia="zh-CN"/>
        </w:rPr>
        <w:t>影响力不够大，影响范围不够广，</w:t>
      </w:r>
      <w:r>
        <w:rPr>
          <w:rFonts w:hint="eastAsia" w:ascii="Times New Roman" w:eastAsia="仿宋_GB2312" w:cs="宋体"/>
          <w:sz w:val="32"/>
          <w:szCs w:val="32"/>
          <w:lang w:val="en-US" w:eastAsia="zh-CN"/>
        </w:rPr>
        <w:t>因财政紧张</w:t>
      </w:r>
      <w:r>
        <w:rPr>
          <w:rFonts w:hint="eastAsia" w:ascii="Times New Roman" w:eastAsia="仿宋_GB2312" w:cs="宋体"/>
          <w:sz w:val="32"/>
          <w:szCs w:val="32"/>
          <w:lang w:eastAsia="zh-CN"/>
        </w:rPr>
        <w:t>拨款不及时。</w:t>
      </w:r>
      <w:r>
        <w:rPr>
          <w:rFonts w:ascii="Times New Roman" w:eastAsia="仿宋_GB2312" w:cs="宋体"/>
          <w:sz w:val="32"/>
          <w:szCs w:val="32"/>
          <w:lang w:eastAsia="zh-CN"/>
        </w:rPr>
        <w:t>下一步改进措施：一是</w:t>
      </w:r>
      <w:r>
        <w:rPr>
          <w:rFonts w:hint="eastAsia" w:ascii="Times New Roman" w:eastAsia="仿宋_GB2312" w:cs="宋体"/>
          <w:sz w:val="32"/>
          <w:szCs w:val="32"/>
          <w:lang w:eastAsia="zh-CN"/>
        </w:rPr>
        <w:t>扩大社会影响力，增加参与活动的</w:t>
      </w:r>
      <w:r>
        <w:rPr>
          <w:rFonts w:ascii="Times New Roman" w:eastAsia="仿宋_GB2312" w:cs="宋体"/>
          <w:sz w:val="32"/>
          <w:szCs w:val="32"/>
          <w:lang w:eastAsia="zh-CN"/>
        </w:rPr>
        <w:t>人数</w:t>
      </w:r>
      <w:r>
        <w:rPr>
          <w:rFonts w:hint="eastAsia" w:ascii="Times New Roman" w:eastAsia="仿宋_GB2312" w:cs="宋体"/>
          <w:sz w:val="32"/>
          <w:szCs w:val="32"/>
          <w:lang w:eastAsia="zh-CN"/>
        </w:rPr>
        <w:t>，加强资金支出管理，进一步优化支出结构</w:t>
      </w:r>
      <w:r>
        <w:rPr>
          <w:rFonts w:ascii="Times New Roman" w:eastAsia="仿宋_GB2312" w:cs="宋体"/>
          <w:sz w:val="32"/>
          <w:szCs w:val="32"/>
          <w:lang w:eastAsia="zh-CN"/>
        </w:rPr>
        <w:t>。</w:t>
      </w:r>
    </w:p>
    <w:p>
      <w:pPr>
        <w:pStyle w:val="2"/>
        <w:rPr>
          <w:rFonts w:ascii="Times New Roman" w:eastAsia="仿宋_GB2312" w:cs="宋体"/>
          <w:sz w:val="32"/>
          <w:szCs w:val="32"/>
          <w:lang w:eastAsia="zh-CN"/>
        </w:rPr>
      </w:pPr>
    </w:p>
    <w:p>
      <w:pPr>
        <w:pStyle w:val="2"/>
        <w:rPr>
          <w:rFonts w:ascii="Times New Roman" w:eastAsia="仿宋_GB2312" w:cs="宋体"/>
          <w:sz w:val="32"/>
          <w:szCs w:val="32"/>
          <w:lang w:eastAsia="zh-CN"/>
        </w:rPr>
      </w:pPr>
    </w:p>
    <w:p>
      <w:pPr>
        <w:pStyle w:val="2"/>
        <w:rPr>
          <w:rFonts w:ascii="Times New Roman" w:eastAsia="仿宋_GB2312" w:cs="宋体"/>
          <w:sz w:val="32"/>
          <w:szCs w:val="32"/>
          <w:lang w:eastAsia="zh-CN"/>
        </w:rPr>
      </w:pPr>
    </w:p>
    <w:tbl>
      <w:tblPr>
        <w:tblW w:w="94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773"/>
        <w:gridCol w:w="812"/>
        <w:gridCol w:w="1075"/>
        <w:gridCol w:w="1545"/>
        <w:gridCol w:w="1620"/>
        <w:gridCol w:w="1245"/>
        <w:gridCol w:w="1335"/>
        <w:gridCol w:w="1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0" w:hRule="atLeast"/>
          <w:jc w:val="center"/>
        </w:trPr>
        <w:tc>
          <w:tcPr>
            <w:tcW w:w="9445" w:type="dxa"/>
            <w:gridSpan w:val="8"/>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bdr w:val="none" w:color="auto" w:sz="0" w:space="0"/>
                <w:lang w:val="en-US" w:eastAsia="zh-CN" w:bidi="ar"/>
              </w:rPr>
              <w:t>区级部门预算项目绩效自评表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15" w:hRule="atLeast"/>
          <w:jc w:val="center"/>
        </w:trPr>
        <w:tc>
          <w:tcPr>
            <w:tcW w:w="9445" w:type="dxa"/>
            <w:gridSpan w:val="8"/>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60" w:hRule="atLeast"/>
          <w:jc w:val="center"/>
        </w:trPr>
        <w:tc>
          <w:tcPr>
            <w:tcW w:w="773" w:type="dxa"/>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填报单位：科协</w:t>
            </w:r>
          </w:p>
        </w:tc>
        <w:tc>
          <w:tcPr>
            <w:tcW w:w="812"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45"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620"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45"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35"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773" w:type="dxa"/>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一、</w:t>
            </w:r>
            <w:r>
              <w:rPr>
                <w:rFonts w:ascii="Calibri" w:hAnsi="Calibri" w:eastAsia="宋体" w:cs="Calibri"/>
                <w:i w:val="0"/>
                <w:color w:val="000000"/>
                <w:kern w:val="0"/>
                <w:sz w:val="20"/>
                <w:szCs w:val="20"/>
                <w:u w:val="none"/>
                <w:bdr w:val="none" w:color="auto" w:sz="0" w:space="0"/>
                <w:lang w:val="en-US" w:eastAsia="zh-CN" w:bidi="ar"/>
              </w:rPr>
              <w:t xml:space="preserve"> </w:t>
            </w:r>
            <w:r>
              <w:rPr>
                <w:rFonts w:hint="eastAsia" w:ascii="宋体" w:hAnsi="宋体" w:eastAsia="宋体" w:cs="宋体"/>
                <w:i w:val="0"/>
                <w:color w:val="000000"/>
                <w:kern w:val="0"/>
                <w:sz w:val="20"/>
                <w:szCs w:val="20"/>
                <w:u w:val="none"/>
                <w:bdr w:val="none" w:color="auto" w:sz="0" w:space="0"/>
                <w:lang w:val="en-US" w:eastAsia="zh-CN" w:bidi="ar"/>
              </w:rPr>
              <w:t>基本情况</w:t>
            </w:r>
          </w:p>
        </w:tc>
        <w:tc>
          <w:tcPr>
            <w:tcW w:w="81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项目名称</w:t>
            </w:r>
          </w:p>
        </w:tc>
        <w:tc>
          <w:tcPr>
            <w:tcW w:w="2620"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科普经费</w:t>
            </w:r>
          </w:p>
        </w:tc>
        <w:tc>
          <w:tcPr>
            <w:tcW w:w="162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实施(主管）单位</w:t>
            </w:r>
          </w:p>
        </w:tc>
        <w:tc>
          <w:tcPr>
            <w:tcW w:w="3620" w:type="dxa"/>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石家庄市鹿泉区科学技术协会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0" w:hRule="atLeast"/>
          <w:jc w:val="center"/>
        </w:trPr>
        <w:tc>
          <w:tcPr>
            <w:tcW w:w="773"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二、预算执行情况</w:t>
            </w:r>
          </w:p>
        </w:tc>
        <w:tc>
          <w:tcPr>
            <w:tcW w:w="1887"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资金执行情况</w:t>
            </w:r>
          </w:p>
        </w:tc>
        <w:tc>
          <w:tcPr>
            <w:tcW w:w="104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77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预算数：</w:t>
            </w:r>
          </w:p>
        </w:tc>
        <w:tc>
          <w:tcPr>
            <w:tcW w:w="107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w:t>
            </w:r>
          </w:p>
        </w:tc>
        <w:tc>
          <w:tcPr>
            <w:tcW w:w="15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c>
          <w:tcPr>
            <w:tcW w:w="104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0" w:hRule="atLeast"/>
          <w:jc w:val="center"/>
        </w:trPr>
        <w:tc>
          <w:tcPr>
            <w:tcW w:w="77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其中：                 财政资金</w:t>
            </w:r>
          </w:p>
        </w:tc>
        <w:tc>
          <w:tcPr>
            <w:tcW w:w="107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w:t>
            </w:r>
          </w:p>
        </w:tc>
        <w:tc>
          <w:tcPr>
            <w:tcW w:w="15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c>
          <w:tcPr>
            <w:tcW w:w="12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5" w:hRule="atLeast"/>
          <w:jc w:val="center"/>
        </w:trPr>
        <w:tc>
          <w:tcPr>
            <w:tcW w:w="77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其他</w:t>
            </w:r>
          </w:p>
        </w:tc>
        <w:tc>
          <w:tcPr>
            <w:tcW w:w="107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5" w:hRule="atLeast"/>
          <w:jc w:val="center"/>
        </w:trPr>
        <w:tc>
          <w:tcPr>
            <w:tcW w:w="773"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三、目标完成情况</w:t>
            </w:r>
          </w:p>
        </w:tc>
        <w:tc>
          <w:tcPr>
            <w:tcW w:w="3432" w:type="dxa"/>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具体完成情况</w:t>
            </w:r>
          </w:p>
        </w:tc>
        <w:tc>
          <w:tcPr>
            <w:tcW w:w="104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20" w:hRule="atLeast"/>
          <w:jc w:val="center"/>
        </w:trPr>
        <w:tc>
          <w:tcPr>
            <w:tcW w:w="77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32" w:type="dxa"/>
            <w:gridSpan w:val="3"/>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1.开展“全国科普日”主题活动，发放科技资料、图书，提高全民科学素养。2.科普进校园，在6所中小学进行科普宣传，发放科技资料、图书，定期更换科普橱窗，普及学生科学技术知识。</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1.开展“全国科普日”主题活动，发放科技资料、图书，提高全民科学素养。2.科普进校园，在6所中小学进行科普宣传，发放科技资料、图书，定期更换科普橱窗，普及学生科学技术知识。</w:t>
            </w:r>
          </w:p>
        </w:tc>
        <w:tc>
          <w:tcPr>
            <w:tcW w:w="104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10" w:hRule="atLeast"/>
          <w:jc w:val="center"/>
        </w:trPr>
        <w:tc>
          <w:tcPr>
            <w:tcW w:w="77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32" w:type="dxa"/>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40" w:hRule="atLeast"/>
          <w:jc w:val="center"/>
        </w:trPr>
        <w:tc>
          <w:tcPr>
            <w:tcW w:w="77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32" w:type="dxa"/>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773" w:type="dxa"/>
            <w:vMerge w:val="restart"/>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四、</w:t>
            </w:r>
            <w:r>
              <w:rPr>
                <w:rFonts w:ascii="Calibri" w:hAnsi="Calibri" w:eastAsia="宋体" w:cs="Calibri"/>
                <w:i w:val="0"/>
                <w:color w:val="000000"/>
                <w:kern w:val="0"/>
                <w:sz w:val="20"/>
                <w:szCs w:val="20"/>
                <w:u w:val="none"/>
                <w:bdr w:val="none" w:color="auto" w:sz="0" w:space="0"/>
                <w:lang w:val="en-US" w:eastAsia="zh-CN" w:bidi="ar"/>
              </w:rPr>
              <w:t xml:space="preserve"> </w:t>
            </w:r>
            <w:r>
              <w:rPr>
                <w:rFonts w:hint="eastAsia" w:ascii="宋体" w:hAnsi="宋体" w:eastAsia="宋体" w:cs="宋体"/>
                <w:i w:val="0"/>
                <w:color w:val="000000"/>
                <w:kern w:val="0"/>
                <w:sz w:val="20"/>
                <w:szCs w:val="20"/>
                <w:u w:val="none"/>
                <w:bdr w:val="none" w:color="auto" w:sz="0" w:space="0"/>
                <w:lang w:val="en-US" w:eastAsia="zh-CN" w:bidi="ar"/>
              </w:rPr>
              <w:t>年度绩效指标完成情况</w:t>
            </w:r>
          </w:p>
        </w:tc>
        <w:tc>
          <w:tcPr>
            <w:tcW w:w="81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一级指标</w:t>
            </w:r>
          </w:p>
        </w:tc>
        <w:tc>
          <w:tcPr>
            <w:tcW w:w="107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实际完成值</w:t>
            </w:r>
          </w:p>
        </w:tc>
        <w:tc>
          <w:tcPr>
            <w:tcW w:w="104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restart"/>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产出指标（40）</w:t>
            </w:r>
          </w:p>
        </w:tc>
        <w:tc>
          <w:tcPr>
            <w:tcW w:w="107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数量指标</w:t>
            </w:r>
          </w:p>
        </w:tc>
        <w:tc>
          <w:tcPr>
            <w:tcW w:w="3165" w:type="dxa"/>
            <w:gridSpan w:val="2"/>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制作与发放科普宣传资料的数量（份）</w:t>
            </w:r>
          </w:p>
        </w:tc>
        <w:tc>
          <w:tcPr>
            <w:tcW w:w="124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≥2000份</w:t>
            </w:r>
          </w:p>
        </w:tc>
        <w:tc>
          <w:tcPr>
            <w:tcW w:w="133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1000份</w:t>
            </w:r>
          </w:p>
        </w:tc>
        <w:tc>
          <w:tcPr>
            <w:tcW w:w="104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质量指标</w:t>
            </w:r>
          </w:p>
        </w:tc>
        <w:tc>
          <w:tcPr>
            <w:tcW w:w="3165" w:type="dxa"/>
            <w:gridSpan w:val="2"/>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科普橱窗更新次数</w:t>
            </w:r>
          </w:p>
        </w:tc>
        <w:tc>
          <w:tcPr>
            <w:tcW w:w="124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≥12次</w:t>
            </w:r>
          </w:p>
        </w:tc>
        <w:tc>
          <w:tcPr>
            <w:tcW w:w="133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6</w:t>
            </w:r>
            <w:r>
              <w:rPr>
                <w:rFonts w:hint="eastAsia" w:ascii="宋体" w:hAnsi="宋体" w:eastAsia="宋体" w:cs="宋体"/>
                <w:i w:val="0"/>
                <w:color w:val="000000"/>
                <w:kern w:val="0"/>
                <w:sz w:val="20"/>
                <w:szCs w:val="20"/>
                <w:u w:val="none"/>
                <w:bdr w:val="none" w:color="auto" w:sz="0" w:space="0"/>
                <w:lang w:val="en-US" w:eastAsia="zh-CN" w:bidi="ar"/>
              </w:rPr>
              <w:t>次</w:t>
            </w:r>
          </w:p>
        </w:tc>
        <w:tc>
          <w:tcPr>
            <w:tcW w:w="104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时效指标</w:t>
            </w:r>
          </w:p>
        </w:tc>
        <w:tc>
          <w:tcPr>
            <w:tcW w:w="3165" w:type="dxa"/>
            <w:gridSpan w:val="2"/>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活动持续时间（天）</w:t>
            </w:r>
          </w:p>
        </w:tc>
        <w:tc>
          <w:tcPr>
            <w:tcW w:w="124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≥3天</w:t>
            </w:r>
          </w:p>
        </w:tc>
        <w:tc>
          <w:tcPr>
            <w:tcW w:w="133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1天</w:t>
            </w:r>
          </w:p>
        </w:tc>
        <w:tc>
          <w:tcPr>
            <w:tcW w:w="104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成本指标</w:t>
            </w:r>
          </w:p>
        </w:tc>
        <w:tc>
          <w:tcPr>
            <w:tcW w:w="3165" w:type="dxa"/>
            <w:gridSpan w:val="2"/>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举行科普活动次数</w:t>
            </w:r>
          </w:p>
        </w:tc>
        <w:tc>
          <w:tcPr>
            <w:tcW w:w="124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≥6次</w:t>
            </w:r>
          </w:p>
        </w:tc>
        <w:tc>
          <w:tcPr>
            <w:tcW w:w="133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3次</w:t>
            </w:r>
          </w:p>
        </w:tc>
        <w:tc>
          <w:tcPr>
            <w:tcW w:w="104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预算执行率指标</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（10分）</w:t>
            </w:r>
          </w:p>
        </w:tc>
        <w:tc>
          <w:tcPr>
            <w:tcW w:w="1075" w:type="dxa"/>
            <w:tcBorders>
              <w:top w:val="nil"/>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预算执行率</w:t>
            </w:r>
          </w:p>
        </w:tc>
        <w:tc>
          <w:tcPr>
            <w:tcW w:w="3165" w:type="dxa"/>
            <w:gridSpan w:val="2"/>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控制在预算范围内</w:t>
            </w:r>
          </w:p>
        </w:tc>
        <w:tc>
          <w:tcPr>
            <w:tcW w:w="12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restart"/>
            <w:tcBorders>
              <w:top w:val="nil"/>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效益指标（40）</w:t>
            </w:r>
          </w:p>
        </w:tc>
        <w:tc>
          <w:tcPr>
            <w:tcW w:w="1075" w:type="dxa"/>
            <w:vMerge w:val="restar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社会效益指标</w:t>
            </w:r>
          </w:p>
        </w:tc>
        <w:tc>
          <w:tcPr>
            <w:tcW w:w="3165" w:type="dxa"/>
            <w:gridSpan w:val="2"/>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科普活动参与人次</w:t>
            </w:r>
          </w:p>
        </w:tc>
        <w:tc>
          <w:tcPr>
            <w:tcW w:w="124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≥5000人</w:t>
            </w:r>
          </w:p>
        </w:tc>
        <w:tc>
          <w:tcPr>
            <w:tcW w:w="133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3000人</w:t>
            </w:r>
          </w:p>
        </w:tc>
        <w:tc>
          <w:tcPr>
            <w:tcW w:w="104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nil"/>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nil"/>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nil"/>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restar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可持续影响指标</w:t>
            </w:r>
          </w:p>
        </w:tc>
        <w:tc>
          <w:tcPr>
            <w:tcW w:w="3165" w:type="dxa"/>
            <w:gridSpan w:val="2"/>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科普进校园参与小学</w:t>
            </w:r>
          </w:p>
        </w:tc>
        <w:tc>
          <w:tcPr>
            <w:tcW w:w="124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≥6所</w:t>
            </w:r>
          </w:p>
        </w:tc>
        <w:tc>
          <w:tcPr>
            <w:tcW w:w="133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3所</w:t>
            </w:r>
          </w:p>
        </w:tc>
        <w:tc>
          <w:tcPr>
            <w:tcW w:w="104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nil"/>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nil"/>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满意度指标</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（10分）</w:t>
            </w:r>
          </w:p>
        </w:tc>
        <w:tc>
          <w:tcPr>
            <w:tcW w:w="1075" w:type="dxa"/>
            <w:vMerge w:val="restar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满意度指标</w:t>
            </w:r>
          </w:p>
        </w:tc>
        <w:tc>
          <w:tcPr>
            <w:tcW w:w="3165" w:type="dxa"/>
            <w:gridSpan w:val="2"/>
            <w:vMerge w:val="restart"/>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群众满意度</w:t>
            </w:r>
          </w:p>
        </w:tc>
        <w:tc>
          <w:tcPr>
            <w:tcW w:w="1245" w:type="dxa"/>
            <w:vMerge w:val="restart"/>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≥80%</w:t>
            </w:r>
          </w:p>
        </w:tc>
        <w:tc>
          <w:tcPr>
            <w:tcW w:w="1335" w:type="dxa"/>
            <w:vMerge w:val="restart"/>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80%</w:t>
            </w:r>
          </w:p>
        </w:tc>
        <w:tc>
          <w:tcPr>
            <w:tcW w:w="1040" w:type="dxa"/>
            <w:vMerge w:val="restart"/>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040"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5" w:type="dxa"/>
            <w:vMerge w:val="continue"/>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65" w:type="dxa"/>
            <w:gridSpan w:val="2"/>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245"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335"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c>
          <w:tcPr>
            <w:tcW w:w="1040"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default" w:ascii="Calibri" w:hAnsi="Calibri" w:eastAsia="宋体" w:cs="Calibri"/>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70" w:hRule="atLeast"/>
          <w:jc w:val="center"/>
        </w:trPr>
        <w:tc>
          <w:tcPr>
            <w:tcW w:w="773"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632" w:type="dxa"/>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总分</w:t>
            </w:r>
          </w:p>
        </w:tc>
        <w:tc>
          <w:tcPr>
            <w:tcW w:w="104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jc w:val="center"/>
        </w:trPr>
        <w:tc>
          <w:tcPr>
            <w:tcW w:w="773" w:type="dxa"/>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五、</w:t>
            </w:r>
            <w:r>
              <w:rPr>
                <w:rFonts w:ascii="Calibri" w:hAnsi="Calibri" w:eastAsia="宋体" w:cs="Calibri"/>
                <w:i w:val="0"/>
                <w:color w:val="000000"/>
                <w:kern w:val="0"/>
                <w:sz w:val="20"/>
                <w:szCs w:val="20"/>
                <w:u w:val="none"/>
                <w:bdr w:val="none" w:color="auto" w:sz="0" w:space="0"/>
                <w:lang w:val="en-US" w:eastAsia="zh-CN" w:bidi="ar"/>
              </w:rPr>
              <w:t xml:space="preserve"> </w:t>
            </w:r>
            <w:r>
              <w:rPr>
                <w:rFonts w:hint="eastAsia" w:ascii="宋体" w:hAnsi="宋体" w:eastAsia="宋体" w:cs="宋体"/>
                <w:i w:val="0"/>
                <w:color w:val="000000"/>
                <w:kern w:val="0"/>
                <w:sz w:val="20"/>
                <w:szCs w:val="20"/>
                <w:u w:val="none"/>
                <w:bdr w:val="none" w:color="auto" w:sz="0" w:space="0"/>
                <w:lang w:val="en-US" w:eastAsia="zh-CN" w:bidi="ar"/>
              </w:rPr>
              <w:t>存在问题、原因及下一步整改措施</w:t>
            </w:r>
          </w:p>
        </w:tc>
        <w:tc>
          <w:tcPr>
            <w:tcW w:w="8672" w:type="dxa"/>
            <w:gridSpan w:val="7"/>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鹿泉区加大宣传引导，创新工作机制，科普工作取得了一定成绩，但对比上级要求还有一定差距，下一步从以下几点提高科普工作质量：1.强化科技人员的科普责任意识和自觉性。2.充分利用现有流动科技馆以及宣传媒体开展科普教育和宣传。3.充分发挥组织协调作用，有效调动各方面的力量，进一步形成合力。因财政资金紧张，未及时拨付项目资金。</w:t>
            </w:r>
          </w:p>
        </w:tc>
      </w:tr>
    </w:tbl>
    <w:p>
      <w:pPr>
        <w:pStyle w:val="2"/>
        <w:rPr>
          <w:rFonts w:ascii="Times New Roman" w:eastAsia="仿宋_GB2312" w:cs="宋体"/>
          <w:sz w:val="32"/>
          <w:szCs w:val="32"/>
          <w:lang w:eastAsia="zh-CN"/>
        </w:rPr>
      </w:pPr>
    </w:p>
    <w:p>
      <w:pPr>
        <w:pStyle w:val="2"/>
        <w:ind w:left="0" w:leftChars="0" w:firstLine="0" w:firstLineChars="0"/>
        <w:rPr>
          <w:rFonts w:ascii="Times New Roman" w:eastAsia="仿宋_GB2312" w:cs="宋体"/>
          <w:sz w:val="32"/>
          <w:szCs w:val="32"/>
          <w:lang w:eastAsia="zh-CN"/>
        </w:rPr>
      </w:pPr>
    </w:p>
    <w:tbl>
      <w:tblPr>
        <w:tblStyle w:val="12"/>
        <w:tblpPr w:leftFromText="180" w:rightFromText="180" w:vertAnchor="text" w:horzAnchor="page" w:tblpX="1331" w:tblpY="91"/>
        <w:tblOverlap w:val="never"/>
        <w:tblW w:w="95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95"/>
        <w:gridCol w:w="1080"/>
        <w:gridCol w:w="1485"/>
        <w:gridCol w:w="1690"/>
        <w:gridCol w:w="1080"/>
        <w:gridCol w:w="1260"/>
        <w:gridCol w:w="1170"/>
        <w:gridCol w:w="8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9595"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区级部门预算项目绩效自评表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9595"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99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1080"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科协</w:t>
            </w:r>
          </w:p>
        </w:tc>
        <w:tc>
          <w:tcPr>
            <w:tcW w:w="148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69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jc w:val="center"/>
        </w:trPr>
        <w:tc>
          <w:tcPr>
            <w:tcW w:w="99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 基本情况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老科协活动经费</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2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石家庄市鹿泉区科学技术协会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jc w:val="center"/>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jc w:val="center"/>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42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1.我单位通过科普培训、科普讲座等向我区公民宣传科普知识，普及人次达到2000人次，提升广大群众的科普素质。2.离休医疗专家去格格村镇进行义诊，免费给居民检查身体，并且发放一些医疗用品。</w:t>
            </w:r>
          </w:p>
        </w:tc>
        <w:tc>
          <w:tcPr>
            <w:tcW w:w="351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1.我单位通过科普培训、科普讲座等向我区公民宣传科普知识，普及人次达到2000人次，提升广大群众的科普素质。2.离休医疗专家去格格村镇进行义诊，免费给居民检查身体，并且发放一些医疗用品。</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51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jc w:val="center"/>
        </w:trPr>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51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99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 年度绩效指标完成情况</w:t>
            </w:r>
          </w:p>
        </w:tc>
        <w:tc>
          <w:tcPr>
            <w:tcW w:w="10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48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77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26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7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770" w:type="dxa"/>
            <w:gridSpan w:val="2"/>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开展科普宣传活动次数</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≥3次</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2次</w:t>
            </w:r>
          </w:p>
        </w:tc>
        <w:tc>
          <w:tcPr>
            <w:tcW w:w="83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0" w:type="dxa"/>
            <w:gridSpan w:val="2"/>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77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进行义诊时专家数量</w:t>
            </w:r>
          </w:p>
        </w:tc>
        <w:tc>
          <w:tcPr>
            <w:tcW w:w="126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≥5人</w:t>
            </w:r>
          </w:p>
        </w:tc>
        <w:tc>
          <w:tcPr>
            <w:tcW w:w="117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5人</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77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科普宣传活动持续时间</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≥3天</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3天</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77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制作与发放科普宣传资料数量</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≥2000份</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2000份</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77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控制在预算范围内</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77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科普讲座参与人数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≥3000人</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2000人</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77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科普活动宣传知晓率</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770" w:type="dxa"/>
            <w:gridSpan w:val="2"/>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参加科普活动人数增长率</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770" w:type="dxa"/>
            <w:gridSpan w:val="2"/>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群众满意度</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0" w:type="dxa"/>
            <w:gridSpan w:val="2"/>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jc w:val="center"/>
        </w:trPr>
        <w:tc>
          <w:tcPr>
            <w:tcW w:w="99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765" w:type="dxa"/>
            <w:gridSpan w:val="6"/>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80" w:hRule="atLeast"/>
          <w:jc w:val="center"/>
        </w:trPr>
        <w:tc>
          <w:tcPr>
            <w:tcW w:w="99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 存在问题、原因及下一步整改措施</w:t>
            </w:r>
          </w:p>
        </w:tc>
        <w:tc>
          <w:tcPr>
            <w:tcW w:w="860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鹿泉区加大宣传引导，创新工作机制，科普工作取得了一定成绩，但对比上级要求还有一定差距，下一步从以下几点提高科普工作质量：1.强化科技人员的科普责任意识和自觉性。2.充分利用现有流动科技馆以及宣传媒体开展科普教育和宣传。3.充分发挥组织协调作用，有效调动各方面的力量，进一步形成合力。因财政资金紧张，未及时拨付项目资金。</w:t>
            </w:r>
          </w:p>
        </w:tc>
      </w:tr>
    </w:tbl>
    <w:p>
      <w:pPr>
        <w:pStyle w:val="2"/>
        <w:rPr>
          <w:rFonts w:ascii="Times New Roman" w:eastAsia="仿宋_GB2312" w:cs="宋体"/>
          <w:sz w:val="32"/>
          <w:szCs w:val="32"/>
          <w:lang w:eastAsia="zh-CN"/>
        </w:rPr>
      </w:pPr>
    </w:p>
    <w:p>
      <w:pPr>
        <w:pStyle w:val="2"/>
        <w:rPr>
          <w:rFonts w:hint="eastAsia"/>
          <w:lang w:eastAsia="zh-CN"/>
        </w:rPr>
      </w:pPr>
    </w:p>
    <w:p>
      <w:pPr>
        <w:widowControl/>
        <w:spacing w:before="0" w:beforeLines="0" w:beforeAutospacing="0" w:after="0" w:afterLines="0" w:afterAutospacing="0" w:line="360" w:lineRule="auto"/>
        <w:jc w:val="left"/>
        <w:rPr>
          <w:rFonts w:ascii="Times New Roman" w:eastAsia="仿宋_GB2312"/>
          <w:sz w:val="32"/>
          <w:szCs w:val="32"/>
        </w:rPr>
      </w:pPr>
      <w:bookmarkStart w:id="0" w:name="_GoBack"/>
      <w:bookmarkEnd w:id="0"/>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E943228-88CB-40F7-A8EF-F93760D5D8E8}"/>
  </w:font>
  <w:font w:name="黑体">
    <w:panose1 w:val="02010609060101010101"/>
    <w:charset w:val="86"/>
    <w:family w:val="auto"/>
    <w:pitch w:val="default"/>
    <w:sig w:usb0="800002BF" w:usb1="38CF7CFA" w:usb2="00000016" w:usb3="00000000" w:csb0="00040001" w:csb1="00000000"/>
    <w:embedRegular r:id="rId2" w:fontKey="{D356358C-991F-4DBC-982A-6EC91107D3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0C3B7C4A-6C1B-4097-80C7-862AAE2DA869}"/>
  </w:font>
  <w:font w:name="仿宋">
    <w:panose1 w:val="02010609060101010101"/>
    <w:charset w:val="86"/>
    <w:family w:val="modern"/>
    <w:pitch w:val="default"/>
    <w:sig w:usb0="800002BF" w:usb1="38CF7CFA" w:usb2="00000016" w:usb3="00000000" w:csb0="00040001" w:csb1="00000000"/>
    <w:embedRegular r:id="rId4" w:fontKey="{DAD73C22-BA9C-4EA3-8D2A-2292E8E03E5B}"/>
  </w:font>
  <w:font w:name="Calibri Light">
    <w:panose1 w:val="020F0302020204030204"/>
    <w:charset w:val="00"/>
    <w:family w:val="auto"/>
    <w:pitch w:val="default"/>
    <w:sig w:usb0="E0002A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C51FC703-ABAD-4FD0-990C-E737E39F4CD4}"/>
  </w:font>
  <w:font w:name="楷体_GB2312">
    <w:panose1 w:val="02010609030101010101"/>
    <w:charset w:val="86"/>
    <w:family w:val="auto"/>
    <w:pitch w:val="default"/>
    <w:sig w:usb0="00000000" w:usb1="00000000" w:usb2="00000000" w:usb3="00000000" w:csb0="00000000" w:csb1="00000000"/>
    <w:embedRegular r:id="rId6" w:fontKey="{96EFABA2-AFF7-4D09-B3BF-B0DEAA5EBC2D}"/>
  </w:font>
  <w:font w:name="微软雅黑">
    <w:panose1 w:val="020B0503020204020204"/>
    <w:charset w:val="86"/>
    <w:family w:val="auto"/>
    <w:pitch w:val="default"/>
    <w:sig w:usb0="80000287" w:usb1="2ACF3C50" w:usb2="00000016" w:usb3="00000000" w:csb0="0004001F" w:csb1="00000000"/>
    <w:embedRegular r:id="rId7" w:fontKey="{E1F31F61-DC9E-4B96-A065-0F05F2D01D85}"/>
  </w:font>
  <w:font w:name="方正小标宋_GBK">
    <w:panose1 w:val="02000000000000000000"/>
    <w:charset w:val="86"/>
    <w:family w:val="script"/>
    <w:pitch w:val="default"/>
    <w:sig w:usb0="00000000" w:usb1="00000000" w:usb2="00000000" w:usb3="00000000" w:csb0="00000000" w:csb1="00000000"/>
    <w:embedRegular r:id="rId8" w:fontKey="{DF40F54E-B158-4AD8-A7F7-D75B3F742E17}"/>
  </w:font>
  <w:font w:name="仿宋_GB2312">
    <w:panose1 w:val="02010609030101010101"/>
    <w:charset w:val="86"/>
    <w:family w:val="auto"/>
    <w:pitch w:val="default"/>
    <w:sig w:usb0="00000000" w:usb1="00000000" w:usb2="00000000" w:usb3="00000000" w:csb0="00000000" w:csb1="00000000"/>
    <w:embedRegular r:id="rId9" w:fontKey="{2246549F-5B25-461B-858B-04ADF5E8CE93}"/>
  </w:font>
  <w:font w:name="ArialUnicodeMS">
    <w:altName w:val="Malgun Gothic"/>
    <w:panose1 w:val="00000000000000000000"/>
    <w:charset w:val="81"/>
    <w:family w:val="auto"/>
    <w:pitch w:val="default"/>
    <w:sig w:usb0="00000000" w:usb1="00000000" w:usb2="00000010" w:usb3="00000000" w:csb0="00080001" w:csb1="00000000"/>
    <w:embedRegular r:id="rId10" w:fontKey="{97C1E757-5C48-4444-BAA2-8D33079EDCD2}"/>
  </w:font>
  <w:font w:name="Malgun Gothic">
    <w:panose1 w:val="020B0503020000020004"/>
    <w:charset w:val="81"/>
    <w:family w:val="auto"/>
    <w:pitch w:val="default"/>
    <w:sig w:usb0="9000002F" w:usb1="29D77CFB" w:usb2="00000012" w:usb3="00000000" w:csb0="00080001" w:csb1="00000000"/>
  </w:font>
  <w:font w:name="仿宋_GB2312">
    <w:panose1 w:val="02010609030101010101"/>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panose1 w:val="02000000000000000000"/>
    <w:charset w:val="00"/>
    <w:family w:val="auto"/>
    <w:pitch w:val="default"/>
    <w:sig w:usb0="00000000" w:usb1="00000000" w:usb2="00000000" w:usb3="00000000" w:csb0="00000000" w:csb1="00000000"/>
    <w:embedRegular r:id="rId11" w:fontKey="{6D3C24CA-96A9-444F-920E-B71A3EAF6D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EC3743"/>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CD5E36"/>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26545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Normal Indent1"/>
    <w:basedOn w:val="1"/>
    <w:qFormat/>
    <w:uiPriority w:val="99"/>
    <w:pPr>
      <w:ind w:firstLine="420" w:firstLineChars="200"/>
    </w:pPr>
  </w:style>
  <w:style w:type="paragraph" w:styleId="7">
    <w:name w:val="annotation text"/>
    <w:basedOn w:val="1"/>
    <w:semiHidden/>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4"/>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4"/>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4"/>
    <w:qFormat/>
    <w:uiPriority w:val="0"/>
    <w:rPr>
      <w:rFonts w:hint="eastAsia" w:ascii="方正仿宋_GB2312" w:hAnsi="方正仿宋_GB2312" w:eastAsia="方正仿宋_GB2312" w:cs="方正仿宋_GB2312"/>
      <w:color w:val="000000"/>
      <w:sz w:val="20"/>
      <w:szCs w:val="20"/>
      <w:u w:val="none"/>
    </w:rPr>
  </w:style>
  <w:style w:type="paragraph" w:customStyle="1" w:styleId="28">
    <w:name w:val="插入文本样式-插入职责分类绩效目标文件"/>
    <w:basedOn w:val="1"/>
    <w:qFormat/>
    <w:uiPriority w:val="0"/>
    <w:pPr>
      <w:widowControl/>
      <w:spacing w:line="500" w:lineRule="exact"/>
      <w:ind w:firstLine="560"/>
      <w:jc w:val="left"/>
    </w:pPr>
    <w:rPr>
      <w:rFonts w:ascii="Times New Roman" w:hAnsi="Times New Roman" w:eastAsia="方正仿宋_GBK" w:cs="Times New Roman"/>
      <w:sz w:val="28"/>
      <w:lang w:eastAsia="uk-U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271.77</c:v>
                </c:pt>
                <c:pt idx="1">
                  <c:v>249.44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2717651.17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2717651.17</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249.44</c:v>
                </c:pt>
                <c:pt idx="1">
                  <c:v>249.44</c:v>
                </c:pt>
                <c:pt idx="2">
                  <c:v>249.44</c:v>
                </c:pt>
                <c:pt idx="3">
                  <c:v>249.44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271.77</c:v>
                </c:pt>
                <c:pt idx="1">
                  <c:v>271.77</c:v>
                </c:pt>
                <c:pt idx="2">
                  <c:v>271.77</c:v>
                </c:pt>
                <c:pt idx="3">
                  <c:v>271.77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275.07</c:v>
                </c:pt>
                <c:pt idx="1">
                  <c:v>275.07</c:v>
                </c:pt>
                <c:pt idx="2">
                  <c:v>275.07</c:v>
                </c:pt>
                <c:pt idx="3">
                  <c:v>275.07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271.77</c:v>
                </c:pt>
                <c:pt idx="1">
                  <c:v>271.77</c:v>
                </c:pt>
                <c:pt idx="2">
                  <c:v>271.77</c:v>
                </c:pt>
                <c:pt idx="3">
                  <c:v>271.77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42</Pages>
  <Words>1660</Words>
  <Characters>6225</Characters>
  <Lines>86</Lines>
  <Paragraphs>24</Paragraphs>
  <TotalTime>2</TotalTime>
  <ScaleCrop>false</ScaleCrop>
  <LinksUpToDate>false</LinksUpToDate>
  <CharactersWithSpaces>6550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得了，在这歇会吧</cp:lastModifiedBy>
  <cp:lastPrinted>2023-08-04T01:00:00Z</cp:lastPrinted>
  <dcterms:modified xsi:type="dcterms:W3CDTF">2026-09-22T07:45:09Z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21038E956D0F4A3CB43B3A8113192224_13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