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1DF988B9">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6AF41A91">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41D2384A">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2595C946">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0AE2FD3D">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061E2D0C">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1EEC8084">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keepNext w:val="0"/>
        <w:keepLines w:val="0"/>
        <w:pageBreakBefore w:val="0"/>
        <w:widowControl w:val="0"/>
        <w:kinsoku/>
        <w:wordWrap/>
        <w:overflowPunct/>
        <w:topLinePunct w:val="0"/>
        <w:bidi w:val="0"/>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石家庄市鹿泉区上寨乡人民政府(本级)</w:t>
      </w:r>
    </w:p>
    <w:p w14:paraId="419C6711">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818001</w:t>
      </w:r>
    </w:p>
    <w:p w14:paraId="32B81FC9">
      <w:pPr>
        <w:keepNext w:val="0"/>
        <w:keepLines w:val="0"/>
        <w:pageBreakBefore w:val="0"/>
        <w:widowControl w:val="0"/>
        <w:kinsoku/>
        <w:wordWrap/>
        <w:overflowPunct/>
        <w:topLinePunct w:val="0"/>
        <w:bidi w:val="0"/>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keepNext w:val="0"/>
        <w:keepLines w:val="0"/>
        <w:pageBreakBefore w:val="0"/>
        <w:widowControl w:val="0"/>
        <w:kinsoku/>
        <w:wordWrap/>
        <w:overflowPunct/>
        <w:topLinePunct w:val="0"/>
        <w:bidi w:val="0"/>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keepNext w:val="0"/>
        <w:keepLines w:val="0"/>
        <w:pageBreakBefore w:val="0"/>
        <w:widowControl w:val="0"/>
        <w:kinsoku/>
        <w:wordWrap/>
        <w:overflowPunct/>
        <w:topLinePunct w:val="0"/>
        <w:bidi w:val="0"/>
        <w:spacing w:line="600" w:lineRule="auto"/>
        <w:jc w:val="center"/>
        <w:rPr>
          <w:rFonts w:hint="eastAsia" w:ascii="楷体_GB2312" w:hAnsi="楷体_GB2312" w:eastAsia="楷体_GB2312" w:cs="楷体_GB2312"/>
          <w:color w:val="000000"/>
          <w:sz w:val="40"/>
          <w:szCs w:val="40"/>
        </w:rPr>
      </w:pPr>
    </w:p>
    <w:p w14:paraId="2509B2C8">
      <w:pPr>
        <w:keepNext w:val="0"/>
        <w:keepLines w:val="0"/>
        <w:pageBreakBefore w:val="0"/>
        <w:widowControl w:val="0"/>
        <w:kinsoku/>
        <w:wordWrap/>
        <w:overflowPunct/>
        <w:topLinePunct w:val="0"/>
        <w:bidi w:val="0"/>
        <w:rPr>
          <w:rFonts w:hint="eastAsia" w:ascii="黑体" w:hAnsi="黑体" w:eastAsia="黑体" w:cs="黑体"/>
          <w:b/>
          <w:bCs/>
          <w:sz w:val="32"/>
          <w:szCs w:val="36"/>
          <w:highlight w:val="yellow"/>
        </w:rPr>
      </w:pPr>
    </w:p>
    <w:p w14:paraId="6A4B7BC7">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石家庄市鹿泉区上寨乡人民政府(本级)</w:t>
      </w:r>
    </w:p>
    <w:p w14:paraId="54D43D4C">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keepNext w:val="0"/>
        <w:keepLines w:val="0"/>
        <w:pageBreakBefore w:val="0"/>
        <w:widowControl w:val="0"/>
        <w:kinsoku/>
        <w:wordWrap/>
        <w:overflowPunct/>
        <w:topLinePunct w:val="0"/>
        <w:bidi w:val="0"/>
        <w:spacing w:line="360" w:lineRule="auto"/>
        <w:jc w:val="center"/>
        <w:rPr>
          <w:rFonts w:ascii="黑体" w:hAnsi="黑体" w:eastAsia="黑体" w:cs="黑体"/>
          <w:sz w:val="56"/>
          <w:szCs w:val="72"/>
        </w:rPr>
      </w:pPr>
    </w:p>
    <w:p w14:paraId="3956C54B">
      <w:pPr>
        <w:keepNext w:val="0"/>
        <w:keepLines w:val="0"/>
        <w:pageBreakBefore w:val="0"/>
        <w:widowControl w:val="0"/>
        <w:kinsoku/>
        <w:wordWrap/>
        <w:overflowPunct/>
        <w:topLinePunct w:val="0"/>
        <w:bidi w:val="0"/>
        <w:spacing w:line="480" w:lineRule="auto"/>
        <w:jc w:val="both"/>
        <w:rPr>
          <w:rFonts w:ascii="黑体" w:hAnsi="黑体" w:eastAsia="黑体" w:cs="黑体"/>
          <w:sz w:val="56"/>
          <w:szCs w:val="72"/>
        </w:rPr>
      </w:pPr>
    </w:p>
    <w:p w14:paraId="1EB1DACC">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石家庄市鹿泉区上寨乡人民政府(本级)</w:t>
      </w:r>
    </w:p>
    <w:p w14:paraId="5CAB43E3">
      <w:pPr>
        <w:keepNext w:val="0"/>
        <w:keepLines w:val="0"/>
        <w:pageBreakBefore w:val="0"/>
        <w:widowControl w:val="0"/>
        <w:kinsoku/>
        <w:wordWrap/>
        <w:overflowPunct/>
        <w:topLinePunct w:val="0"/>
        <w:bidi w:val="0"/>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1999EAB">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keepNext w:val="0"/>
        <w:keepLines w:val="0"/>
        <w:pageBreakBefore w:val="0"/>
        <w:widowControl w:val="0"/>
        <w:kinsoku/>
        <w:wordWrap/>
        <w:overflowPunct/>
        <w:topLinePunct w:val="0"/>
        <w:bidi w:val="0"/>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keepNext w:val="0"/>
        <w:keepLines w:val="0"/>
        <w:pageBreakBefore w:val="0"/>
        <w:widowControl w:val="0"/>
        <w:kinsoku/>
        <w:wordWrap/>
        <w:overflowPunct/>
        <w:topLinePunct w:val="0"/>
        <w:bidi w:val="0"/>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F5DC561">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keepNext w:val="0"/>
        <w:keepLines w:val="0"/>
        <w:pageBreakBefore w:val="0"/>
        <w:widowControl w:val="0"/>
        <w:kinsoku/>
        <w:wordWrap/>
        <w:overflowPunct/>
        <w:topLinePunct w:val="0"/>
        <w:bidi w:val="0"/>
        <w:spacing w:after="160" w:line="580" w:lineRule="exact"/>
        <w:ind w:firstLine="640" w:firstLineChars="200"/>
        <w:rPr>
          <w:rFonts w:ascii="Times New Roman" w:hAnsi="Times New Roman" w:eastAsia="黑体" w:cs="Times New Roman"/>
          <w:sz w:val="32"/>
          <w:szCs w:val="32"/>
        </w:rPr>
      </w:pPr>
    </w:p>
    <w:p w14:paraId="5CC1BE87">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590E5C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5D5223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3DB4741">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986F5F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7FACC6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874973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0D5E32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3B3545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FFA634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778155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20D35C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DB830D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20CD518">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470045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4A5E53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0E2B10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5356391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8BC84A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F7CCE6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5CE66F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3CC6AC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A55E19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80AFDA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C5A11EF">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keepNext w:val="0"/>
        <w:keepLines w:val="0"/>
        <w:pageBreakBefore w:val="0"/>
        <w:widowControl w:val="0"/>
        <w:kinsoku/>
        <w:wordWrap/>
        <w:overflowPunct/>
        <w:topLinePunct w:val="0"/>
        <w:bidi w:val="0"/>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12D57DA">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C28B66D">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0EA129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1、宣传贯彻执行党的路线方针政策和党中央、上级党组织 及本乡党员代表大会（党员大会）的决议。贯彻执行法律、法规、规章和上级人民代表大会及其常务委员会决议及上级政府的决 定、命令，执行本级人民代表大会的决议。 2、讨论和决定本乡经济建设、政治建设、文化建设、社会 建设、生态文明建设和党的建设以及乡村振兴中的重大问题。 3、组织召开本级人民代表大会，充分行使重大事项决定权、 监督权和任免权，做好人大代表工作，联系选民、反映群众意见 和要求。 4、执行本行政区域内的经济和社会发展计划，预算，管理 本行政区域内的经济、教育、科学、文化、卫生健康、体育事业 和财政、统计、民政、司法行政等行政工作。落实本级行政区域内发展规划、专项规划、区域规划、国土空间规划。 5、乡党委领导乡政权机关、群团组织和其他各类组织，加 强指导和规范，支持和保证这些机关和组织依照国家法律法规以 及各自章程履行职责。坚持党管武装的根本原则和制度，协调各方力量，对乡人民武装工作实行统一领导。 6、加强乡党委自身建设和村党组织建设，以及其他隶属乡 党委的党组织建设，抓好发展党员工作，加强党员队伍建设。维护和执行党的纪律，监督党员干部和其他任何工作人员严格遵守国家法律法规。 7、按照干部管理权限，负责对干部的教育、培训、选拔、 考核和监督工作。协助管理上级有关部门驻乡单位的干部。做好人才服务工作。 8、领导本乡的基层治理，加强社会主义民主法治建设和精 神文明建设，加强社会治安综合治理，做好应急管理、生态环保、乡村振兴、民生保障、脱贫致富、民族宗教、防范邪教等工作。承担民兵预备役、征兵、退役军人服务、拥军优属等工作。 9、保护社会主义全民所有的财产和劳动群众集体所有的财产，保护公民私人所有的合法财产，维护社会秩序，保障公民的 人身权利、民主权利和其他权利。保护各种经济组织的合法权益。 保障各少数民族的合法权利和利益，尊重少数民族的风俗习惯。保障宪法和法律赋予妇女的男女平等、同工同酬和婚姻自由等各项权利。 10、承办上级党委、人大、政府交办的其他事项。</w:t>
      </w:r>
    </w:p>
    <w:p w14:paraId="17F52D74">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1E6D6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val="en-US"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石家庄市鹿泉区上寨乡人民政府(本级)</w:t>
            </w:r>
          </w:p>
        </w:tc>
        <w:tc>
          <w:tcPr>
            <w:tcW w:w="2445" w:type="dxa"/>
          </w:tcPr>
          <w:p w14:paraId="2E443189">
            <w:pPr>
              <w:keepNext w:val="0"/>
              <w:keepLines w:val="0"/>
              <w:pageBreakBefore w:val="0"/>
              <w:widowControl w:val="0"/>
              <w:kinsoku/>
              <w:wordWrap/>
              <w:overflowPunct/>
              <w:topLinePunct w:val="0"/>
              <w:bidi w:val="0"/>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keepNext w:val="0"/>
        <w:keepLines w:val="0"/>
        <w:pageBreakBefore w:val="0"/>
        <w:widowControl w:val="0"/>
        <w:kinsoku/>
        <w:wordWrap/>
        <w:overflowPunct/>
        <w:topLinePunct w:val="0"/>
        <w:bidi w:val="0"/>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D0B66A7">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01D1C2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keepNext w:val="0"/>
        <w:keepLines w:val="0"/>
        <w:pageBreakBefore w:val="0"/>
        <w:widowControl w:val="0"/>
        <w:kinsoku/>
        <w:wordWrap/>
        <w:overflowPunct/>
        <w:topLinePunct w:val="0"/>
        <w:bidi w:val="0"/>
        <w:rPr>
          <w:rFonts w:hint="default"/>
          <w:lang w:val="en-US" w:eastAsia="zh-CN"/>
        </w:rPr>
      </w:pPr>
    </w:p>
    <w:p w14:paraId="500E5C00">
      <w:pPr>
        <w:keepNext w:val="0"/>
        <w:keepLines w:val="0"/>
        <w:pageBreakBefore w:val="0"/>
        <w:widowControl w:val="0"/>
        <w:kinsoku/>
        <w:wordWrap/>
        <w:overflowPunct/>
        <w:topLinePunct w:val="0"/>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keepNext w:val="0"/>
              <w:keepLines w:val="0"/>
              <w:pageBreakBefore w:val="0"/>
              <w:widowControl w:val="0"/>
              <w:kinsoku/>
              <w:wordWrap/>
              <w:overflowPunct/>
              <w:topLinePunct w:val="0"/>
              <w:bidi w:val="0"/>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262" w:type="pct"/>
            <w:gridSpan w:val="2"/>
            <w:tcBorders>
              <w:top w:val="nil"/>
              <w:left w:val="nil"/>
              <w:bottom w:val="single" w:color="000000" w:themeColor="text1" w:sz="8" w:space="0"/>
              <w:right w:val="nil"/>
            </w:tcBorders>
            <w:noWrap/>
            <w:vAlign w:val="bottom"/>
          </w:tcPr>
          <w:p w14:paraId="639086C5">
            <w:pPr>
              <w:keepNext w:val="0"/>
              <w:keepLines w:val="0"/>
              <w:pageBreakBefore w:val="0"/>
              <w:widowControl w:val="0"/>
              <w:kinsoku/>
              <w:wordWrap/>
              <w:overflowPunct/>
              <w:topLinePunct w:val="0"/>
              <w:bidi w:val="0"/>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keepNext w:val="0"/>
              <w:keepLines w:val="0"/>
              <w:pageBreakBefore w:val="0"/>
              <w:widowControl w:val="0"/>
              <w:kinsoku/>
              <w:wordWrap/>
              <w:overflowPunct/>
              <w:topLinePunct w:val="0"/>
              <w:bidi w:val="0"/>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1,221.18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895.51</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pageBreakBefore w:val="0"/>
              <w:widowControl w:val="0"/>
              <w:suppressLineNumbers w:val="0"/>
              <w:kinsoku/>
              <w:wordWrap/>
              <w:overflowPunct/>
              <w:topLinePunct w:val="0"/>
              <w:bidi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keepNext w:val="0"/>
              <w:keepLines w:val="0"/>
              <w:pageBreakBefore w:val="0"/>
              <w:widowControl w:val="0"/>
              <w:kinsoku/>
              <w:wordWrap/>
              <w:overflowPunct/>
              <w:topLinePunct w:val="0"/>
              <w:bidi w:val="0"/>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p>
        </w:tc>
        <w:tc>
          <w:tcPr>
            <w:tcW w:w="3405" w:type="dxa"/>
            <w:gridSpan w:val="4"/>
            <w:tcBorders>
              <w:top w:val="nil"/>
              <w:left w:val="nil"/>
              <w:bottom w:val="single" w:color="000000" w:themeColor="text1" w:sz="8" w:space="0"/>
              <w:right w:val="nil"/>
            </w:tcBorders>
            <w:noWrap/>
            <w:vAlign w:val="bottom"/>
          </w:tcPr>
          <w:p w14:paraId="5EEF04C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keepNext w:val="0"/>
              <w:keepLines w:val="0"/>
              <w:pageBreakBefore w:val="0"/>
              <w:widowControl w:val="0"/>
              <w:kinsoku/>
              <w:wordWrap/>
              <w:overflowPunct/>
              <w:topLinePunct w:val="0"/>
              <w:bidi w:val="0"/>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pageBreakBefore w:val="0"/>
              <w:widowControl w:val="0"/>
              <w:suppressLineNumbers w:val="0"/>
              <w:kinsoku/>
              <w:wordWrap/>
              <w:overflowPunct/>
              <w:topLinePunct w:val="0"/>
              <w:bidi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2,385.07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2,365.74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19.33</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74E7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6B55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7C5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B14D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206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24B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21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FF68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DBF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135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7740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34B7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50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E7C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EA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7B8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078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0309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F0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08F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27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F5F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1F06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5B9A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47E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99C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9C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6B3A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F37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BF5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168B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1BC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E87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ED9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DD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021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7674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DF23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91D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B4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EE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D1E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9A9D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8207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240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64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C5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9F6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4B1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3A9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E5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24C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AFF6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6B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080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A98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F7F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ABA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738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1D4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959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2BDB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2F1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A1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E0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A0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F0E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DF3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773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FB7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AC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58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AB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26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2C2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1B7C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44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58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66E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FDE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A8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09F3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2F45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FA6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267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DF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183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746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352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242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4A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F51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8B76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143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0B1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5A2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21B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044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42F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44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10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EBC4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ED28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图书馆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C65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563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2C4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E0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B1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41B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2FB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66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34F9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18F4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D1D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A5E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AF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DB7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98E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BFE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32B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BA0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2A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81B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53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B5C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BDF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D79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58D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A44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77B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5D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138F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A6BA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B05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CA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76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B46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1A9D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158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557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6D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E10B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943B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49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D9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1E7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594F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E8E8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0B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4548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0F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E351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EC2E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2704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86BC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38B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AC4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C7B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141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27A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E56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39F1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2AC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317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F7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7A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8C4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313D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A05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304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EB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E170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04E9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BC2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7C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DAA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91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FFF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B6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B15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A4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38CE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844A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98A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68A1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F95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78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B24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4AA4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39A1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6C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157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11E1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670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DC7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7B1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C46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185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FB3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27D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DD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918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41B8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5D1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244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F31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C1A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409F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30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623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33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3EB6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B24A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901C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B6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BF1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EA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271A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2D9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67D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4CE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B4C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9282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A40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CD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6B5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C7D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FF9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16C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9306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50AF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88F7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F36D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44E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AA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C400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29A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D4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FAC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B6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64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4713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DD28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00C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72B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64C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414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D25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6E2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4D7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37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FAA7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C39D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168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EBB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892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770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DE8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357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4A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037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2AAD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83A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06A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9BB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3D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C61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1DF5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4F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8B2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9F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C584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A6EF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C8D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88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C71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C99C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15F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1979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B4F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1D282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F9E9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402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DCA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6E0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A08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4A52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B11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8DB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344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52E0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7C41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4627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E72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A4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71F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47A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FB3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B56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DC9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24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6F7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9B4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DCF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2904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A4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BD5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3767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E18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D62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219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4137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22F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BCD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9D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032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1E7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97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6F8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693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627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B007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E6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4E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CC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A7B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76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931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32C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29A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4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680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8DCA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3FD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AE4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95D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CEF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51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341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2D4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47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42D9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1EBA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B2B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4B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BC1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648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77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5AB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1E9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keepNext w:val="0"/>
        <w:keepLines w:val="0"/>
        <w:pageBreakBefore w:val="0"/>
        <w:widowControl w:val="0"/>
        <w:kinsoku/>
        <w:wordWrap/>
        <w:overflowPunct/>
        <w:topLinePunct w:val="0"/>
        <w:bidi w:val="0"/>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pageBreakBefore w:val="0"/>
              <w:widowControl w:val="0"/>
              <w:suppressLineNumbers w:val="0"/>
              <w:kinsoku/>
              <w:wordWrap/>
              <w:overflowPunct/>
              <w:topLinePunct w:val="0"/>
              <w:bidi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pageBreakBefore w:val="0"/>
              <w:widowControl w:val="0"/>
              <w:suppressLineNumbers w:val="0"/>
              <w:kinsoku/>
              <w:wordWrap/>
              <w:overflowPunct/>
              <w:topLinePunct w:val="0"/>
              <w:bidi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913.89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E4BA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DA4A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A89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305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156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A40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6D8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81E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6FC0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AAE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7E45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7FFB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B90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5A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E4D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87C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27B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815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8C85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A2D3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2A6A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4D3E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21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0F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F5C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E66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EE3D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9D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293E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5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385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059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E322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61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44F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A0E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9DC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7AF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0C7D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1C8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B31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F9C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06B3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CC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8BA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5DF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CE38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883F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98A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5FF4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D01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E10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23D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EDE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2D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99B8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DF78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529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5FE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840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D61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573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B16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99A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FA3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817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1EA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E13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5C0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060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E5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141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0B8F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0A3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4242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8C1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57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E81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CD39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4D4F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A0E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9D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6A80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8551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21D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D16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C32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7339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0A3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2B4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D521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92DA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3052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970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CF0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6D7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5F76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6E1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A367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05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20EF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2FF3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F434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E3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D6E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F24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83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492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52C6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6F42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E8BC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192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D240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DA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84C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136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15B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9C5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70B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D3AB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1DE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6CB2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E0B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9D12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AD5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D8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8EA2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D385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BC0E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78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12A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89E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4FC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438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628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4914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0174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A821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414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1F0F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EB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0FD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558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786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30E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DBF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9F38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52C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B1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215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409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928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C8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DD9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218E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092B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65F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E62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573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615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D83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511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B9D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43B2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953A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FFB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936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03E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AF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28E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6F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63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AF8E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48FE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D87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0E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28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95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55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359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957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8C03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F65E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2DA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195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021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41B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96F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B065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D40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F16F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C02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B1A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44A3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6904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60C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CEC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A7C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D5C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6510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9AED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D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431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484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4F3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08E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6B9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81E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E00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427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B66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D1E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263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554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981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0D7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05D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9B4F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64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7AE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4B1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DD2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242B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ECA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2C2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C92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851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6C6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46B8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36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588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47F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39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9BF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158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17F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CBC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F9D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D6E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D40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2DA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E1C7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BB1A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12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20B1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3BF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99B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FC2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DBE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93E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D8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BAE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D77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90E6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8130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50F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0E1E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FE6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D2A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98E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1B5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CC23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A41E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2927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ADB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5F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E16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8D6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DFE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26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9E2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E669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61EF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614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A19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3DC4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CD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306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E8C3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746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0BDC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8290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604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57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38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C49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CF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4E2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815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5467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C482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5A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BE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320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D31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89E5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A13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D97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A54B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3DD8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64C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E8F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43E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30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DAB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D78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25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8CB0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4A3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6B0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E7C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9DE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710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C445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28D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14:paraId="3C9CE9C1">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keepNext w:val="0"/>
              <w:keepLines w:val="0"/>
              <w:pageBreakBefore w:val="0"/>
              <w:widowControl w:val="0"/>
              <w:kinsoku/>
              <w:wordWrap/>
              <w:overflowPunct/>
              <w:topLinePunct w:val="0"/>
              <w:bidi w:val="0"/>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keepNext w:val="0"/>
              <w:keepLines w:val="0"/>
              <w:pageBreakBefore w:val="0"/>
              <w:widowControl w:val="0"/>
              <w:kinsoku/>
              <w:wordWrap/>
              <w:overflowPunct/>
              <w:topLinePunct w:val="0"/>
              <w:bidi w:val="0"/>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keepNext w:val="0"/>
              <w:keepLines w:val="0"/>
              <w:pageBreakBefore w:val="0"/>
              <w:widowControl w:val="0"/>
              <w:kinsoku/>
              <w:wordWrap/>
              <w:overflowPunct/>
              <w:topLinePunct w:val="0"/>
              <w:bidi w:val="0"/>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keepNext w:val="0"/>
              <w:keepLines w:val="0"/>
              <w:pageBreakBefore w:val="0"/>
              <w:widowControl w:val="0"/>
              <w:kinsoku/>
              <w:wordWrap/>
              <w:overflowPunct/>
              <w:topLinePunct w:val="0"/>
              <w:bidi w:val="0"/>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keepNext w:val="0"/>
              <w:keepLines w:val="0"/>
              <w:pageBreakBefore w:val="0"/>
              <w:widowControl w:val="0"/>
              <w:kinsoku/>
              <w:wordWrap/>
              <w:overflowPunct/>
              <w:topLinePunct w:val="0"/>
              <w:bidi w:val="0"/>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keepNext w:val="0"/>
              <w:keepLines w:val="0"/>
              <w:pageBreakBefore w:val="0"/>
              <w:widowControl w:val="0"/>
              <w:kinsoku/>
              <w:wordWrap/>
              <w:overflowPunct/>
              <w:topLinePunct w:val="0"/>
              <w:bidi w:val="0"/>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keepNext w:val="0"/>
              <w:keepLines w:val="0"/>
              <w:pageBreakBefore w:val="0"/>
              <w:widowControl w:val="0"/>
              <w:kinsoku/>
              <w:wordWrap/>
              <w:overflowPunct/>
              <w:topLinePunct w:val="0"/>
              <w:bidi w:val="0"/>
              <w:jc w:val="right"/>
              <w:rPr>
                <w:rFonts w:hint="default" w:ascii="Times New Roman" w:hAnsi="Times New Roman" w:cs="Times New Roman"/>
                <w:sz w:val="20"/>
                <w:szCs w:val="20"/>
                <w:highlight w:val="none"/>
              </w:rPr>
            </w:pPr>
          </w:p>
          <w:p w14:paraId="5E47E1DC">
            <w:pPr>
              <w:keepNext w:val="0"/>
              <w:keepLines w:val="0"/>
              <w:pageBreakBefore w:val="0"/>
              <w:widowControl w:val="0"/>
              <w:kinsoku/>
              <w:wordWrap/>
              <w:overflowPunct/>
              <w:topLinePunct w:val="0"/>
              <w:bidi w:val="0"/>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2,365.74</w:t>
            </w:r>
          </w:p>
          <w:p w14:paraId="46956FD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2"/>
        <w:gridCol w:w="3280"/>
        <w:gridCol w:w="1033"/>
        <w:gridCol w:w="505"/>
        <w:gridCol w:w="528"/>
        <w:gridCol w:w="365"/>
        <w:gridCol w:w="119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pageBreakBefore w:val="0"/>
              <w:widowControl w:val="0"/>
              <w:suppressLineNumbers w:val="0"/>
              <w:kinsoku/>
              <w:wordWrap/>
              <w:overflowPunct/>
              <w:topLinePunct w:val="0"/>
              <w:bidi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pageBreakBefore w:val="0"/>
              <w:widowControl w:val="0"/>
              <w:suppressLineNumbers w:val="0"/>
              <w:kinsoku/>
              <w:wordWrap/>
              <w:overflowPunct/>
              <w:topLinePunct w:val="0"/>
              <w:bidi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913.89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1,451.85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470.30</w:t>
            </w:r>
          </w:p>
        </w:tc>
      </w:tr>
      <w:tr w14:paraId="032B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7A69A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4D9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377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1,210.85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7B3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AA60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r>
      <w:tr w14:paraId="4437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B2F9C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0652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188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302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AAA8F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61E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4CE51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4A41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1E3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CC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21CB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r>
      <w:tr w14:paraId="5583F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55065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A6D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B6B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680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0830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E5C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9A73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8B3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C5A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6D0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4721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AD71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24AB1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8289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2E4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0C7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381D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7F7D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0B22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A5EF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042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760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97373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6C8F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ECCA4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4E1E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75D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A92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19E9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79C7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43E39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E13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6D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0CA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13155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78D3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07F20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979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92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FEF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8974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9F1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0076D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DCB8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A27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18E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DBAD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F12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9B73D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CC1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A5A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5C1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9D76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13.60</w:t>
            </w:r>
          </w:p>
        </w:tc>
      </w:tr>
      <w:tr w14:paraId="6923B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E0B66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1C51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0DD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E0F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370C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1ACF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804A3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F19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5D3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C9C4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FF52F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FAFA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8CC32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CE2E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3C1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02C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812C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011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BAD2F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3E33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C577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F21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22E0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r>
      <w:tr w14:paraId="57C8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289DF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B3FA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D12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1BEA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AC56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r>
      <w:tr w14:paraId="56FD9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8E56A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FE33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9F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27E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DFD9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r>
      <w:tr w14:paraId="3363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0E9C9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F14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8944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583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66F2B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r>
      <w:tr w14:paraId="344D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C2E3B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3DCA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13A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040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DF887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8B4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2BF12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8A7A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FBF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CF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1C9A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6F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A5ABF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13FE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E6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950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5A7B2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35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745E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E3CC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2EE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885.51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A334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2A75A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885.51</w:t>
            </w:r>
          </w:p>
        </w:tc>
      </w:tr>
      <w:tr w14:paraId="58160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D7A72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64E5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E7E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930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46E9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r>
      <w:tr w14:paraId="7177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FD417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F0C8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8BE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DAA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5057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r>
      <w:tr w14:paraId="1DE15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7E10F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C5E6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C1D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CBAE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9FB0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14E6C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18172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0AA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295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1F2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F9BC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46427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098B9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118D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D67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EF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B822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r>
      <w:tr w14:paraId="36BC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90E78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E6CE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C93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6A2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B3F2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r>
      <w:tr w14:paraId="3A23E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B9EBE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D5F6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B3C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334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7409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7E07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0869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29E5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072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06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7D8D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21764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3DEB5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577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85C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1BC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B843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4900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9316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6A2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2EC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50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1D42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EE8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7D515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4E15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A67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2EE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59B7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4C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62490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984E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3B1B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9D8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4D99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pageBreakBefore w:val="0"/>
              <w:widowControl w:val="0"/>
              <w:suppressLineNumbers w:val="0"/>
              <w:kinsoku/>
              <w:wordWrap/>
              <w:overflowPunct/>
              <w:topLinePunct w:val="0"/>
              <w:bidi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pageBreakBefore w:val="0"/>
              <w:widowControl w:val="0"/>
              <w:suppressLineNumbers w:val="0"/>
              <w:kinsoku/>
              <w:wordWrap/>
              <w:overflowPunct/>
              <w:topLinePunct w:val="0"/>
              <w:bidi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pageBreakBefore w:val="0"/>
              <w:widowControl w:val="0"/>
              <w:suppressLineNumbers w:val="0"/>
              <w:kinsoku/>
              <w:wordWrap/>
              <w:overflowPunct/>
              <w:topLinePunct w:val="0"/>
              <w:bidi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部门（单位）：石家庄市鹿泉区上寨乡人民政府(本级)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pageBreakBefore w:val="0"/>
              <w:widowControl w:val="0"/>
              <w:suppressLineNumbers w:val="0"/>
              <w:kinsoku/>
              <w:wordWrap/>
              <w:overflowPunct/>
              <w:topLinePunct w:val="0"/>
              <w:bidi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pageBreakBefore w:val="0"/>
              <w:widowControl w:val="0"/>
              <w:suppressLineNumbers w:val="0"/>
              <w:kinsoku/>
              <w:wordWrap/>
              <w:overflowPunct/>
              <w:topLinePunct w:val="0"/>
              <w:bidi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718.44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185.13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174.35</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124.75</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97.74</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157.15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12.96</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61.87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32.38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67.77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0.48</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100.67</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6.85</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5.62</w:t>
            </w:r>
          </w:p>
        </w:tc>
        <w:tc>
          <w:tcPr>
            <w:tcW w:w="666" w:type="dxa"/>
            <w:tcBorders>
              <w:top w:val="nil"/>
              <w:left w:val="nil"/>
              <w:bottom w:val="single" w:color="000000" w:sz="8" w:space="0"/>
              <w:right w:val="single" w:color="000000" w:sz="8" w:space="0"/>
            </w:tcBorders>
            <w:shd w:val="clear" w:color="auto" w:fill="auto"/>
            <w:noWrap/>
            <w:vAlign w:val="center"/>
          </w:tcPr>
          <w:p w14:paraId="4FB3F85B">
            <w:pPr>
              <w:keepNext w:val="0"/>
              <w:keepLines w:val="0"/>
              <w:pageBreakBefore w:val="0"/>
              <w:widowControl w:val="0"/>
              <w:kinsoku/>
              <w:wordWrap/>
              <w:overflowPunct/>
              <w:topLinePunct w:val="0"/>
              <w:bidi w:val="0"/>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keepNext w:val="0"/>
              <w:keepLines w:val="0"/>
              <w:pageBreakBefore w:val="0"/>
              <w:widowControl w:val="0"/>
              <w:kinsoku/>
              <w:wordWrap/>
              <w:overflowPunct/>
              <w:topLinePunct w:val="0"/>
              <w:bidi w:val="0"/>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keepNext w:val="0"/>
              <w:keepLines w:val="0"/>
              <w:pageBreakBefore w:val="0"/>
              <w:widowControl w:val="0"/>
              <w:kinsoku/>
              <w:wordWrap/>
              <w:overflowPunct/>
              <w:topLinePunct w:val="0"/>
              <w:bidi w:val="0"/>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728.76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185.13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keepNext w:val="0"/>
              <w:keepLines w:val="0"/>
              <w:pageBreakBefore w:val="0"/>
              <w:widowControl w:val="0"/>
              <w:kinsoku/>
              <w:wordWrap/>
              <w:overflowPunct/>
              <w:topLinePunct w:val="0"/>
              <w:bidi w:val="0"/>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pageBreakBefore w:val="0"/>
              <w:widowControl w:val="0"/>
              <w:suppressLineNumbers w:val="0"/>
              <w:kinsoku/>
              <w:wordWrap/>
              <w:overflowPunct/>
              <w:topLinePunct w:val="0"/>
              <w:bidi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keepNext w:val="0"/>
              <w:keepLines w:val="0"/>
              <w:pageBreakBefore w:val="0"/>
              <w:widowControl w:val="0"/>
              <w:kinsoku/>
              <w:wordWrap/>
              <w:overflowPunct/>
              <w:topLinePunct w:val="0"/>
              <w:bidi w:val="0"/>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部门（单位）：石家庄市鹿泉区上寨乡人民政府(本级)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37BF5BA">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3483309">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0520D1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本单位2025年度收、支总计（含结转和结余）均为2,385.07万元。与2024年度决算相比，收支各增加389.72万元，增长19.5%，主要原因是2025年度项目收支增加，且2025年度人员增多，人员经费增加。</w:t>
      </w:r>
    </w:p>
    <w:p w14:paraId="55CC107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1DDF514">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C99253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2,385.07万元，其中：财政拨款收入2,365.74万元，占99.2%；上级补助收入0.00万元，占0.0%；事业收入0.00万元，占0.0%；经营收入0.00万元，占0.0%；附属单位上缴收入0.00万元，占0.0%；其他收入19.33万元，占0.8%。</w:t>
      </w:r>
    </w:p>
    <w:p w14:paraId="3EDA1CE7">
      <w:pPr>
        <w:keepNext w:val="0"/>
        <w:keepLines w:val="0"/>
        <w:pageBreakBefore w:val="0"/>
        <w:widowControl w:val="0"/>
        <w:kinsoku/>
        <w:wordWrap/>
        <w:overflowPunct/>
        <w:topLinePunct w:val="0"/>
        <w:bidi w:val="0"/>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F0432DA">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C59C75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本单位2025年度本年支出合计2,385.07万元，其中：基本支出913.89万元，占38.3%；项目支出1,471.18万元，占61.7%；经营支出0.00万元，占0.0%；上缴上级支出0.00万元，占0.0%；对附属单位补助支出0.00万元，占0.0%。</w:t>
      </w:r>
    </w:p>
    <w:p w14:paraId="1EDB8620">
      <w:pPr>
        <w:keepNext w:val="0"/>
        <w:keepLines w:val="0"/>
        <w:pageBreakBefore w:val="0"/>
        <w:widowControl w:val="0"/>
        <w:kinsoku/>
        <w:wordWrap/>
        <w:overflowPunct/>
        <w:topLinePunct w:val="0"/>
        <w:autoSpaceDE w:val="0"/>
        <w:autoSpaceDN w:val="0"/>
        <w:bidi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D0F5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360C97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9D47D3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本单位2025年度财政拨款收、支总计（含结转和结余）均为2,365.74万元。与2024年度相比，财政拨款收支各增加370.39万元，增长18.6%，主要原因是2025年度项目收支增加，且2025年度人员增多，人员经费增加。</w:t>
      </w:r>
    </w:p>
    <w:p w14:paraId="359EA13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2,365.74万元,比上年增加370.39万元，增长18.6%，主要原因是2025年度项目收入增加，且2025年度人员增多，人员经费增加；本年支出2,365.74万元，比上年增加370.39万元，增长18.6%，主要原因是2025年度项目收支增加，且2025年度人员增多，人员经费增加。具体情况如下：</w:t>
      </w:r>
    </w:p>
    <w:p w14:paraId="2735DA5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2,365.74万元,比上年增加370.39万元，增长18.6%，主要原因是2025年度一般公共预算类项目收支增加，且2025年度人员增多，人员经费增加；本年支出2,365.74万元，比上年增加370.39万元，增长18.6%，主要原因是2025年度一般公共预算类项目收支增加，且2025年度人员增多，人员经费增加。</w:t>
      </w:r>
    </w:p>
    <w:p w14:paraId="38B3B26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2024、2025年度本单位均无政府性基金预算；本年支出0.00万元，比上年增加0.00万元，增长0.00%，主要原因是2024、2025年度本单位均无政府性基金预算。</w:t>
      </w:r>
    </w:p>
    <w:p w14:paraId="634E16C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本年无国有资本经营预算财政拨款收入和支出，较年初预 算无增减变化。 </w:t>
      </w:r>
    </w:p>
    <w:p w14:paraId="5737523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71D35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2D5B93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2,365.74万元，完成年初预算的96.2%，比年初预算减少92.60万元，决算数小于预算数主要原因是2025年项目减少，主要是政府性基金项目减少；本年支出2,365.74万元，完成年初预算的96.2%，比年初预算减少92.60万元，决算数小于预算数主要原因是2025年项目减少，主要是政府性基金项目减少。具体情况如下：</w:t>
      </w:r>
    </w:p>
    <w:p w14:paraId="7BA551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102.3%，比年初预算增加52.40万元，主要原因是一般公共预算财政拨款类项目增加，人员增加；支出完成年初预算的102.3%，比年初预算增加52.40万元，主要原因是一般公共预算财政拨款类项目增加，人员增加。</w:t>
      </w:r>
    </w:p>
    <w:p w14:paraId="490DE4B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政府性基金预算财政拨款本年收入完成年初预算的0.0%，比年初预算减少145.00万元，主要原因是政府性基金项目减少；支出完成年初预算的0.0%，比年初预算减少145.00万元，主要原因是政府性基金项目减少。</w:t>
      </w:r>
    </w:p>
    <w:p w14:paraId="7685292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本年无国有资本经营预算财政拨款收入和支出，较年初预 算无增减变化。</w:t>
      </w:r>
    </w:p>
    <w:p w14:paraId="5BE36D1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E364E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56B39EE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2025年度财政拨款支出2,365.74万元，主要用于以下方面：</w:t>
      </w:r>
    </w:p>
    <w:p w14:paraId="483CA77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14BB6F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1,211.85万元，占51.2%，主要用于人员经费、办公经费、办公楼加固修缮项目等支出；教育（类）支出76.44万元，占3.2%，主要用于学校临聘代课教师工资等支出；文化旅游体育与传媒（类）支出1.00万元，占0.0%，主要用于三馆一站文化活动费用等支出；社会保障和就业 （类）支出85.79万元，占3.6%，主要用于本单位工作人员社保缴费等支出；卫生健康（类）支出32.38万元，占1.4%，主要用于本单位工作人员医保缴费等支出；城乡社区（类）支出885.51万元，占37.4%，主要用于西山绿化项目等支出；农林水（类）支出5.00万元，占0.2%，主要用于北寨引岗渠坍塌抢险项目等支出；住房保障（类）支出67.77万元，占2.9%，主要用于住房公积金缴纳等支出</w:t>
      </w:r>
      <w:r>
        <w:rPr>
          <w:rFonts w:hint="eastAsia" w:ascii="Times New Roman" w:eastAsia="仿宋_GB2312"/>
          <w:b w:val="0"/>
          <w:sz w:val="32"/>
          <w:szCs w:val="32"/>
          <w:lang w:eastAsia="zh-CN"/>
        </w:rPr>
        <w:t>。</w:t>
      </w:r>
    </w:p>
    <w:p w14:paraId="2DE2A7E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hint="eastAsia" w:ascii="Times New Roman" w:eastAsia="仿宋_GB2312"/>
          <w:b/>
          <w:sz w:val="32"/>
          <w:szCs w:val="32"/>
          <w:lang w:val="en-US" w:eastAsia="zh-CN"/>
        </w:rPr>
        <w:t>无</w:t>
      </w:r>
      <w:r>
        <w:rPr>
          <w:rFonts w:ascii="Times New Roman" w:eastAsia="仿宋_GB2312"/>
          <w:b/>
          <w:sz w:val="32"/>
          <w:szCs w:val="32"/>
        </w:rPr>
        <w:t>政府性基金预算财政拨款支出</w:t>
      </w:r>
      <w:r>
        <w:rPr>
          <w:rFonts w:hint="eastAsia" w:ascii="Times New Roman" w:eastAsia="仿宋_GB2312"/>
          <w:b/>
          <w:sz w:val="32"/>
          <w:szCs w:val="32"/>
          <w:lang w:eastAsia="zh-CN"/>
        </w:rPr>
        <w:t>。</w:t>
      </w:r>
    </w:p>
    <w:p w14:paraId="759F43D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hint="eastAsia" w:ascii="Times New Roman" w:eastAsia="仿宋_GB2312"/>
          <w:b/>
          <w:sz w:val="32"/>
          <w:szCs w:val="32"/>
          <w:lang w:val="en-US" w:eastAsia="zh-CN"/>
        </w:rPr>
        <w:t>无</w:t>
      </w:r>
      <w:r>
        <w:rPr>
          <w:rFonts w:ascii="Times New Roman" w:eastAsia="仿宋_GB2312"/>
          <w:b/>
          <w:sz w:val="32"/>
          <w:szCs w:val="32"/>
        </w:rPr>
        <w:t>国有资本经营预算财政拨款支出</w:t>
      </w:r>
      <w:r>
        <w:rPr>
          <w:rFonts w:hint="eastAsia" w:ascii="Times New Roman" w:eastAsia="仿宋_GB2312"/>
          <w:b/>
          <w:sz w:val="32"/>
          <w:szCs w:val="32"/>
          <w:lang w:eastAsia="zh-CN"/>
        </w:rPr>
        <w:t>。</w:t>
      </w:r>
    </w:p>
    <w:p w14:paraId="312963E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314629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2025年度财政拨款基本支出913.89万元，其中：</w:t>
      </w:r>
    </w:p>
    <w:p w14:paraId="3622D1C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728.76万元，主要包括基本工资、津贴补贴、奖金、伙食补助费、绩效工资、机关事业部门基本养老保险缴费、职业年金缴费、职工基本医疗保险缴费、公务员医疗补助缴费、住房公积金、其他社会保障缴费、退休费、生活补助、医疗费补助、奖励金、其他对个人和家庭的补助支出。</w:t>
      </w:r>
    </w:p>
    <w:p w14:paraId="5DA1032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公用经费185.13万元，主要包括办公费、印刷费、手续费、水费、电费、邮电费、取暖费、物业管理费、差旅费、维修（护）费、租赁费、会议费、劳务费、委托业务费、工会经费、福利费、公务用车运行维护费、其他交通费用、税金及附加费用、其他商品和服务支出、办公设备购置、专用设备购置、其他资本性支出。</w:t>
      </w:r>
    </w:p>
    <w:p w14:paraId="531C30A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五、财政拨款“三公” 经费支出决算情况说明</w:t>
      </w:r>
    </w:p>
    <w:p w14:paraId="76E73E1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000B21B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本单位2025年度“三公”经费财政拨款支出预算为4.00万元，支出决算为4.00万元，完成预算的</w:t>
      </w:r>
      <w:r>
        <w:rPr>
          <w:rFonts w:hint="eastAsia" w:ascii="Times New Roman" w:eastAsia="仿宋_GB2312"/>
          <w:b w:val="0"/>
          <w:sz w:val="32"/>
          <w:szCs w:val="32"/>
          <w:lang w:eastAsia="zh-CN"/>
        </w:rPr>
        <w:t>100%</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；较2024年度决算减少1.40万元，降低25.9%，主要原因是2025年度本单位报废公车2辆，调入公车1辆。</w:t>
      </w:r>
    </w:p>
    <w:p w14:paraId="1EDC6C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FA1BECB">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本单位2025年度因公出国（境）费支出预算为0万元,支出决算0万元。因公出国（境）团组0个、共0人、参加其他单位组织的因公出国（境）团组0个、共0人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val="en-US" w:eastAsia="zh-CN"/>
        </w:rPr>
        <w:t>单位</w:t>
      </w:r>
      <w:r>
        <w:rPr>
          <w:rFonts w:ascii="Times New Roman" w:eastAsia="仿宋_GB2312"/>
          <w:b w:val="0"/>
          <w:sz w:val="32"/>
          <w:szCs w:val="32"/>
        </w:rPr>
        <w:t>组织的出国（境）团组。</w:t>
      </w:r>
    </w:p>
    <w:p w14:paraId="580F3F1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本单位2025年度公务用车购置及运行维护费预算为4.00万元，支出决算4.00万元，完成预算的</w:t>
      </w:r>
      <w:r>
        <w:rPr>
          <w:rFonts w:hint="eastAsia" w:ascii="Times New Roman" w:eastAsia="仿宋_GB2312"/>
          <w:b w:val="0"/>
          <w:sz w:val="32"/>
          <w:szCs w:val="32"/>
          <w:lang w:eastAsia="zh-CN"/>
        </w:rPr>
        <w:t>100%</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；较上年减少1.40万元，降低25.9%,主要原因是2025年度本单位报废公车2辆，调入公车1辆。其中：</w:t>
      </w:r>
    </w:p>
    <w:p w14:paraId="1F1CB10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公务用车购置费支出0万元：</w:t>
      </w:r>
      <w:r>
        <w:rPr>
          <w:rFonts w:ascii="Times New Roman" w:eastAsia="仿宋_GB2312"/>
          <w:b w:val="0"/>
          <w:sz w:val="32"/>
          <w:szCs w:val="32"/>
        </w:rPr>
        <w:t>与年初预算和2024年 度决算持平。购置量0辆，</w:t>
      </w:r>
      <w:r>
        <w:rPr>
          <w:rFonts w:hint="eastAsia" w:ascii="Times New Roman" w:eastAsia="仿宋_GB2312"/>
          <w:b w:val="0"/>
          <w:sz w:val="32"/>
          <w:szCs w:val="32"/>
          <w:lang w:val="en-US" w:eastAsia="zh-CN"/>
        </w:rPr>
        <w:t>未</w:t>
      </w:r>
      <w:r>
        <w:rPr>
          <w:rFonts w:ascii="Times New Roman" w:eastAsia="仿宋_GB2312"/>
          <w:b w:val="0"/>
          <w:sz w:val="32"/>
          <w:szCs w:val="32"/>
        </w:rPr>
        <w:t>发生“公务用车购置”经费支出。与年初预算和2024年 度决算持平。</w:t>
      </w:r>
    </w:p>
    <w:p w14:paraId="50F28BD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公务用车运行维护费支出4.00万元：</w:t>
      </w:r>
      <w:r>
        <w:rPr>
          <w:rFonts w:ascii="Times New Roman" w:eastAsia="仿宋_GB2312"/>
          <w:b w:val="0"/>
          <w:sz w:val="32"/>
          <w:szCs w:val="32"/>
        </w:rPr>
        <w:t>本单位2025年度单位公务用车保有量1辆，发生运行维护费支出4.00万元。公车运行维护费支出较预算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；较上年减少1.40万元，降低25.9%，主要原因是2025年度本单位报废公车2辆，调入公车1辆。</w:t>
      </w:r>
    </w:p>
    <w:p w14:paraId="17EE86A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 算为0万元，支出决算0万元。本年度共发生公务接待0批次、0人次。公务接待费支出较预算和上年决算持平。</w:t>
      </w:r>
    </w:p>
    <w:p w14:paraId="059A6E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C6FDE9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本单位2025年度机关运行经费支出185.13万元，较2024年度减少0.57万元，降低0.3%。主要原因是严格控制经费支出，厉行节约。</w:t>
      </w:r>
    </w:p>
    <w:p w14:paraId="6A45771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D1DD58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589.14万元，从采购类型来看，政府采购货物支出0.59万元、政府采购工程支出583.15万元、政府采购服务支出5.4万元。授予中小企业合同金额589.14万元，占政府采购支出总额的100%，其中授予小微企业合同金额589.14万元，占政府采购支出总额的100%。</w:t>
      </w:r>
    </w:p>
    <w:p w14:paraId="26B9AA4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1077DC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截至2025年12月31日，本单位共有车辆1辆，比上年减少3辆，主要是本单位2025年度报废公务用车2辆，另外2辆为抽水车和清扫车。其中，应急保障用车1辆</w:t>
      </w:r>
      <w:r>
        <w:rPr>
          <w:rFonts w:hint="eastAsia" w:ascii="Times New Roman" w:eastAsia="仿宋_GB2312"/>
          <w:b w:val="0"/>
          <w:sz w:val="32"/>
          <w:szCs w:val="32"/>
          <w:lang w:eastAsia="zh-CN"/>
        </w:rPr>
        <w:t>，</w:t>
      </w:r>
      <w:r>
        <w:rPr>
          <w:rFonts w:ascii="Times New Roman" w:eastAsia="仿宋_GB2312"/>
          <w:b w:val="0"/>
          <w:sz w:val="32"/>
          <w:szCs w:val="32"/>
        </w:rPr>
        <w:t>主要用于机关防火、防汛、环保检查等。单位价值100万元（含）以上设备（不含车辆）0台（套），与上年相比无增减变化</w:t>
      </w:r>
      <w:r>
        <w:rPr>
          <w:rFonts w:hint="eastAsia" w:ascii="Times New Roman" w:eastAsia="仿宋_GB2312"/>
          <w:b w:val="0"/>
          <w:sz w:val="32"/>
          <w:szCs w:val="32"/>
          <w:lang w:eastAsia="zh-CN"/>
        </w:rPr>
        <w:t>。</w:t>
      </w:r>
    </w:p>
    <w:p w14:paraId="26FEDB1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00FDE5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2F3AD8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w:t>
      </w:r>
      <w:r>
        <w:rPr>
          <w:rFonts w:hint="eastAsia" w:ascii="Times New Roman" w:eastAsia="仿宋_GB2312"/>
          <w:b w:val="0"/>
          <w:sz w:val="32"/>
          <w:szCs w:val="32"/>
          <w:lang w:val="en-US" w:eastAsia="zh-CN"/>
        </w:rPr>
        <w:t>1465.1</w:t>
      </w:r>
      <w:r>
        <w:rPr>
          <w:rFonts w:ascii="Times New Roman" w:eastAsia="仿宋_GB2312"/>
          <w:b w:val="0"/>
          <w:sz w:val="32"/>
          <w:szCs w:val="32"/>
        </w:rPr>
        <w:t>金万元（决算金额）。其中，一般公共预算项目</w:t>
      </w:r>
      <w:r>
        <w:rPr>
          <w:rFonts w:hint="eastAsia" w:ascii="Times New Roman" w:eastAsia="仿宋_GB2312"/>
          <w:b w:val="0"/>
          <w:sz w:val="32"/>
          <w:szCs w:val="32"/>
          <w:lang w:val="en-US" w:eastAsia="zh-CN"/>
        </w:rPr>
        <w:t>26</w:t>
      </w:r>
      <w:r>
        <w:rPr>
          <w:rFonts w:ascii="Times New Roman" w:eastAsia="仿宋_GB2312"/>
          <w:b w:val="0"/>
          <w:sz w:val="32"/>
          <w:szCs w:val="32"/>
        </w:rPr>
        <w:t>个，涉及资金</w:t>
      </w:r>
      <w:r>
        <w:rPr>
          <w:rFonts w:hint="eastAsia" w:ascii="Times New Roman" w:eastAsia="仿宋_GB2312"/>
          <w:b w:val="0"/>
          <w:sz w:val="32"/>
          <w:szCs w:val="32"/>
          <w:lang w:val="en-US" w:eastAsia="zh-CN"/>
        </w:rPr>
        <w:t>1465.1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20E9A6B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w:t>
      </w:r>
      <w:r>
        <w:rPr>
          <w:rFonts w:hint="eastAsia" w:ascii="Times New Roman" w:eastAsia="仿宋_GB2312"/>
          <w:b w:val="0"/>
          <w:sz w:val="32"/>
          <w:szCs w:val="32"/>
        </w:rPr>
        <w:t>2025年上寨乡农村生活垃圾清扫费用</w:t>
      </w:r>
      <w:r>
        <w:rPr>
          <w:rFonts w:hint="eastAsia" w:ascii="Times New Roman" w:eastAsia="仿宋_GB2312"/>
          <w:b w:val="0"/>
          <w:sz w:val="32"/>
          <w:szCs w:val="32"/>
          <w:lang w:eastAsia="zh-CN"/>
        </w:rPr>
        <w:t>、2025年上寨乡市级下达基层平安建设专项经费、2025年镇级专项公用经费</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个项目开展了</w:t>
      </w:r>
      <w:r>
        <w:rPr>
          <w:rFonts w:hint="eastAsia" w:ascii="Times New Roman" w:eastAsia="仿宋_GB2312"/>
          <w:b w:val="0"/>
          <w:sz w:val="32"/>
          <w:szCs w:val="32"/>
          <w:lang w:val="en-US"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342.68</w:t>
      </w:r>
      <w:r>
        <w:rPr>
          <w:rFonts w:ascii="Times New Roman" w:eastAsia="仿宋_GB2312"/>
          <w:b w:val="0"/>
          <w:sz w:val="32"/>
          <w:szCs w:val="32"/>
        </w:rPr>
        <w:t>万元，政府性基金预算支出万元，国有资本经营预算支出万元，从评价情况来看，2025年度预算项目评价结果整体趋于优良，通过绩效自评结果对比倒查年初绩 效目标设定，基本上能够量化和评估绩效达成程度。发现的主要问题是预算资金不足导致某些预期目标实现不充分。下一步尽量提高工作中</w:t>
      </w:r>
      <w:r>
        <w:rPr>
          <w:rFonts w:hint="eastAsia" w:ascii="Times New Roman" w:eastAsia="仿宋_GB2312"/>
          <w:b w:val="0"/>
          <w:sz w:val="32"/>
          <w:szCs w:val="32"/>
          <w:lang w:val="en-US" w:eastAsia="zh-CN"/>
        </w:rPr>
        <w:t>单位</w:t>
      </w:r>
      <w:r>
        <w:rPr>
          <w:rFonts w:ascii="Times New Roman" w:eastAsia="仿宋_GB2312"/>
          <w:b w:val="0"/>
          <w:sz w:val="32"/>
          <w:szCs w:val="32"/>
        </w:rPr>
        <w:t>预算指标与资金衔接度。</w:t>
      </w:r>
    </w:p>
    <w:p w14:paraId="06AEC1D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val="en-US" w:eastAsia="zh-CN"/>
        </w:rPr>
        <w:t>单位</w:t>
      </w:r>
      <w:r>
        <w:rPr>
          <w:rFonts w:ascii="Times New Roman" w:eastAsia="仿宋_GB2312"/>
          <w:b/>
          <w:sz w:val="32"/>
          <w:szCs w:val="32"/>
        </w:rPr>
        <w:t>决算中项目绩效自评结果</w:t>
      </w:r>
    </w:p>
    <w:p w14:paraId="7A40EA8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val="en-US" w:eastAsia="zh-CN"/>
        </w:rPr>
        <w:t>单位</w:t>
      </w:r>
      <w:r>
        <w:rPr>
          <w:rFonts w:ascii="Times New Roman" w:eastAsia="仿宋_GB2312"/>
          <w:b w:val="0"/>
          <w:sz w:val="32"/>
          <w:szCs w:val="32"/>
        </w:rPr>
        <w:t>决算公开中反映</w:t>
      </w:r>
      <w:r>
        <w:rPr>
          <w:rFonts w:hint="eastAsia" w:ascii="Times New Roman" w:eastAsia="仿宋_GB2312"/>
          <w:b w:val="0"/>
          <w:sz w:val="32"/>
          <w:szCs w:val="32"/>
          <w:lang w:val="en-US" w:eastAsia="zh-CN"/>
        </w:rPr>
        <w:t>2025年区级退役军人公益性岗位劳务派遣工资及保险</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4EEECEC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1、2025年区级退役军人公益性岗位劳务派遣工资及保险</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rPr>
        <w:t>9.27</w:t>
      </w:r>
      <w:r>
        <w:rPr>
          <w:rFonts w:ascii="Times New Roman" w:eastAsia="仿宋_GB2312"/>
          <w:b w:val="0"/>
          <w:sz w:val="32"/>
          <w:szCs w:val="32"/>
        </w:rPr>
        <w:t>万元，执行数为</w:t>
      </w:r>
      <w:r>
        <w:rPr>
          <w:rFonts w:hint="eastAsia" w:ascii="Times New Roman" w:eastAsia="仿宋_GB2312"/>
          <w:b w:val="0"/>
          <w:sz w:val="32"/>
          <w:szCs w:val="32"/>
        </w:rPr>
        <w:t>9.27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%。项目绩效目标完成情况：按时完成2025年度</w:t>
      </w:r>
      <w:r>
        <w:rPr>
          <w:rFonts w:hint="eastAsia" w:ascii="Times New Roman" w:eastAsia="仿宋_GB2312"/>
          <w:b w:val="0"/>
          <w:sz w:val="32"/>
          <w:szCs w:val="32"/>
          <w:lang w:val="en-US" w:eastAsia="zh-CN"/>
        </w:rPr>
        <w:t>2</w:t>
      </w:r>
      <w:r>
        <w:rPr>
          <w:rFonts w:ascii="Times New Roman" w:eastAsia="仿宋_GB2312"/>
          <w:b w:val="0"/>
          <w:sz w:val="32"/>
          <w:szCs w:val="32"/>
        </w:rPr>
        <w:t>名退役军人的生活补助发放</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7684953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2、2025年上寨乡办公场所租赁费用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9.33</w:t>
      </w:r>
      <w:r>
        <w:rPr>
          <w:rFonts w:ascii="Times New Roman" w:eastAsia="仿宋_GB2312"/>
          <w:b w:val="0"/>
          <w:sz w:val="32"/>
          <w:szCs w:val="32"/>
        </w:rPr>
        <w:t>万元，执行数为</w:t>
      </w:r>
      <w:r>
        <w:rPr>
          <w:rFonts w:hint="eastAsia" w:ascii="Times New Roman" w:eastAsia="仿宋_GB2312"/>
          <w:b w:val="0"/>
          <w:sz w:val="32"/>
          <w:szCs w:val="32"/>
        </w:rPr>
        <w:t>9.</w:t>
      </w:r>
      <w:r>
        <w:rPr>
          <w:rFonts w:hint="eastAsia" w:ascii="Times New Roman" w:eastAsia="仿宋_GB2312"/>
          <w:b w:val="0"/>
          <w:sz w:val="32"/>
          <w:szCs w:val="32"/>
          <w:lang w:val="en-US" w:eastAsia="zh-CN"/>
        </w:rPr>
        <w:t>33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租赁办公场所，保障办公顺利进行</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00C723C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3、2025年上寨乡环境卫生整治资金</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环境质量提升、大气指数提高、周边群众幸福感增强</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7CB12A6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4、2025年上寨乡临时救助备用金</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4.33</w:t>
      </w:r>
      <w:r>
        <w:rPr>
          <w:rFonts w:ascii="Times New Roman" w:eastAsia="仿宋_GB2312"/>
          <w:b w:val="0"/>
          <w:sz w:val="32"/>
          <w:szCs w:val="32"/>
        </w:rPr>
        <w:t>万元，执行数为</w:t>
      </w:r>
      <w:r>
        <w:rPr>
          <w:rFonts w:hint="eastAsia" w:ascii="Times New Roman" w:eastAsia="仿宋_GB2312"/>
          <w:b w:val="0"/>
          <w:sz w:val="32"/>
          <w:szCs w:val="32"/>
          <w:lang w:val="en-US" w:eastAsia="zh-CN"/>
        </w:rPr>
        <w:t>4.33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解决上寨乡困难群众生活需求，改善群众生活水平</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2E22E9F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5、2025年上寨乡农村生活垃圾清扫费用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94</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12.5112</w:t>
      </w:r>
      <w:r>
        <w:rPr>
          <w:rFonts w:ascii="Times New Roman" w:eastAsia="仿宋_GB2312"/>
          <w:b w:val="0"/>
          <w:sz w:val="32"/>
          <w:szCs w:val="32"/>
        </w:rPr>
        <w:t>万元，执行数为</w:t>
      </w:r>
      <w:r>
        <w:rPr>
          <w:rFonts w:hint="eastAsia" w:ascii="Times New Roman" w:eastAsia="仿宋_GB2312"/>
          <w:b w:val="0"/>
          <w:sz w:val="32"/>
          <w:szCs w:val="32"/>
          <w:lang w:val="en-US" w:eastAsia="zh-CN"/>
        </w:rPr>
        <w:t>12.5112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一是完成5个村的环境卫生保洁，二是保障38名保洁人员工资</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30058B3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6、2025年上寨乡市级下达基层平安建设专项经费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一是保障辖区5个村的安全，二是平安建设工作达标率为100%，提升辖区平安建设水平。</w:t>
      </w:r>
      <w:r>
        <w:rPr>
          <w:rFonts w:ascii="Times New Roman" w:eastAsia="仿宋_GB2312"/>
          <w:b w:val="0"/>
          <w:sz w:val="32"/>
          <w:szCs w:val="32"/>
        </w:rPr>
        <w:t>未发现问题，下一步将继续做好 绩效目标的科学设定，精准测算各项指标的合理性。</w:t>
      </w:r>
    </w:p>
    <w:p w14:paraId="25BE047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7、2025年镇级代课教师工资</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76.56</w:t>
      </w:r>
      <w:r>
        <w:rPr>
          <w:rFonts w:ascii="Times New Roman" w:eastAsia="仿宋_GB2312"/>
          <w:b w:val="0"/>
          <w:sz w:val="32"/>
          <w:szCs w:val="32"/>
        </w:rPr>
        <w:t>万元，执行数为</w:t>
      </w:r>
      <w:r>
        <w:rPr>
          <w:rFonts w:hint="eastAsia" w:ascii="Times New Roman" w:eastAsia="仿宋_GB2312"/>
          <w:b w:val="0"/>
          <w:sz w:val="32"/>
          <w:szCs w:val="32"/>
          <w:lang w:val="en-US" w:eastAsia="zh-CN"/>
        </w:rPr>
        <w:t>76.56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一是保障辖区5所学校的正常运转，二是保障29名代课教师工资。</w:t>
      </w:r>
      <w:r>
        <w:rPr>
          <w:rFonts w:ascii="Times New Roman" w:eastAsia="仿宋_GB2312"/>
          <w:b w:val="0"/>
          <w:sz w:val="32"/>
          <w:szCs w:val="32"/>
        </w:rPr>
        <w:t>未发现问题，下一步将继续做好 绩效目标的科学设定，精准测算各项指标的合理性。</w:t>
      </w:r>
    </w:p>
    <w:p w14:paraId="19D36548">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上寨乡机关水费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38</w:t>
      </w:r>
      <w:r>
        <w:rPr>
          <w:rFonts w:ascii="Times New Roman" w:eastAsia="仿宋_GB2312"/>
          <w:b w:val="0"/>
          <w:sz w:val="32"/>
          <w:szCs w:val="32"/>
        </w:rPr>
        <w:t>万元，执行数为</w:t>
      </w:r>
      <w:r>
        <w:rPr>
          <w:rFonts w:hint="eastAsia" w:ascii="Times New Roman" w:eastAsia="仿宋_GB2312"/>
          <w:b w:val="0"/>
          <w:sz w:val="32"/>
          <w:szCs w:val="32"/>
          <w:lang w:val="en-US" w:eastAsia="zh-CN"/>
        </w:rPr>
        <w:t>38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支付上寨乡2022年以来欠缴水费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缴费率100%。</w:t>
      </w:r>
      <w:r>
        <w:rPr>
          <w:rFonts w:ascii="Times New Roman" w:eastAsia="仿宋_GB2312"/>
          <w:b w:val="0"/>
          <w:sz w:val="32"/>
          <w:szCs w:val="32"/>
        </w:rPr>
        <w:t>未发现问题，下一步将继续做好 绩效目标的科学设定，精准测算各项指标的合理性。</w:t>
      </w:r>
    </w:p>
    <w:p w14:paraId="149EE62C">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镇级三馆一站免费开放补助</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一是完成不少于24场文化活动；二是满足辖区精神文化需求。</w:t>
      </w:r>
      <w:r>
        <w:rPr>
          <w:rFonts w:ascii="Times New Roman" w:eastAsia="仿宋_GB2312"/>
          <w:b w:val="0"/>
          <w:sz w:val="32"/>
          <w:szCs w:val="32"/>
        </w:rPr>
        <w:t>未发现问题，下一步将继续做好 绩效目标的科学设定，精准测算各项指标的合理性。</w:t>
      </w:r>
    </w:p>
    <w:p w14:paraId="0B0B803F">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2025年镇级专项公用经费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170.79</w:t>
      </w:r>
      <w:r>
        <w:rPr>
          <w:rFonts w:ascii="Times New Roman" w:eastAsia="仿宋_GB2312"/>
          <w:b w:val="0"/>
          <w:sz w:val="32"/>
          <w:szCs w:val="32"/>
        </w:rPr>
        <w:t>万元，执行数为</w:t>
      </w:r>
      <w:r>
        <w:rPr>
          <w:rFonts w:hint="eastAsia" w:ascii="Times New Roman" w:eastAsia="仿宋_GB2312"/>
          <w:b w:val="0"/>
          <w:sz w:val="32"/>
          <w:szCs w:val="32"/>
          <w:lang w:val="en-US" w:eastAsia="zh-CN"/>
        </w:rPr>
        <w:t>170.79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一是保障在职人员45人正常办公；二是保障各项工作完成率100%。</w:t>
      </w:r>
      <w:r>
        <w:rPr>
          <w:rFonts w:ascii="Times New Roman" w:eastAsia="仿宋_GB2312"/>
          <w:b w:val="0"/>
          <w:sz w:val="32"/>
          <w:szCs w:val="32"/>
        </w:rPr>
        <w:t>未发现问题，下一步将继续做好 绩效目标的科学设定，精准测算各项指标的合理性。</w:t>
      </w:r>
    </w:p>
    <w:p w14:paraId="5F1AE39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val="en-US" w:eastAsia="zh-CN"/>
        </w:rPr>
        <w:t>单位</w:t>
      </w:r>
      <w:r>
        <w:rPr>
          <w:rFonts w:ascii="Times New Roman" w:eastAsia="仿宋_GB2312"/>
          <w:b/>
          <w:sz w:val="32"/>
          <w:szCs w:val="32"/>
        </w:rPr>
        <w:t>评价项目绩效评价结果（如有）</w:t>
      </w:r>
    </w:p>
    <w:p w14:paraId="0DC5345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2025年度鹿泉区上寨乡人民政府自评项目共计26个，其中 评分在90分以上的共26个项目，得分在60分以下的共计0个。 自评结果详见下表：</w:t>
      </w:r>
    </w:p>
    <w:p w14:paraId="3FB660C1">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鹿泉区上寨乡人民政府绩效自评结果统计表</w:t>
      </w:r>
    </w:p>
    <w:tbl>
      <w:tblPr>
        <w:tblStyle w:val="11"/>
        <w:tblW w:w="889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9"/>
        <w:gridCol w:w="2863"/>
        <w:gridCol w:w="2782"/>
        <w:gridCol w:w="1345"/>
        <w:gridCol w:w="1218"/>
      </w:tblGrid>
      <w:tr w14:paraId="3FDA1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8D391">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DA4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2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93D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项目实施单位</w:t>
            </w:r>
          </w:p>
        </w:tc>
        <w:tc>
          <w:tcPr>
            <w:tcW w:w="13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73A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自评得分</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CC3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自评等级</w:t>
            </w:r>
          </w:p>
        </w:tc>
      </w:tr>
      <w:tr w14:paraId="325C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13B3F">
            <w:pPr>
              <w:jc w:val="center"/>
              <w:rPr>
                <w:rFonts w:hint="eastAsia" w:ascii="仿宋" w:hAnsi="仿宋" w:eastAsia="仿宋" w:cs="仿宋"/>
                <w:i w:val="0"/>
                <w:iCs w:val="0"/>
                <w:color w:val="000000"/>
                <w:sz w:val="24"/>
                <w:szCs w:val="24"/>
                <w:u w:val="none"/>
              </w:rPr>
            </w:pPr>
          </w:p>
        </w:tc>
        <w:tc>
          <w:tcPr>
            <w:tcW w:w="2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4418">
            <w:pPr>
              <w:jc w:val="center"/>
              <w:rPr>
                <w:rFonts w:hint="eastAsia" w:ascii="仿宋" w:hAnsi="仿宋" w:eastAsia="仿宋" w:cs="仿宋"/>
                <w:i w:val="0"/>
                <w:iCs w:val="0"/>
                <w:color w:val="000000"/>
                <w:sz w:val="24"/>
                <w:szCs w:val="24"/>
                <w:u w:val="none"/>
              </w:rPr>
            </w:pPr>
          </w:p>
        </w:tc>
        <w:tc>
          <w:tcPr>
            <w:tcW w:w="2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A29A">
            <w:pPr>
              <w:jc w:val="center"/>
              <w:rPr>
                <w:rFonts w:hint="eastAsia" w:ascii="仿宋" w:hAnsi="仿宋" w:eastAsia="仿宋" w:cs="仿宋"/>
                <w:i w:val="0"/>
                <w:iCs w:val="0"/>
                <w:color w:val="000000"/>
                <w:sz w:val="24"/>
                <w:szCs w:val="24"/>
                <w:u w:val="none"/>
              </w:rPr>
            </w:pPr>
          </w:p>
        </w:tc>
        <w:tc>
          <w:tcPr>
            <w:tcW w:w="1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F711">
            <w:pPr>
              <w:jc w:val="center"/>
              <w:rPr>
                <w:rFonts w:hint="eastAsia" w:ascii="仿宋" w:hAnsi="仿宋" w:eastAsia="仿宋" w:cs="仿宋"/>
                <w:i w:val="0"/>
                <w:iCs w:val="0"/>
                <w:color w:val="000000"/>
                <w:sz w:val="24"/>
                <w:szCs w:val="24"/>
                <w:u w:val="none"/>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E341C">
            <w:pPr>
              <w:jc w:val="center"/>
              <w:rPr>
                <w:rFonts w:hint="eastAsia" w:ascii="仿宋" w:hAnsi="仿宋" w:eastAsia="仿宋" w:cs="仿宋"/>
                <w:i w:val="0"/>
                <w:iCs w:val="0"/>
                <w:color w:val="000000"/>
                <w:sz w:val="24"/>
                <w:szCs w:val="24"/>
                <w:u w:val="none"/>
              </w:rPr>
            </w:pPr>
          </w:p>
        </w:tc>
      </w:tr>
      <w:tr w14:paraId="0E17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E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1F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2025年区级北寨引岗渠塌方抢险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A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F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E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466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E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2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2025年区级北寨自来水改造</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A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7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9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AC5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E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9F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2025年区级衡井线北寨段两侧绿化、环乡路南寨及梁庄绿化、山前大道南延两侧绿化占地租金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0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2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4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82C8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2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8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2025年区级衡井线两侧环境整治资金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7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8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4F00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5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18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2025年区级梁庄村梁常路周边环境整治提升</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9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B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7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F3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3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7A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2025年区级山前大道北寨至上寨段改建工程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E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1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B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E27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C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C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2025年区级山前大道北寨至上寨段给水管网工程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A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D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C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B1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D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5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2025年区级上寨村村通环乡路梁庄段（一标段）质保金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B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C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7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8D3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8B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2025年区级上寨村村通环乡路南寨段（二标段）质保金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3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7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C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80BE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A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0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2025年区级上寨乡办公楼加固修缮</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5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E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3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FC9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7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B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2025年区级上寨乡室外公厕建设</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2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9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D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2398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E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D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2025年区级上寨乡洨河支流河道及村内道路</w:t>
            </w:r>
            <w:bookmarkStart w:id="0" w:name="_GoBack"/>
            <w:bookmarkEnd w:id="0"/>
            <w:r>
              <w:rPr>
                <w:rFonts w:hint="eastAsia" w:ascii="宋体" w:hAnsi="宋体" w:eastAsia="宋体" w:cs="宋体"/>
                <w:i w:val="0"/>
                <w:iCs w:val="0"/>
                <w:color w:val="000000"/>
                <w:kern w:val="0"/>
                <w:sz w:val="22"/>
                <w:szCs w:val="22"/>
                <w:u w:val="none"/>
                <w:lang w:val="en-US" w:eastAsia="zh-CN" w:bidi="ar"/>
              </w:rPr>
              <w:t>水毁抢险修复</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7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C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5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AC6E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6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D6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2025年区级退役军人公益性岗位劳务派遣工资及保险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7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A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2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3DB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3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B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2025年区级西山北寨段绿化工程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7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C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9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35AA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B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A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2025年区级修缮衡井线中间河道河堤、护坡</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7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9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D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C8E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C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E9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2025年区级中以农科违建拆除</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0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5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E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154E2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4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FA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2025年上寨乡办公场所租赁费用</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3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E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EDA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3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5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2025年上寨乡环境卫生整治资金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4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D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2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F22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2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EE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2025年上寨乡临时救助备用金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6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D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E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404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0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A7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2025年上寨乡农村生活垃圾清扫费用</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E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F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C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7A5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D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D0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2025年上寨乡市级下达基层平安建设专项经费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9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4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F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50E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9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B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2025年镇级代课教师工资</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B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C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E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E6D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8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B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上寨乡机关水费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1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B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E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45C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6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E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镇级三馆一站免费开放补助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E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3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C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F7C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3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75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2025年镇级专项公用经费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0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D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1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bl>
    <w:p w14:paraId="73AFEAB2">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hint="eastAsia" w:ascii="Times New Roman" w:eastAsia="仿宋_GB2312"/>
          <w:b w:val="0"/>
          <w:sz w:val="32"/>
          <w:szCs w:val="32"/>
          <w:lang w:val="en-US" w:eastAsia="zh-CN"/>
        </w:rPr>
      </w:pPr>
    </w:p>
    <w:p w14:paraId="66F4C23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AFA715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0E3F7E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keepNext w:val="0"/>
        <w:keepLines w:val="0"/>
        <w:pageBreakBefore w:val="0"/>
        <w:widowControl w:val="0"/>
        <w:kinsoku/>
        <w:wordWrap/>
        <w:overflowPunct/>
        <w:topLinePunct w:val="0"/>
        <w:bidi w:val="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9E4135">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keepNext w:val="0"/>
        <w:keepLines w:val="0"/>
        <w:pageBreakBefore w:val="0"/>
        <w:widowControl w:val="0"/>
        <w:kinsoku/>
        <w:wordWrap/>
        <w:overflowPunct/>
        <w:topLinePunct w:val="0"/>
        <w:bidi w:val="0"/>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8CB352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3ADA29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1F7602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918A5B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1EEB27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669D36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EB1DB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350B61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EF946C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95EE7F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BE1330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18013D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68B62C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F69D6A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D80CB5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AC9C8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8CE00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4D39E9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DCE76F1-97A4-4FE7-AC59-08962D484AFB}"/>
  </w:font>
  <w:font w:name="黑体">
    <w:panose1 w:val="02010609060101010101"/>
    <w:charset w:val="86"/>
    <w:family w:val="auto"/>
    <w:pitch w:val="default"/>
    <w:sig w:usb0="800002BF" w:usb1="38CF7CFA" w:usb2="00000016" w:usb3="00000000" w:csb0="00040001" w:csb1="00000000"/>
    <w:embedRegular r:id="rId2" w:fontKey="{8B6A3E4A-7C61-46D7-BF05-25B4BF89D7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005636D-697F-4056-9AFC-7CAC17156A7F}"/>
  </w:font>
  <w:font w:name="仿宋">
    <w:panose1 w:val="02010609060101010101"/>
    <w:charset w:val="86"/>
    <w:family w:val="modern"/>
    <w:pitch w:val="default"/>
    <w:sig w:usb0="800002BF" w:usb1="38CF7CFA" w:usb2="00000016" w:usb3="00000000" w:csb0="00040001" w:csb1="00000000"/>
    <w:embedRegular r:id="rId4" w:fontKey="{AE1100DD-41BE-42F3-97AD-3D75B6FE9B8F}"/>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EBCABC23-EE5A-47EA-8A10-93AD27991224}"/>
  </w:font>
  <w:font w:name="楷体_GB2312">
    <w:panose1 w:val="02010609030101010101"/>
    <w:charset w:val="86"/>
    <w:family w:val="auto"/>
    <w:pitch w:val="default"/>
    <w:sig w:usb0="00000001" w:usb1="080E0000" w:usb2="00000000" w:usb3="00000000" w:csb0="00040000" w:csb1="00000000"/>
    <w:embedRegular r:id="rId6" w:fontKey="{3F3E0791-E4F6-4F25-8E6D-2166AEAAF373}"/>
  </w:font>
  <w:font w:name="微软雅黑">
    <w:panose1 w:val="020B0503020204020204"/>
    <w:charset w:val="86"/>
    <w:family w:val="auto"/>
    <w:pitch w:val="default"/>
    <w:sig w:usb0="80000287" w:usb1="2ACF3C50" w:usb2="00000016" w:usb3="00000000" w:csb0="0004001F" w:csb1="00000000"/>
    <w:embedRegular r:id="rId7" w:fontKey="{CC312C9E-A873-4B5A-A677-8AA5E755B27D}"/>
  </w:font>
  <w:font w:name="方正小标宋_GBK">
    <w:panose1 w:val="02000000000000000000"/>
    <w:charset w:val="86"/>
    <w:family w:val="script"/>
    <w:pitch w:val="default"/>
    <w:sig w:usb0="A00002BF" w:usb1="38CF7CFA" w:usb2="00082016" w:usb3="00000000" w:csb0="00040001" w:csb1="00000000"/>
    <w:embedRegular r:id="rId8" w:fontKey="{BA842C80-5DF0-4B1C-B5DB-86139324B4FE}"/>
  </w:font>
  <w:font w:name="仿宋_GB2312">
    <w:panose1 w:val="02010609030101010101"/>
    <w:charset w:val="86"/>
    <w:family w:val="auto"/>
    <w:pitch w:val="default"/>
    <w:sig w:usb0="00000001" w:usb1="080E0000" w:usb2="00000000" w:usb3="00000000" w:csb0="00040000" w:csb1="00000000"/>
    <w:embedRegular r:id="rId9" w:fontKey="{A08B27DB-028A-4CA7-A8BD-2ABB7A14E141}"/>
  </w:font>
  <w:font w:name="ArialUnicodeMS">
    <w:altName w:val="Malgun Gothic"/>
    <w:panose1 w:val="00000000000000000000"/>
    <w:charset w:val="81"/>
    <w:family w:val="auto"/>
    <w:pitch w:val="default"/>
    <w:sig w:usb0="00000000" w:usb1="00000000" w:usb2="00000010" w:usb3="00000000" w:csb0="00080001" w:csb1="00000000"/>
    <w:embedRegular r:id="rId10" w:fontKey="{60C4599A-5FF3-4687-AB70-26803CEDB8FE}"/>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C79B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AAC4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8B269">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AF2D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5CC540D"/>
    <w:multiLevelType w:val="singleLevel"/>
    <w:tmpl w:val="65CC540D"/>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BD7DDC"/>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8B5A05"/>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DB4004"/>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516A2E"/>
    <w:rsid w:val="19C10AF1"/>
    <w:rsid w:val="1A017CDA"/>
    <w:rsid w:val="1A2672DE"/>
    <w:rsid w:val="1AA256C1"/>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7D3C95"/>
    <w:rsid w:val="1ED22D79"/>
    <w:rsid w:val="1EDF707D"/>
    <w:rsid w:val="1F394761"/>
    <w:rsid w:val="1F65664C"/>
    <w:rsid w:val="1F7C149A"/>
    <w:rsid w:val="1F84140D"/>
    <w:rsid w:val="1F9B7FFD"/>
    <w:rsid w:val="1F9C7614"/>
    <w:rsid w:val="1FBE1971"/>
    <w:rsid w:val="2008768D"/>
    <w:rsid w:val="20250B6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9850A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4B3A51"/>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B151C6"/>
    <w:rsid w:val="36FE3ABA"/>
    <w:rsid w:val="37072BDE"/>
    <w:rsid w:val="37455334"/>
    <w:rsid w:val="37527C32"/>
    <w:rsid w:val="37731921"/>
    <w:rsid w:val="37E509C0"/>
    <w:rsid w:val="37E96FB8"/>
    <w:rsid w:val="38222D85"/>
    <w:rsid w:val="38767A34"/>
    <w:rsid w:val="38803721"/>
    <w:rsid w:val="38925A62"/>
    <w:rsid w:val="389F5F4F"/>
    <w:rsid w:val="38B80D3D"/>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571D2"/>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D203AB"/>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8130FA"/>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850F2C"/>
    <w:rsid w:val="54A31DD8"/>
    <w:rsid w:val="54AA6F8B"/>
    <w:rsid w:val="54D26583"/>
    <w:rsid w:val="55363E67"/>
    <w:rsid w:val="556E6DF7"/>
    <w:rsid w:val="55965CE3"/>
    <w:rsid w:val="559D47CE"/>
    <w:rsid w:val="55BE1959"/>
    <w:rsid w:val="56232437"/>
    <w:rsid w:val="56541A75"/>
    <w:rsid w:val="56755377"/>
    <w:rsid w:val="568832FC"/>
    <w:rsid w:val="568C4181"/>
    <w:rsid w:val="56F5203F"/>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D83ABA"/>
    <w:rsid w:val="5DE23CB3"/>
    <w:rsid w:val="5DE97EEC"/>
    <w:rsid w:val="5DFA5EB0"/>
    <w:rsid w:val="5E000E4D"/>
    <w:rsid w:val="5E0B583E"/>
    <w:rsid w:val="5E201A7B"/>
    <w:rsid w:val="5E860EBA"/>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AE543D"/>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0B10C1"/>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701B2"/>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0C4BBE"/>
    <w:rsid w:val="7F2914C3"/>
    <w:rsid w:val="7F2B1A9F"/>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2385.07</c:v>
                </c:pt>
                <c:pt idx="1">
                  <c:v>1995.35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23657442.9</c:v>
                </c:pt>
                <c:pt idx="1">
                  <c:v>0</c:v>
                </c:pt>
                <c:pt idx="2">
                  <c:v>0</c:v>
                </c:pt>
                <c:pt idx="3">
                  <c:v>0</c:v>
                </c:pt>
                <c:pt idx="4">
                  <c:v>0</c:v>
                </c:pt>
                <c:pt idx="5">
                  <c:v>193300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9138901.19</c:v>
                </c:pt>
                <c:pt idx="1">
                  <c:v>14711841.71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1995.35</c:v>
                </c:pt>
                <c:pt idx="1">
                  <c:v>1995.35</c:v>
                </c:pt>
                <c:pt idx="2">
                  <c:v>1995.35</c:v>
                </c:pt>
                <c:pt idx="3">
                  <c:v>1995.35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2365.74</c:v>
                </c:pt>
                <c:pt idx="1">
                  <c:v>2365.74</c:v>
                </c:pt>
                <c:pt idx="2">
                  <c:v>2365.74</c:v>
                </c:pt>
                <c:pt idx="3">
                  <c:v>2365.74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2458.34</c:v>
                </c:pt>
                <c:pt idx="1">
                  <c:v>2458.34</c:v>
                </c:pt>
                <c:pt idx="2">
                  <c:v>2313.34</c:v>
                </c:pt>
                <c:pt idx="3">
                  <c:v>2313.34</c:v>
                </c:pt>
                <c:pt idx="4">
                  <c:v>145</c:v>
                </c:pt>
                <c:pt idx="5">
                  <c:v>145</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2365.74</c:v>
                </c:pt>
                <c:pt idx="1">
                  <c:v>2365.74</c:v>
                </c:pt>
                <c:pt idx="2">
                  <c:v>2365.74</c:v>
                </c:pt>
                <c:pt idx="3">
                  <c:v>2365.74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1660</Words>
  <Characters>6225</Characters>
  <Lines>86</Lines>
  <Paragraphs>24</Paragraphs>
  <TotalTime>2</TotalTime>
  <ScaleCrop>false</ScaleCrop>
  <LinksUpToDate>false</LinksUpToDate>
  <CharactersWithSpaces>6550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DELL</cp:lastModifiedBy>
  <cp:lastPrinted>2023-08-04T01:00:00Z</cp:lastPrinted>
  <dcterms:modified xsi:type="dcterms:W3CDTF">2026-09-29T08:34:37Z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