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705866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7058660" cy="2862580"/>
                        </a:xfrm>
                        <a:prstGeom prst="rect">
                          <a:avLst/>
                        </a:prstGeom>
                        <a:noFill/>
                        <a:ln>
                          <a:noFill/>
                        </a:ln>
                        <a:effectLst/>
                      </wps:spPr>
                      <wps:txbx>
                        <w:txbxContent>
                          <w:p w14:paraId="1CC9E38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w:t>
                            </w:r>
                            <w:r>
                              <w:rPr>
                                <w:rFonts w:hint="eastAsia" w:ascii="微软雅黑" w:hAnsi="微软雅黑" w:eastAsia="微软雅黑" w:cs="微软雅黑"/>
                                <w:b/>
                                <w:color w:val="FFFFFF" w:themeColor="background1"/>
                                <w:sz w:val="96"/>
                                <w:szCs w:val="96"/>
                                <w:lang w:eastAsia="zh-CN"/>
                                <w14:textFill>
                                  <w14:solidFill>
                                    <w14:schemeClr w14:val="bg1"/>
                                  </w14:solidFill>
                                </w14:textFill>
                              </w:rPr>
                              <w:t>及所属单位</w:t>
                            </w:r>
                            <w:r>
                              <w:rPr>
                                <w:rFonts w:hint="eastAsia" w:ascii="微软雅黑" w:hAnsi="微软雅黑" w:eastAsia="微软雅黑" w:cs="微软雅黑"/>
                                <w:b/>
                                <w:color w:val="FFFFFF" w:themeColor="background1"/>
                                <w:sz w:val="96"/>
                                <w:szCs w:val="96"/>
                                <w14:textFill>
                                  <w14:solidFill>
                                    <w14:schemeClr w14:val="bg1"/>
                                  </w14:solidFill>
                                </w14:textFill>
                              </w:rPr>
                              <w:t>决算公开</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55.8pt;z-index:251659264;mso-width-relative:page;mso-height-relative:page;" filled="f" stroked="f" coordsize="21600,21600" o:gfxdata="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pdsYh2AAAAAsBAAAPAAAAAAAAAAEAIAAAACIAAABkcnMvZG93bnJldi54bWxQ&#10;SwECFAAUAAAACACHTuJAPaBRHfcBAADOAwAADgAAAAAAAAABACAAAAAnAQAAZHJzL2Uyb0RvYy54&#10;bWxQSwUGAAAAAAYABgBZAQAAkAUAAAAA&#10;">
                <v:fill on="f" focussize="0,0"/>
                <v:stroke on="f"/>
                <v:imagedata o:title=""/>
                <o:lock v:ext="edit" aspectratio="f"/>
                <v:textbox>
                  <w:txbxContent>
                    <w:p w14:paraId="1CC9E38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w:t>
                      </w:r>
                      <w:r>
                        <w:rPr>
                          <w:rFonts w:hint="eastAsia" w:ascii="微软雅黑" w:hAnsi="微软雅黑" w:eastAsia="微软雅黑" w:cs="微软雅黑"/>
                          <w:b/>
                          <w:color w:val="FFFFFF" w:themeColor="background1"/>
                          <w:sz w:val="96"/>
                          <w:szCs w:val="96"/>
                          <w:lang w:eastAsia="zh-CN"/>
                          <w14:textFill>
                            <w14:solidFill>
                              <w14:schemeClr w14:val="bg1"/>
                            </w14:solidFill>
                          </w14:textFill>
                        </w:rPr>
                        <w:t>及所属单位</w:t>
                      </w:r>
                      <w:r>
                        <w:rPr>
                          <w:rFonts w:hint="eastAsia" w:ascii="微软雅黑" w:hAnsi="微软雅黑" w:eastAsia="微软雅黑" w:cs="微软雅黑"/>
                          <w:b/>
                          <w:color w:val="FFFFFF" w:themeColor="background1"/>
                          <w:sz w:val="96"/>
                          <w:szCs w:val="96"/>
                          <w14:textFill>
                            <w14:solidFill>
                              <w14:schemeClr w14:val="bg1"/>
                            </w14:solidFill>
                          </w14:textFill>
                        </w:rPr>
                        <w:t>决算公开</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中共石家庄市鹿泉区委社会工作部</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204001</w:t>
      </w: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216D16E">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 w:val="0"/>
          <w:sz w:val="52"/>
          <w:szCs w:val="52"/>
        </w:rPr>
        <w:t>中共石家庄市鹿泉区委社会工作部</w:t>
      </w:r>
    </w:p>
    <w:p w14:paraId="11B0B757">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pacing w:val="-11"/>
          <w:sz w:val="52"/>
          <w:szCs w:val="52"/>
        </w:rPr>
      </w:pPr>
      <w:r>
        <w:rPr>
          <w:rFonts w:hint="eastAsia" w:ascii="方正小标宋简体" w:hAnsi="方正小标宋简体" w:eastAsia="方正小标宋简体" w:cs="方正小标宋简体"/>
          <w:b w:val="0"/>
          <w:spacing w:val="-11"/>
          <w:sz w:val="52"/>
          <w:szCs w:val="52"/>
        </w:rPr>
        <w:t>2025年度部门</w:t>
      </w:r>
      <w:r>
        <w:rPr>
          <w:rFonts w:hint="eastAsia" w:ascii="方正小标宋简体" w:hAnsi="方正小标宋简体" w:eastAsia="方正小标宋简体" w:cs="方正小标宋简体"/>
          <w:b w:val="0"/>
          <w:spacing w:val="-11"/>
          <w:sz w:val="52"/>
          <w:szCs w:val="52"/>
          <w:lang w:eastAsia="zh-CN"/>
        </w:rPr>
        <w:t>及所属单位</w:t>
      </w:r>
      <w:r>
        <w:rPr>
          <w:rFonts w:hint="eastAsia" w:ascii="方正小标宋简体" w:hAnsi="方正小标宋简体" w:eastAsia="方正小标宋简体" w:cs="方正小标宋简体"/>
          <w:b w:val="0"/>
          <w:spacing w:val="-11"/>
          <w:sz w:val="52"/>
          <w:szCs w:val="52"/>
        </w:rPr>
        <w:t>决算公开文本</w:t>
      </w:r>
    </w:p>
    <w:p w14:paraId="23AEA024">
      <w:pPr>
        <w:spacing w:line="360" w:lineRule="auto"/>
        <w:jc w:val="center"/>
        <w:rPr>
          <w:rFonts w:ascii="黑体" w:hAnsi="黑体" w:eastAsia="黑体" w:cs="黑体"/>
          <w:sz w:val="52"/>
          <w:szCs w:val="52"/>
        </w:rPr>
      </w:pPr>
    </w:p>
    <w:p w14:paraId="3956C54B">
      <w:pPr>
        <w:spacing w:line="480" w:lineRule="auto"/>
        <w:jc w:val="both"/>
        <w:rPr>
          <w:rFonts w:ascii="黑体" w:hAnsi="黑体" w:eastAsia="黑体" w:cs="黑体"/>
          <w:sz w:val="56"/>
          <w:szCs w:val="72"/>
        </w:rPr>
      </w:pPr>
    </w:p>
    <w:p w14:paraId="1DDF89F6">
      <w:pPr>
        <w:spacing w:line="480" w:lineRule="auto"/>
        <w:jc w:val="both"/>
        <w:rPr>
          <w:rFonts w:ascii="黑体" w:hAnsi="黑体" w:eastAsia="黑体" w:cs="黑体"/>
          <w:sz w:val="56"/>
          <w:szCs w:val="72"/>
        </w:rPr>
      </w:pPr>
    </w:p>
    <w:p w14:paraId="3A18420F">
      <w:pPr>
        <w:spacing w:line="480" w:lineRule="auto"/>
        <w:jc w:val="both"/>
        <w:rPr>
          <w:rFonts w:ascii="黑体" w:hAnsi="黑体" w:eastAsia="黑体" w:cs="黑体"/>
          <w:sz w:val="56"/>
          <w:szCs w:val="72"/>
        </w:rPr>
      </w:pPr>
    </w:p>
    <w:p w14:paraId="39956F0B">
      <w:pPr>
        <w:spacing w:line="480" w:lineRule="auto"/>
        <w:jc w:val="both"/>
        <w:rPr>
          <w:rFonts w:ascii="黑体" w:hAnsi="黑体" w:eastAsia="黑体" w:cs="黑体"/>
          <w:sz w:val="56"/>
          <w:szCs w:val="72"/>
        </w:rPr>
      </w:pPr>
    </w:p>
    <w:p w14:paraId="0A06373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中共石家庄市鹿泉区委社会工作部</w:t>
      </w:r>
    </w:p>
    <w:p w14:paraId="03F3ADF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2098" w:right="1474" w:bottom="1440" w:left="158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4710F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26D017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53A291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024823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14B205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FFE4F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A4360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17A28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06E4A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02887F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DF7BF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C3D00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EFF56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5CA90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A42AD3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0A3D3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20CE7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4C0A2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1E8C73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950C9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F259E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E4DFE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B6A2A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30463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94E4C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F3E548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A72981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45F530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部门</w:t>
      </w:r>
      <w:r>
        <w:rPr>
          <w:rFonts w:ascii="Times New Roman" w:eastAsia="黑体"/>
          <w:b w:val="0"/>
          <w:sz w:val="32"/>
          <w:szCs w:val="32"/>
        </w:rPr>
        <w:t>职责</w:t>
      </w:r>
    </w:p>
    <w:p w14:paraId="10C350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sz w:val="32"/>
          <w:szCs w:val="32"/>
          <w:lang w:eastAsia="zh-CN"/>
        </w:rPr>
      </w:pPr>
      <w:r>
        <w:rPr>
          <w:rFonts w:hint="eastAsia" w:ascii="Times New Roman" w:eastAsia="仿宋_GB2312"/>
          <w:sz w:val="32"/>
          <w:szCs w:val="32"/>
          <w:lang w:eastAsia="zh-CN"/>
        </w:rPr>
        <w:t>因我部门“三定”方案涉密，按规定不予公开。</w:t>
      </w:r>
    </w:p>
    <w:p w14:paraId="2DA7FAF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9D7EF6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sz w:val="32"/>
          <w:szCs w:val="32"/>
          <w:lang w:eastAsia="zh-CN"/>
        </w:rPr>
      </w:pPr>
      <w:r>
        <w:rPr>
          <w:rFonts w:hint="eastAsia" w:ascii="Times New Roman" w:eastAsia="仿宋_GB2312"/>
          <w:sz w:val="32"/>
          <w:szCs w:val="32"/>
          <w:lang w:eastAsia="zh-CN"/>
        </w:rPr>
        <w:t>从决算编报单位构成看，纳入2025年度本部门决算汇编范围的独立核算单位（以下简称“单位”）共1个，具体情况如下：</w:t>
      </w:r>
    </w:p>
    <w:tbl>
      <w:tblPr>
        <w:tblStyle w:val="12"/>
        <w:tblpPr w:leftFromText="180" w:rightFromText="180" w:vertAnchor="text" w:horzAnchor="page" w:tblpXSpec="center" w:tblpY="10"/>
        <w:tblOverlap w:val="never"/>
        <w:tblW w:w="8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3237"/>
        <w:gridCol w:w="2271"/>
        <w:gridCol w:w="247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91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237"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271"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47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1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237"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中共石家庄市鹿泉区委社会工作部</w:t>
            </w:r>
          </w:p>
        </w:tc>
        <w:tc>
          <w:tcPr>
            <w:tcW w:w="2271"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47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FC8825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sz w:val="32"/>
          <w:szCs w:val="32"/>
          <w:lang w:val="en-US" w:eastAsia="zh-CN"/>
        </w:rPr>
      </w:pPr>
      <w:r>
        <w:rPr>
          <w:rFonts w:hint="eastAsia" w:ascii="Times New Roman" w:eastAsia="仿宋_GB2312"/>
          <w:sz w:val="32"/>
          <w:szCs w:val="32"/>
          <w:lang w:eastAsia="zh-CN"/>
        </w:rPr>
        <w:t>我部门无二级预算单位，因此，中共石家庄市鹿泉区委社会工作部2025年度部门决算即中共石家庄市鹿泉区委社会工作部本级2025年度决算。</w:t>
      </w:r>
    </w:p>
    <w:p w14:paraId="7108D05C">
      <w:pPr>
        <w:widowControl/>
        <w:spacing w:before="0" w:beforeLines="0" w:beforeAutospacing="0" w:after="0" w:afterLines="0" w:afterAutospacing="0" w:line="360" w:lineRule="auto"/>
        <w:ind w:firstLine="640" w:firstLineChars="200"/>
        <w:jc w:val="left"/>
        <w:outlineLvl w:val="1"/>
        <w:rPr>
          <w:rFonts w:hint="eastAsia" w:ascii="Times New Roman" w:eastAsia="仿宋_GB2312"/>
          <w:sz w:val="32"/>
          <w:szCs w:val="32"/>
          <w:lang w:val="en-US" w:eastAsia="zh-CN"/>
        </w:rPr>
      </w:pPr>
    </w:p>
    <w:p w14:paraId="0186D00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EA4A0F3">
      <w:pPr>
        <w:widowControl/>
        <w:spacing w:before="0" w:beforeLines="0" w:beforeAutospacing="0" w:after="0" w:afterLines="0" w:afterAutospacing="0" w:line="360" w:lineRule="auto"/>
        <w:jc w:val="center"/>
        <w:outlineLvl w:val="0"/>
        <w:rPr>
          <w:rFonts w:ascii="Times New Roman" w:eastAsia="黑体"/>
          <w:b w:val="0"/>
          <w:sz w:val="44"/>
          <w:szCs w:val="44"/>
        </w:rPr>
      </w:pPr>
    </w:p>
    <w:p w14:paraId="4C475FED">
      <w:pPr>
        <w:widowControl/>
        <w:spacing w:before="0" w:beforeLines="0" w:beforeAutospacing="0" w:after="0" w:afterLines="0" w:afterAutospacing="0" w:line="360" w:lineRule="auto"/>
        <w:jc w:val="center"/>
        <w:outlineLvl w:val="0"/>
        <w:rPr>
          <w:rFonts w:ascii="Times New Roman" w:eastAsia="黑体"/>
          <w:b w:val="0"/>
          <w:sz w:val="44"/>
          <w:szCs w:val="44"/>
        </w:rPr>
      </w:pPr>
    </w:p>
    <w:p w14:paraId="7109349C">
      <w:pPr>
        <w:widowControl/>
        <w:spacing w:before="0" w:beforeLines="0" w:beforeAutospacing="0" w:after="0" w:afterLines="0" w:afterAutospacing="0" w:line="360" w:lineRule="auto"/>
        <w:jc w:val="center"/>
        <w:outlineLvl w:val="0"/>
        <w:rPr>
          <w:rFonts w:ascii="Times New Roman" w:eastAsia="黑体"/>
          <w:b w:val="0"/>
          <w:sz w:val="44"/>
          <w:szCs w:val="44"/>
        </w:rPr>
      </w:pPr>
    </w:p>
    <w:p w14:paraId="203C4F0E">
      <w:pPr>
        <w:widowControl/>
        <w:spacing w:before="0" w:beforeLines="0" w:beforeAutospacing="0" w:after="0" w:afterLines="0" w:afterAutospacing="0" w:line="360" w:lineRule="auto"/>
        <w:jc w:val="center"/>
        <w:outlineLvl w:val="0"/>
        <w:rPr>
          <w:rFonts w:ascii="Times New Roman" w:eastAsia="黑体"/>
          <w:b w:val="0"/>
          <w:sz w:val="44"/>
          <w:szCs w:val="44"/>
        </w:rPr>
      </w:pPr>
    </w:p>
    <w:p w14:paraId="4CF3E1D8">
      <w:pPr>
        <w:widowControl/>
        <w:spacing w:before="0" w:beforeLines="0" w:beforeAutospacing="0" w:after="0" w:afterLines="0" w:afterAutospacing="0" w:line="360" w:lineRule="auto"/>
        <w:jc w:val="center"/>
        <w:outlineLvl w:val="0"/>
        <w:rPr>
          <w:rFonts w:ascii="Times New Roman" w:eastAsia="黑体"/>
          <w:b w:val="0"/>
          <w:sz w:val="44"/>
          <w:szCs w:val="44"/>
        </w:rPr>
      </w:pPr>
    </w:p>
    <w:p w14:paraId="47F8B5B4">
      <w:pPr>
        <w:widowControl/>
        <w:spacing w:before="0" w:beforeLines="0" w:beforeAutospacing="0" w:after="0" w:afterLines="0" w:afterAutospacing="0" w:line="360" w:lineRule="auto"/>
        <w:jc w:val="center"/>
        <w:outlineLvl w:val="0"/>
        <w:rPr>
          <w:rFonts w:ascii="Times New Roman" w:eastAsia="黑体"/>
          <w:b w:val="0"/>
          <w:sz w:val="44"/>
          <w:szCs w:val="44"/>
        </w:rPr>
      </w:pPr>
    </w:p>
    <w:p w14:paraId="2FE88B99">
      <w:pPr>
        <w:widowControl/>
        <w:spacing w:before="0" w:beforeLines="0" w:beforeAutospacing="0" w:after="0" w:afterLines="0" w:afterAutospacing="0" w:line="360" w:lineRule="auto"/>
        <w:jc w:val="center"/>
        <w:outlineLvl w:val="0"/>
        <w:rPr>
          <w:rFonts w:ascii="Times New Roman" w:eastAsia="黑体"/>
          <w:b w:val="0"/>
          <w:sz w:val="44"/>
          <w:szCs w:val="44"/>
        </w:rPr>
      </w:pPr>
    </w:p>
    <w:p w14:paraId="02FEC694">
      <w:pPr>
        <w:widowControl/>
        <w:spacing w:before="0" w:beforeLines="0" w:beforeAutospacing="0" w:after="0" w:afterLines="0" w:afterAutospacing="0" w:line="360" w:lineRule="auto"/>
        <w:jc w:val="center"/>
        <w:outlineLvl w:val="0"/>
        <w:rPr>
          <w:rFonts w:ascii="Times New Roman" w:eastAsia="黑体"/>
          <w:b w:val="0"/>
          <w:sz w:val="44"/>
          <w:szCs w:val="44"/>
        </w:rPr>
      </w:pPr>
    </w:p>
    <w:p w14:paraId="732B4AD5">
      <w:pPr>
        <w:pStyle w:val="2"/>
        <w:rPr>
          <w:rFonts w:ascii="Times New Roman" w:eastAsia="黑体"/>
          <w:b w:val="0"/>
          <w:sz w:val="44"/>
          <w:szCs w:val="44"/>
        </w:rPr>
      </w:pPr>
    </w:p>
    <w:p w14:paraId="4E7B7C65">
      <w:pPr>
        <w:pStyle w:val="2"/>
        <w:rPr>
          <w:rFonts w:ascii="Times New Roman" w:eastAsia="黑体"/>
          <w:b w:val="0"/>
          <w:sz w:val="44"/>
          <w:szCs w:val="44"/>
        </w:rPr>
      </w:pPr>
    </w:p>
    <w:p w14:paraId="0A2091CC">
      <w:pPr>
        <w:pStyle w:val="2"/>
        <w:rPr>
          <w:rFonts w:ascii="Times New Roman" w:eastAsia="黑体"/>
          <w:b w:val="0"/>
          <w:sz w:val="44"/>
          <w:szCs w:val="44"/>
        </w:rPr>
      </w:pPr>
    </w:p>
    <w:p w14:paraId="31417DF1">
      <w:pPr>
        <w:pStyle w:val="2"/>
        <w:rPr>
          <w:rFonts w:ascii="Times New Roman" w:eastAsia="黑体"/>
          <w:b w:val="0"/>
          <w:sz w:val="44"/>
          <w:szCs w:val="44"/>
        </w:rPr>
      </w:pPr>
    </w:p>
    <w:p w14:paraId="5A904D0C">
      <w:pPr>
        <w:pStyle w:val="2"/>
        <w:rPr>
          <w:rFonts w:ascii="Times New Roman" w:eastAsia="黑体"/>
          <w:b w:val="0"/>
          <w:sz w:val="44"/>
          <w:szCs w:val="44"/>
        </w:rPr>
      </w:pPr>
    </w:p>
    <w:p w14:paraId="01DE8393">
      <w:pPr>
        <w:pStyle w:val="2"/>
        <w:rPr>
          <w:rFonts w:ascii="Times New Roman" w:eastAsia="黑体"/>
          <w:b w:val="0"/>
          <w:sz w:val="44"/>
          <w:szCs w:val="44"/>
        </w:rPr>
      </w:pPr>
    </w:p>
    <w:p w14:paraId="3B5267C7">
      <w:pPr>
        <w:pStyle w:val="2"/>
        <w:rPr>
          <w:rFonts w:ascii="Times New Roman" w:eastAsia="黑体"/>
          <w:b w:val="0"/>
          <w:sz w:val="44"/>
          <w:szCs w:val="44"/>
        </w:rPr>
      </w:pPr>
    </w:p>
    <w:p w14:paraId="29CD943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部门（单位）：中共石家庄市鹿泉区委社会工作部</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1,852.92</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24.18</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部门（单位）：中共石家庄市鹿泉区委社会工作部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1,904.12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1,904.12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84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6F4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19DD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F08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87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63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19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099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63C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BDC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ED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A04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1E0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9A7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587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4D1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1D9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6CE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075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9A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ECA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B0D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95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6F9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EA7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6F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44F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13F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505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151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5CD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1AD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7E5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439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6A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5B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6BE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7D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B6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E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C4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ADA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6AF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E55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94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567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281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9BD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E3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B55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C7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ED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D3C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35D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736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418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321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B5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217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D0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6A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A2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B62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56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B5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58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A3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94D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B2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E95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8C7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CFA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144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4E3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A4E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B7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48E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34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90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CBE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9D2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6BC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DB3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7C4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24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3B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F7D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CB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B80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34F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64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53B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8A8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F14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FD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B0A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0AE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118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CF3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4F2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41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DCE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973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8F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ABE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A40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4B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46C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64F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A05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90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BA2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E7B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19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2A8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543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C74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A6A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ED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582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54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450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A71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174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471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792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CEA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E72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0CE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CE9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27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640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345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400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6B2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D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AA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7C7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0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0FF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290"/>
        <w:gridCol w:w="1025"/>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部门（单位）：中共石家庄市鹿泉区委社会工作部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12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4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9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5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5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5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2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1,703.40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7411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21B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FB8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0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FD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682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B94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AD7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772AA">
            <w:pPr>
              <w:jc w:val="right"/>
              <w:rPr>
                <w:rFonts w:hint="default" w:ascii="Times New Roman" w:hAnsi="Times New Roman" w:eastAsia="宋体" w:cs="Times New Roman"/>
                <w:i w:val="0"/>
                <w:iCs w:val="0"/>
                <w:color w:val="000000"/>
                <w:sz w:val="20"/>
                <w:szCs w:val="20"/>
                <w:highlight w:val="none"/>
                <w:u w:val="none"/>
              </w:rPr>
            </w:pPr>
          </w:p>
        </w:tc>
      </w:tr>
      <w:tr w14:paraId="45E1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6D1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5E6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997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0B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A8D5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975F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45C3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831A8">
            <w:pPr>
              <w:jc w:val="right"/>
              <w:rPr>
                <w:rFonts w:hint="default" w:ascii="Times New Roman" w:hAnsi="Times New Roman" w:eastAsia="宋体" w:cs="Times New Roman"/>
                <w:i w:val="0"/>
                <w:iCs w:val="0"/>
                <w:color w:val="000000"/>
                <w:sz w:val="20"/>
                <w:szCs w:val="20"/>
                <w:highlight w:val="none"/>
                <w:u w:val="none"/>
              </w:rPr>
            </w:pPr>
          </w:p>
        </w:tc>
      </w:tr>
      <w:tr w14:paraId="78C0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F8B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762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91D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DE1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710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54EE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8FDF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02DB">
            <w:pPr>
              <w:jc w:val="right"/>
              <w:rPr>
                <w:rFonts w:hint="default" w:ascii="Times New Roman" w:hAnsi="Times New Roman" w:eastAsia="宋体" w:cs="Times New Roman"/>
                <w:i w:val="0"/>
                <w:iCs w:val="0"/>
                <w:color w:val="000000"/>
                <w:sz w:val="20"/>
                <w:szCs w:val="20"/>
                <w:highlight w:val="none"/>
                <w:u w:val="none"/>
              </w:rPr>
            </w:pPr>
          </w:p>
        </w:tc>
      </w:tr>
      <w:tr w14:paraId="0886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3FD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419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8E8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4D5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B05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3970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663D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4FABF">
            <w:pPr>
              <w:jc w:val="right"/>
              <w:rPr>
                <w:rFonts w:hint="default" w:ascii="Times New Roman" w:hAnsi="Times New Roman" w:eastAsia="宋体" w:cs="Times New Roman"/>
                <w:i w:val="0"/>
                <w:iCs w:val="0"/>
                <w:color w:val="000000"/>
                <w:sz w:val="20"/>
                <w:szCs w:val="20"/>
                <w:highlight w:val="none"/>
                <w:u w:val="none"/>
              </w:rPr>
            </w:pPr>
          </w:p>
        </w:tc>
      </w:tr>
      <w:tr w14:paraId="6FD36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F7D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04A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08D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8EF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9DF0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6B7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2CB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C9FAC">
            <w:pPr>
              <w:jc w:val="right"/>
              <w:rPr>
                <w:rFonts w:hint="default" w:ascii="Times New Roman" w:hAnsi="Times New Roman" w:eastAsia="宋体" w:cs="Times New Roman"/>
                <w:i w:val="0"/>
                <w:iCs w:val="0"/>
                <w:color w:val="000000"/>
                <w:sz w:val="20"/>
                <w:szCs w:val="20"/>
                <w:highlight w:val="none"/>
                <w:u w:val="none"/>
              </w:rPr>
            </w:pPr>
          </w:p>
        </w:tc>
      </w:tr>
      <w:tr w14:paraId="78CD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434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F7D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FB4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98B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1AF9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1B3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489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1E0CA">
            <w:pPr>
              <w:jc w:val="right"/>
              <w:rPr>
                <w:rFonts w:hint="default" w:ascii="Times New Roman" w:hAnsi="Times New Roman" w:eastAsia="宋体" w:cs="Times New Roman"/>
                <w:i w:val="0"/>
                <w:iCs w:val="0"/>
                <w:color w:val="000000"/>
                <w:sz w:val="20"/>
                <w:szCs w:val="20"/>
                <w:highlight w:val="none"/>
                <w:u w:val="none"/>
              </w:rPr>
            </w:pPr>
          </w:p>
        </w:tc>
      </w:tr>
      <w:tr w14:paraId="39F2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D89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DA5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106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2CA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074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401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647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50D4">
            <w:pPr>
              <w:jc w:val="right"/>
              <w:rPr>
                <w:rFonts w:hint="default" w:ascii="Times New Roman" w:hAnsi="Times New Roman" w:eastAsia="宋体" w:cs="Times New Roman"/>
                <w:i w:val="0"/>
                <w:iCs w:val="0"/>
                <w:color w:val="000000"/>
                <w:sz w:val="20"/>
                <w:szCs w:val="20"/>
                <w:highlight w:val="none"/>
                <w:u w:val="none"/>
              </w:rPr>
            </w:pPr>
          </w:p>
        </w:tc>
      </w:tr>
      <w:tr w14:paraId="287E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2A1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60A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197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55A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E81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92F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6D4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381B">
            <w:pPr>
              <w:jc w:val="right"/>
              <w:rPr>
                <w:rFonts w:hint="default" w:ascii="Times New Roman" w:hAnsi="Times New Roman" w:eastAsia="宋体" w:cs="Times New Roman"/>
                <w:i w:val="0"/>
                <w:iCs w:val="0"/>
                <w:color w:val="000000"/>
                <w:sz w:val="20"/>
                <w:szCs w:val="20"/>
                <w:highlight w:val="none"/>
                <w:u w:val="none"/>
              </w:rPr>
            </w:pPr>
          </w:p>
        </w:tc>
      </w:tr>
      <w:tr w14:paraId="650FC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864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9FC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45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6AD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8D86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0DB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7FA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2A17D">
            <w:pPr>
              <w:jc w:val="right"/>
              <w:rPr>
                <w:rFonts w:hint="default" w:ascii="Times New Roman" w:hAnsi="Times New Roman" w:eastAsia="宋体" w:cs="Times New Roman"/>
                <w:i w:val="0"/>
                <w:iCs w:val="0"/>
                <w:color w:val="000000"/>
                <w:sz w:val="20"/>
                <w:szCs w:val="20"/>
                <w:highlight w:val="none"/>
                <w:u w:val="none"/>
              </w:rPr>
            </w:pPr>
          </w:p>
        </w:tc>
      </w:tr>
      <w:tr w14:paraId="783CA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D54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490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5DE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287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CB9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9F5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181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F119C">
            <w:pPr>
              <w:jc w:val="right"/>
              <w:rPr>
                <w:rFonts w:hint="default" w:ascii="Times New Roman" w:hAnsi="Times New Roman" w:eastAsia="宋体" w:cs="Times New Roman"/>
                <w:i w:val="0"/>
                <w:iCs w:val="0"/>
                <w:color w:val="000000"/>
                <w:sz w:val="20"/>
                <w:szCs w:val="20"/>
                <w:highlight w:val="none"/>
                <w:u w:val="none"/>
              </w:rPr>
            </w:pPr>
          </w:p>
        </w:tc>
      </w:tr>
      <w:tr w14:paraId="61438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3C4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761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D08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0D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8F67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FF37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310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8A05A">
            <w:pPr>
              <w:jc w:val="right"/>
              <w:rPr>
                <w:rFonts w:hint="default" w:ascii="Times New Roman" w:hAnsi="Times New Roman" w:eastAsia="宋体" w:cs="Times New Roman"/>
                <w:i w:val="0"/>
                <w:iCs w:val="0"/>
                <w:color w:val="000000"/>
                <w:sz w:val="20"/>
                <w:szCs w:val="20"/>
                <w:highlight w:val="none"/>
                <w:u w:val="none"/>
              </w:rPr>
            </w:pPr>
          </w:p>
        </w:tc>
      </w:tr>
      <w:tr w14:paraId="56D2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50C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C92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A17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1FE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F51D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65A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23F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F1519">
            <w:pPr>
              <w:jc w:val="right"/>
              <w:rPr>
                <w:rFonts w:hint="default" w:ascii="Times New Roman" w:hAnsi="Times New Roman" w:eastAsia="宋体" w:cs="Times New Roman"/>
                <w:i w:val="0"/>
                <w:iCs w:val="0"/>
                <w:color w:val="000000"/>
                <w:sz w:val="20"/>
                <w:szCs w:val="20"/>
                <w:highlight w:val="none"/>
                <w:u w:val="none"/>
              </w:rPr>
            </w:pPr>
          </w:p>
        </w:tc>
      </w:tr>
      <w:tr w14:paraId="6F8C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A02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E2E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DAD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041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8D66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CE6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D39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010E5">
            <w:pPr>
              <w:jc w:val="right"/>
              <w:rPr>
                <w:rFonts w:hint="default" w:ascii="Times New Roman" w:hAnsi="Times New Roman" w:eastAsia="宋体" w:cs="Times New Roman"/>
                <w:i w:val="0"/>
                <w:iCs w:val="0"/>
                <w:color w:val="000000"/>
                <w:sz w:val="20"/>
                <w:szCs w:val="20"/>
                <w:highlight w:val="none"/>
                <w:u w:val="none"/>
              </w:rPr>
            </w:pPr>
          </w:p>
        </w:tc>
      </w:tr>
      <w:tr w14:paraId="59E3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497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1B1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5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5A9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8E9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4FD0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9C76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2DB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128A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部门（单位）：中共石家庄市鹿泉区委社会工作部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1,852.92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1,852.92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1,904.12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1"/>
        <w:gridCol w:w="3312"/>
        <w:gridCol w:w="975"/>
        <w:gridCol w:w="560"/>
        <w:gridCol w:w="586"/>
        <w:gridCol w:w="368"/>
        <w:gridCol w:w="120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部门（单位）：中共石家庄市鹿泉区委社会工作部</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1,904.12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1,703.40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r>
      <w:tr w14:paraId="3594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7C1C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904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AB5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FBC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FACA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r>
      <w:tr w14:paraId="41B4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7682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BDC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26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BD3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0F5E85">
            <w:pPr>
              <w:jc w:val="right"/>
              <w:rPr>
                <w:rFonts w:hint="default" w:ascii="Times New Roman" w:hAnsi="Times New Roman" w:eastAsia="宋体" w:cs="Times New Roman"/>
                <w:i w:val="0"/>
                <w:iCs w:val="0"/>
                <w:color w:val="000000"/>
                <w:sz w:val="20"/>
                <w:szCs w:val="20"/>
                <w:highlight w:val="none"/>
                <w:u w:val="none"/>
              </w:rPr>
            </w:pPr>
          </w:p>
        </w:tc>
      </w:tr>
      <w:tr w14:paraId="3A09B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3CAA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957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CDE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F996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488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1,697.65</w:t>
            </w:r>
          </w:p>
        </w:tc>
      </w:tr>
      <w:tr w14:paraId="4429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7BD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456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639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158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59E8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52FD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B9A01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51A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B3A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51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D541EC">
            <w:pPr>
              <w:jc w:val="right"/>
              <w:rPr>
                <w:rFonts w:hint="default" w:ascii="Times New Roman" w:hAnsi="Times New Roman" w:eastAsia="宋体" w:cs="Times New Roman"/>
                <w:i w:val="0"/>
                <w:iCs w:val="0"/>
                <w:color w:val="000000"/>
                <w:sz w:val="20"/>
                <w:szCs w:val="20"/>
                <w:highlight w:val="none"/>
                <w:u w:val="none"/>
              </w:rPr>
            </w:pPr>
          </w:p>
        </w:tc>
      </w:tr>
      <w:tr w14:paraId="43AC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4F90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D70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D7A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54A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6D5280">
            <w:pPr>
              <w:jc w:val="right"/>
              <w:rPr>
                <w:rFonts w:hint="default" w:ascii="Times New Roman" w:hAnsi="Times New Roman" w:eastAsia="宋体" w:cs="Times New Roman"/>
                <w:i w:val="0"/>
                <w:iCs w:val="0"/>
                <w:color w:val="000000"/>
                <w:sz w:val="20"/>
                <w:szCs w:val="20"/>
                <w:highlight w:val="none"/>
                <w:u w:val="none"/>
              </w:rPr>
            </w:pPr>
          </w:p>
        </w:tc>
      </w:tr>
      <w:tr w14:paraId="16A1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412C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FB5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2B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AF3B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6331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00494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CA58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0B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D53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B47B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5039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25D1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AE80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902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51A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3D1558">
            <w:pPr>
              <w:jc w:val="right"/>
              <w:rPr>
                <w:rFonts w:hint="default" w:ascii="Times New Roman" w:hAnsi="Times New Roman" w:eastAsia="宋体" w:cs="Times New Roman"/>
                <w:i w:val="0"/>
                <w:iCs w:val="0"/>
                <w:color w:val="000000"/>
                <w:sz w:val="20"/>
                <w:szCs w:val="20"/>
                <w:highlight w:val="none"/>
                <w:u w:val="none"/>
              </w:rPr>
            </w:pPr>
          </w:p>
        </w:tc>
      </w:tr>
      <w:tr w14:paraId="78FA9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0F9F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EA2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DDF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30A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7C46C2">
            <w:pPr>
              <w:jc w:val="right"/>
              <w:rPr>
                <w:rFonts w:hint="default" w:ascii="Times New Roman" w:hAnsi="Times New Roman" w:eastAsia="宋体" w:cs="Times New Roman"/>
                <w:i w:val="0"/>
                <w:iCs w:val="0"/>
                <w:color w:val="000000"/>
                <w:sz w:val="20"/>
                <w:szCs w:val="20"/>
                <w:highlight w:val="none"/>
                <w:u w:val="none"/>
              </w:rPr>
            </w:pPr>
          </w:p>
        </w:tc>
      </w:tr>
      <w:tr w14:paraId="5B98D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D619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E6D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871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31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E1BB36">
            <w:pPr>
              <w:jc w:val="right"/>
              <w:rPr>
                <w:rFonts w:hint="default" w:ascii="Times New Roman" w:hAnsi="Times New Roman" w:eastAsia="宋体" w:cs="Times New Roman"/>
                <w:i w:val="0"/>
                <w:iCs w:val="0"/>
                <w:color w:val="000000"/>
                <w:sz w:val="20"/>
                <w:szCs w:val="20"/>
                <w:highlight w:val="none"/>
                <w:u w:val="none"/>
              </w:rPr>
            </w:pPr>
          </w:p>
        </w:tc>
      </w:tr>
      <w:tr w14:paraId="4F9B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049E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40B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7BD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931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CCA71A">
            <w:pPr>
              <w:jc w:val="right"/>
              <w:rPr>
                <w:rFonts w:hint="default" w:ascii="Times New Roman" w:hAnsi="Times New Roman" w:eastAsia="宋体" w:cs="Times New Roman"/>
                <w:i w:val="0"/>
                <w:iCs w:val="0"/>
                <w:color w:val="000000"/>
                <w:sz w:val="20"/>
                <w:szCs w:val="20"/>
                <w:highlight w:val="none"/>
                <w:u w:val="none"/>
              </w:rPr>
            </w:pPr>
          </w:p>
        </w:tc>
      </w:tr>
      <w:tr w14:paraId="41B4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D523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32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28A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EA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9245D4">
            <w:pPr>
              <w:jc w:val="right"/>
              <w:rPr>
                <w:rFonts w:hint="default" w:ascii="Times New Roman" w:hAnsi="Times New Roman" w:eastAsia="宋体" w:cs="Times New Roman"/>
                <w:i w:val="0"/>
                <w:iCs w:val="0"/>
                <w:color w:val="000000"/>
                <w:sz w:val="20"/>
                <w:szCs w:val="20"/>
                <w:highlight w:val="none"/>
                <w:u w:val="none"/>
              </w:rPr>
            </w:pPr>
          </w:p>
        </w:tc>
      </w:tr>
      <w:tr w14:paraId="78A0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D389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D2C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A25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13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2E921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部门（单位）：中共石家庄市鹿泉区委社会工作部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180.19</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54.96</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3.85</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28.83</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19.64</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18.43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1.71</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9.26</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180.19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0"/>
        <w:gridCol w:w="830"/>
        <w:gridCol w:w="1474"/>
        <w:gridCol w:w="689"/>
        <w:gridCol w:w="617"/>
        <w:gridCol w:w="114"/>
        <w:gridCol w:w="913"/>
        <w:gridCol w:w="383"/>
        <w:gridCol w:w="724"/>
        <w:gridCol w:w="418"/>
        <w:gridCol w:w="190"/>
        <w:gridCol w:w="5"/>
        <w:gridCol w:w="47"/>
        <w:gridCol w:w="460"/>
        <w:gridCol w:w="821"/>
        <w:gridCol w:w="10"/>
        <w:gridCol w:w="315"/>
        <w:gridCol w:w="1418"/>
        <w:gridCol w:w="622"/>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1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5"/>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部门（单位）：中共石家庄市鹿泉区委社会工作部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5"/>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9"/>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exact"/>
        </w:trPr>
        <w:tc>
          <w:tcPr>
            <w:tcW w:w="1304"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10"/>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5"/>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04"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5"/>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9"/>
            <w:tcBorders>
              <w:top w:val="single" w:color="000000" w:themeColor="text1" w:sz="8" w:space="0"/>
              <w:left w:val="nil"/>
              <w:bottom w:val="nil"/>
              <w:right w:val="nil"/>
            </w:tcBorders>
            <w:noWrap/>
            <w:vAlign w:val="center"/>
          </w:tcPr>
          <w:p w14:paraId="25380B7A">
            <w:pP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r w14:paraId="59565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9"/>
            <w:tcBorders>
              <w:top w:val="single" w:color="000000" w:themeColor="text1" w:sz="8" w:space="0"/>
              <w:left w:val="nil"/>
              <w:bottom w:val="nil"/>
              <w:right w:val="nil"/>
            </w:tcBorders>
            <w:noWrap/>
            <w:vAlign w:val="center"/>
          </w:tcPr>
          <w:p w14:paraId="6B3AC9E9">
            <w:pP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p>
        </w:tc>
      </w:tr>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550" w:hRule="atLeast"/>
        </w:trPr>
        <w:tc>
          <w:tcPr>
            <w:tcW w:w="4498" w:type="pct"/>
            <w:gridSpan w:val="17"/>
            <w:tcBorders>
              <w:top w:val="nil"/>
              <w:left w:val="nil"/>
              <w:bottom w:val="nil"/>
              <w:right w:val="nil"/>
            </w:tcBorders>
            <w:noWrap/>
            <w:vAlign w:val="bottom"/>
          </w:tcPr>
          <w:p w14:paraId="6120D892">
            <w:pPr>
              <w:jc w:val="center"/>
              <w:rPr>
                <w:rFonts w:hint="eastAsia" w:ascii="宋体" w:hAnsi="宋体" w:eastAsia="宋体" w:cs="宋体"/>
                <w:i w:val="0"/>
                <w:iCs w:val="0"/>
                <w:color w:val="000000"/>
                <w:sz w:val="20"/>
                <w:szCs w:val="20"/>
                <w:highlight w:val="none"/>
                <w:u w:val="none"/>
              </w:rPr>
            </w:pPr>
            <w:r>
              <w:rPr>
                <w:rFonts w:hint="eastAsia" w:ascii="仿宋_GB2312" w:hAnsi="宋体" w:eastAsia="仿宋_GB2312"/>
                <w:b/>
                <w:color w:val="auto"/>
                <w:kern w:val="0"/>
                <w:sz w:val="32"/>
                <w:szCs w:val="32"/>
                <w:highlight w:val="none"/>
              </w:rPr>
              <w:br w:type="page"/>
            </w: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00" w:hRule="atLeast"/>
        </w:trPr>
        <w:tc>
          <w:tcPr>
            <w:tcW w:w="4498" w:type="pct"/>
            <w:gridSpan w:val="17"/>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00" w:hRule="atLeast"/>
        </w:trPr>
        <w:tc>
          <w:tcPr>
            <w:tcW w:w="1776" w:type="pct"/>
            <w:gridSpan w:val="5"/>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部门（单位）：中共石家庄市鹿泉区委社会工作部</w:t>
            </w:r>
          </w:p>
        </w:tc>
        <w:tc>
          <w:tcPr>
            <w:tcW w:w="1278" w:type="pct"/>
            <w:gridSpan w:val="7"/>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442" w:type="pct"/>
            <w:gridSpan w:val="5"/>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12" w:hRule="atLeast"/>
        </w:trPr>
        <w:tc>
          <w:tcPr>
            <w:tcW w:w="2395" w:type="pct"/>
            <w:gridSpan w:val="7"/>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103" w:type="pct"/>
            <w:gridSpan w:val="10"/>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12" w:hRule="atLeast"/>
        </w:trPr>
        <w:tc>
          <w:tcPr>
            <w:tcW w:w="2395" w:type="pct"/>
            <w:gridSpan w:val="7"/>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103" w:type="pct"/>
            <w:gridSpan w:val="10"/>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12" w:hRule="exact"/>
        </w:trPr>
        <w:tc>
          <w:tcPr>
            <w:tcW w:w="1427"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967" w:type="pct"/>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637" w:type="pct"/>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638" w:type="pct"/>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826" w:type="pct"/>
            <w:gridSpan w:val="2"/>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12" w:hRule="atLeast"/>
        </w:trPr>
        <w:tc>
          <w:tcPr>
            <w:tcW w:w="1427"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67" w:type="pct"/>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37" w:type="pct"/>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38" w:type="pct"/>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26" w:type="pct"/>
            <w:gridSpan w:val="2"/>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08" w:hRule="atLeast"/>
        </w:trPr>
        <w:tc>
          <w:tcPr>
            <w:tcW w:w="239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635"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63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831" w:type="pct"/>
            <w:gridSpan w:val="3"/>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08" w:hRule="atLeast"/>
        </w:trPr>
        <w:tc>
          <w:tcPr>
            <w:tcW w:w="239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635"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63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831" w:type="pct"/>
            <w:gridSpan w:val="3"/>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05" w:type="pct"/>
          <w:wAfter w:w="296" w:type="pct"/>
          <w:trHeight w:val="308" w:hRule="atLeast"/>
        </w:trPr>
        <w:tc>
          <w:tcPr>
            <w:tcW w:w="4498" w:type="pct"/>
            <w:gridSpan w:val="17"/>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w:t>
            </w:r>
          </w:p>
        </w:tc>
      </w:tr>
    </w:tbl>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部门（单位）：中共石家庄市鹿泉区委社会工作部</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73277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1279B6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both"/>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2E1437C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2025年度收、支总计（含结转和结余）均为1,904.12万元。与2024年度决算相比，收支各增加1,765.18万元，增长1,270.4%，主要原因是增加社区工作者工资保险费用项目；在编人员较2024年增加7人。</w:t>
      </w:r>
    </w:p>
    <w:p w14:paraId="55CC107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3751580" cy="1826895"/>
            <wp:effectExtent l="4445" t="4445" r="15875" b="165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7C7B3F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both"/>
        <w:textAlignment w:val="auto"/>
        <w:outlineLvl w:val="1"/>
        <w:rPr>
          <w:rFonts w:ascii="Times New Roman" w:eastAsia="黑体"/>
          <w:sz w:val="32"/>
          <w:szCs w:val="32"/>
        </w:rPr>
      </w:pPr>
      <w:r>
        <w:rPr>
          <w:rFonts w:ascii="Times New Roman" w:eastAsia="黑体"/>
          <w:b w:val="0"/>
          <w:sz w:val="32"/>
          <w:szCs w:val="32"/>
        </w:rPr>
        <w:t>二、收入决算情况说明</w:t>
      </w:r>
    </w:p>
    <w:p w14:paraId="0E9BA62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793115</wp:posOffset>
            </wp:positionH>
            <wp:positionV relativeFrom="paragraph">
              <wp:posOffset>1632585</wp:posOffset>
            </wp:positionV>
            <wp:extent cx="3895090" cy="2379345"/>
            <wp:effectExtent l="4445" t="4445" r="5715" b="1651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eastAsia="仿宋_GB2312"/>
          <w:b w:val="0"/>
          <w:sz w:val="32"/>
          <w:szCs w:val="32"/>
          <w:lang w:eastAsia="zh-CN"/>
        </w:rPr>
        <w:t>本部门</w:t>
      </w:r>
      <w:r>
        <w:rPr>
          <w:rFonts w:ascii="Times New Roman" w:eastAsia="仿宋_GB2312"/>
          <w:b w:val="0"/>
          <w:sz w:val="32"/>
          <w:szCs w:val="32"/>
        </w:rPr>
        <w:t>2025年度本年收入合计1,904.12万元，其中：财政拨款收入1,904.12万元，占100.0%；上级补助收入0.00万元，占0.0%；事业收入0.00万元，占0.0%；经营收入0.00万元，占0.0%；附属单位上缴收入0.00万元，占0.0%；其他收入0.00万元，占0.0%。</w:t>
      </w:r>
    </w:p>
    <w:p w14:paraId="4E22C8A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both"/>
        <w:textAlignment w:val="auto"/>
        <w:outlineLvl w:val="1"/>
        <w:rPr>
          <w:rFonts w:ascii="Times New Roman" w:eastAsia="黑体"/>
          <w:sz w:val="32"/>
          <w:szCs w:val="32"/>
        </w:rPr>
      </w:pPr>
      <w:r>
        <w:rPr>
          <w:rFonts w:ascii="Times New Roman" w:eastAsia="黑体"/>
          <w:b w:val="0"/>
          <w:sz w:val="32"/>
          <w:szCs w:val="32"/>
        </w:rPr>
        <w:t>三、支出决算情况说明</w:t>
      </w:r>
    </w:p>
    <w:p w14:paraId="4A380A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2025年度本年支出合计1,904.12万元，其中：基本支出200.72万元，占10.5%；项目支出1,703.40万元，占89.5%；经营支出0.00万元，占0.0%；上缴上级支出0.00万元，占0.0%；对附属单位补助支出0.00万元，占0.0%。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3684905" cy="1979295"/>
            <wp:effectExtent l="4445" t="4445" r="6350" b="1651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F1CD3F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四、财政拨款收入支出决算总体情况说明</w:t>
      </w:r>
    </w:p>
    <w:p w14:paraId="5D329DE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E7294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2025年度财政拨款收、支总计（含结转和结余）均为1,904.12万元。与2024年度相比，财政拨款收支各增加1,765.18万元，增长1,270.4%，主要原因是增加社区工作者工资保险费用项目</w:t>
      </w:r>
      <w:r>
        <w:rPr>
          <w:rFonts w:hint="eastAsia" w:ascii="Times New Roman" w:eastAsia="仿宋_GB2312"/>
          <w:b w:val="0"/>
          <w:sz w:val="32"/>
          <w:szCs w:val="32"/>
          <w:lang w:eastAsia="zh-CN"/>
        </w:rPr>
        <w:t>、</w:t>
      </w:r>
      <w:r>
        <w:rPr>
          <w:rFonts w:ascii="Times New Roman" w:eastAsia="仿宋_GB2312"/>
          <w:b w:val="0"/>
          <w:sz w:val="32"/>
          <w:szCs w:val="32"/>
        </w:rPr>
        <w:t>在编人员较2024年增加。</w:t>
      </w:r>
    </w:p>
    <w:p w14:paraId="6392E84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2025年度财政拨款本年收入1,904.12万元,比上年增加1,765.18万元，增长1,270.4%，主要原因是增加社区工作者工资保险费用项目</w:t>
      </w:r>
      <w:r>
        <w:rPr>
          <w:rFonts w:hint="eastAsia" w:ascii="Times New Roman" w:eastAsia="仿宋_GB2312"/>
          <w:b w:val="0"/>
          <w:sz w:val="32"/>
          <w:szCs w:val="32"/>
          <w:lang w:eastAsia="zh-CN"/>
        </w:rPr>
        <w:t>、</w:t>
      </w:r>
      <w:r>
        <w:rPr>
          <w:rFonts w:ascii="Times New Roman" w:eastAsia="仿宋_GB2312"/>
          <w:b w:val="0"/>
          <w:sz w:val="32"/>
          <w:szCs w:val="32"/>
        </w:rPr>
        <w:t>在编人员较2024年增加7人；本年支出1,904.12万元，比上年增加1,765.18万元，增长1,270.4%，主要原因是增加社区工作者工资保险费用项目</w:t>
      </w:r>
      <w:r>
        <w:rPr>
          <w:rFonts w:hint="eastAsia" w:ascii="Times New Roman" w:eastAsia="仿宋_GB2312"/>
          <w:b w:val="0"/>
          <w:sz w:val="32"/>
          <w:szCs w:val="32"/>
          <w:lang w:eastAsia="zh-CN"/>
        </w:rPr>
        <w:t>、</w:t>
      </w:r>
      <w:r>
        <w:rPr>
          <w:rFonts w:ascii="Times New Roman" w:eastAsia="仿宋_GB2312"/>
          <w:b w:val="0"/>
          <w:sz w:val="32"/>
          <w:szCs w:val="32"/>
        </w:rPr>
        <w:t>在编人员较2024年增加7人。具体情况如下：</w:t>
      </w:r>
    </w:p>
    <w:p w14:paraId="12F0F1E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仿宋_GB2312"/>
          <w:sz w:val="32"/>
          <w:szCs w:val="32"/>
        </w:rPr>
      </w:pPr>
      <w:r>
        <w:rPr>
          <w:rFonts w:ascii="Times New Roman" w:eastAsia="仿宋_GB2312"/>
          <w:b w:val="0"/>
          <w:sz w:val="32"/>
          <w:szCs w:val="32"/>
        </w:rPr>
        <w:t>1. 一般公共预算财政拨款本年收入1,904.12万元,比上年增加1,765.18万元，增长1,270.4%，主要原因是增加社区工作者工资保险费用项目</w:t>
      </w:r>
      <w:r>
        <w:rPr>
          <w:rFonts w:hint="eastAsia" w:ascii="Times New Roman" w:eastAsia="仿宋_GB2312"/>
          <w:b w:val="0"/>
          <w:sz w:val="32"/>
          <w:szCs w:val="32"/>
          <w:lang w:eastAsia="zh-CN"/>
        </w:rPr>
        <w:t>、</w:t>
      </w:r>
      <w:r>
        <w:rPr>
          <w:rFonts w:ascii="Times New Roman" w:eastAsia="仿宋_GB2312"/>
          <w:b w:val="0"/>
          <w:sz w:val="32"/>
          <w:szCs w:val="32"/>
        </w:rPr>
        <w:t>在编人员较2024年增加7人导致人员支</w:t>
      </w:r>
      <w:r>
        <w:rPr>
          <w:rFonts w:hint="eastAsia" w:ascii="Times New Roman" w:eastAsia="仿宋_GB2312"/>
          <w:b w:val="0"/>
          <w:sz w:val="32"/>
          <w:szCs w:val="32"/>
          <w:lang w:eastAsia="zh-CN"/>
        </w:rPr>
        <w:t>出</w:t>
      </w:r>
      <w:r>
        <w:rPr>
          <w:rFonts w:ascii="Times New Roman" w:eastAsia="仿宋_GB2312"/>
          <w:b w:val="0"/>
          <w:sz w:val="32"/>
          <w:szCs w:val="32"/>
        </w:rPr>
        <w:t>增加；本年支出1,904.12万元，比上年增加1,765.18万元，增长1,270.4%，主要原因是增加社区工作者工资保险费用项目</w:t>
      </w:r>
      <w:r>
        <w:rPr>
          <w:rFonts w:hint="eastAsia" w:ascii="Times New Roman" w:eastAsia="仿宋_GB2312"/>
          <w:b w:val="0"/>
          <w:sz w:val="32"/>
          <w:szCs w:val="32"/>
          <w:lang w:eastAsia="zh-CN"/>
        </w:rPr>
        <w:t>、</w:t>
      </w:r>
      <w:r>
        <w:rPr>
          <w:rFonts w:ascii="Times New Roman" w:eastAsia="仿宋_GB2312"/>
          <w:b w:val="0"/>
          <w:sz w:val="32"/>
          <w:szCs w:val="32"/>
        </w:rPr>
        <w:t>在编人员较2024年增加7人。</w:t>
      </w:r>
    </w:p>
    <w:p w14:paraId="722412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w:t>
      </w:r>
    </w:p>
    <w:p w14:paraId="75E354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p>
    <w:p w14:paraId="5737523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4265930" cy="2590165"/>
            <wp:effectExtent l="4445" t="4445" r="15875" b="1524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8BE37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0392C26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color w:val="auto"/>
          <w:sz w:val="32"/>
          <w:szCs w:val="32"/>
        </w:rPr>
      </w:pPr>
      <w:r>
        <w:rPr>
          <w:rFonts w:hint="eastAsia" w:ascii="Times New Roman" w:eastAsia="仿宋_GB2312"/>
          <w:b w:val="0"/>
          <w:color w:val="auto"/>
          <w:sz w:val="32"/>
          <w:szCs w:val="32"/>
          <w:lang w:eastAsia="zh-CN"/>
        </w:rPr>
        <w:t>本部门</w:t>
      </w:r>
      <w:r>
        <w:rPr>
          <w:rFonts w:ascii="Times New Roman" w:eastAsia="仿宋_GB2312"/>
          <w:b w:val="0"/>
          <w:color w:val="auto"/>
          <w:sz w:val="32"/>
          <w:szCs w:val="32"/>
        </w:rPr>
        <w:t>2025年度财政拨款本年收入1,904.12万元，完成年初预算的96.3%，比年初预算减少73.75万元，决算数小于预算数主要原因是社区工作者工资保险费用项目中社区工作者人数减少</w:t>
      </w:r>
      <w:r>
        <w:rPr>
          <w:rFonts w:hint="eastAsia" w:ascii="Times New Roman" w:eastAsia="仿宋_GB2312"/>
          <w:b w:val="0"/>
          <w:color w:val="auto"/>
          <w:sz w:val="32"/>
          <w:szCs w:val="32"/>
          <w:lang w:val="en-US" w:eastAsia="zh-CN"/>
        </w:rPr>
        <w:t>,</w:t>
      </w:r>
      <w:r>
        <w:rPr>
          <w:rFonts w:ascii="Times New Roman" w:eastAsia="仿宋_GB2312"/>
          <w:b w:val="0"/>
          <w:color w:val="auto"/>
          <w:sz w:val="32"/>
          <w:szCs w:val="32"/>
        </w:rPr>
        <w:t>省级财政社区建设专项资金</w:t>
      </w:r>
      <w:r>
        <w:rPr>
          <w:rFonts w:hint="eastAsia" w:ascii="Times New Roman" w:eastAsia="仿宋_GB2312"/>
          <w:b w:val="0"/>
          <w:color w:val="auto"/>
          <w:sz w:val="32"/>
          <w:szCs w:val="32"/>
          <w:lang w:eastAsia="zh-CN"/>
        </w:rPr>
        <w:t>项目调整至白鹿泉乡，我部不再执行该项目</w:t>
      </w:r>
      <w:r>
        <w:rPr>
          <w:rFonts w:ascii="Times New Roman" w:eastAsia="仿宋_GB2312"/>
          <w:b w:val="0"/>
          <w:color w:val="auto"/>
          <w:sz w:val="32"/>
          <w:szCs w:val="32"/>
        </w:rPr>
        <w:t>；本年支出1,904.12万元，完成年初预算的96.3%，比年初预算减少73.75万元，决算数小于预算数主要原因是社区工作者工资保险费用项目中社区工作者人数减少</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省级财政社区建设专项资金</w:t>
      </w:r>
      <w:r>
        <w:rPr>
          <w:rFonts w:hint="eastAsia" w:ascii="Times New Roman" w:eastAsia="仿宋_GB2312"/>
          <w:b w:val="0"/>
          <w:color w:val="auto"/>
          <w:sz w:val="32"/>
          <w:szCs w:val="32"/>
          <w:lang w:eastAsia="zh-CN"/>
        </w:rPr>
        <w:t>项目调整至白鹿泉乡，我部不再执行该项目</w:t>
      </w:r>
      <w:r>
        <w:rPr>
          <w:rFonts w:ascii="Times New Roman" w:eastAsia="仿宋_GB2312"/>
          <w:b w:val="0"/>
          <w:color w:val="auto"/>
          <w:sz w:val="32"/>
          <w:szCs w:val="32"/>
        </w:rPr>
        <w:t>。具体情况如下：</w:t>
      </w:r>
    </w:p>
    <w:p w14:paraId="5338585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 一般公共预算财政拨款本年收入完成年初预算的96.3%，比年初预算减少73.75万元，主要原因是社区工作者工资保险费用项目中社区工作者人数减少；支出完成年初预算的96.3%，比年初预算减少73.75万元，主要原因是社区工作者工资保险费用项目中社区工作者人数减少。</w:t>
      </w:r>
    </w:p>
    <w:p w14:paraId="15932F6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政府性基金预算财政拨款本年收入完成年初预算的0.0%，比年初预算增加0.00万元；支出完成年初预算的0.0%，比年初预算增加0.00万元。</w:t>
      </w:r>
    </w:p>
    <w:p w14:paraId="708DF0E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国有资本经营预算财政拨款本年收入完成年初预算的0.0%，比年初预算增加0.00万元；支出完成年初预算的0.0%，比年初预算增加0.00万元。</w:t>
      </w:r>
    </w:p>
    <w:p w14:paraId="5BE36D1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4152265" cy="1997710"/>
            <wp:effectExtent l="4445"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14F39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（三）财政拨款支出决算结构情况</w:t>
      </w:r>
    </w:p>
    <w:p w14:paraId="72F7FF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2025年度财政拨款支出1,904.12万元，主要用于以下方面：</w:t>
      </w:r>
    </w:p>
    <w:p w14:paraId="43B7C28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一般公共预算财政拨款支出：</w:t>
      </w:r>
    </w:p>
    <w:p w14:paraId="33D3B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1,852.92万元，占97.3%，主要用于在编人员工资福利支出，商品服务支出，社区工作者工资及社保、公积金等支出；外交（类）支出0.00万元，占0.0%；国防（类）支出0.00万元，占0.0%；公共安全类（类）支出0.00万元，占0.0%；教育（类）支出0.00万元，占0.0%；科学技术（类）支出0.00万元，占0.0%；文化旅游体育与传媒（类）支出0.00万元，占0.0%；社会保障和就业 （类）支出24.18万元，占1.3%，主要用于养老保险缴纳、涉军劳务派遣工资及社保等支出；卫生健康（类）支出9.26万元，占0.5%，主要用于医疗保险缴纳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17.77万元，占0.9%，主要用于住房公积金缴纳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1436E2C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3565F7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b w:val="0"/>
          <w:sz w:val="32"/>
          <w:szCs w:val="32"/>
          <w:lang w:val="en-US" w:eastAsia="zh-CN"/>
        </w:rPr>
      </w:pPr>
      <w:r>
        <w:rPr>
          <w:rFonts w:hint="eastAsia" w:ascii="Times New Roman" w:eastAsia="仿宋_GB2312"/>
          <w:b w:val="0"/>
          <w:sz w:val="32"/>
          <w:szCs w:val="32"/>
          <w:lang w:val="en-US" w:eastAsia="zh-CN"/>
        </w:rPr>
        <w:t>我部门</w:t>
      </w:r>
      <w:r>
        <w:rPr>
          <w:rFonts w:ascii="Times New Roman" w:eastAsia="仿宋_GB2312"/>
          <w:b w:val="0"/>
          <w:sz w:val="32"/>
          <w:szCs w:val="32"/>
          <w:lang w:val="en-US" w:eastAsia="zh-CN"/>
        </w:rPr>
        <w:t>不涉及政府性基金预算财政拨款收支情况。</w:t>
      </w:r>
    </w:p>
    <w:p w14:paraId="0BBCBFC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b/>
          <w:sz w:val="32"/>
          <w:szCs w:val="32"/>
        </w:rPr>
      </w:pPr>
      <w:r>
        <w:rPr>
          <w:rFonts w:ascii="Times New Roman" w:eastAsia="仿宋_GB2312"/>
          <w:b/>
          <w:sz w:val="32"/>
          <w:szCs w:val="32"/>
        </w:rPr>
        <w:t>国有资本经营预算财政拨款支出：</w:t>
      </w:r>
    </w:p>
    <w:p w14:paraId="2A1CAB90">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ascii="Times New Roman" w:eastAsia="仿宋_GB2312"/>
          <w:b w:val="0"/>
          <w:sz w:val="32"/>
          <w:szCs w:val="32"/>
          <w:lang w:val="en-US" w:eastAsia="zh-CN"/>
        </w:rPr>
      </w:pPr>
      <w:r>
        <w:rPr>
          <w:rFonts w:hint="eastAsia" w:ascii="Times New Roman" w:eastAsia="仿宋_GB2312"/>
          <w:b w:val="0"/>
          <w:sz w:val="32"/>
          <w:szCs w:val="32"/>
          <w:lang w:val="en-US" w:eastAsia="zh-CN"/>
        </w:rPr>
        <w:t>我部门</w:t>
      </w:r>
      <w:r>
        <w:rPr>
          <w:rFonts w:ascii="Times New Roman" w:eastAsia="仿宋_GB2312"/>
          <w:b w:val="0"/>
          <w:sz w:val="32"/>
          <w:szCs w:val="32"/>
          <w:lang w:val="en-US" w:eastAsia="zh-CN"/>
        </w:rPr>
        <w:t>不涉及国有资本经营预算财政拨款收支情况。</w:t>
      </w:r>
    </w:p>
    <w:p w14:paraId="1A97918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（四）一般公共预算财政拨款基本支出决算情况说明</w:t>
      </w:r>
    </w:p>
    <w:p w14:paraId="0B94617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2025年度财政拨款基本支出200.72万元，其中：</w:t>
      </w:r>
    </w:p>
    <w:p w14:paraId="561585D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人员经费180.19万元，主要包括基本工资、津贴补贴、奖金、绩效工资、机关事业部门基本养老保险缴费</w:t>
      </w:r>
      <w:r>
        <w:rPr>
          <w:rFonts w:hint="eastAsia" w:ascii="Times New Roman" w:eastAsia="仿宋_GB2312"/>
          <w:b w:val="0"/>
          <w:sz w:val="32"/>
          <w:szCs w:val="32"/>
          <w:lang w:eastAsia="zh-CN"/>
        </w:rPr>
        <w:t>、</w:t>
      </w:r>
      <w:r>
        <w:rPr>
          <w:rFonts w:ascii="Times New Roman" w:eastAsia="仿宋_GB2312"/>
          <w:b w:val="0"/>
          <w:sz w:val="32"/>
          <w:szCs w:val="32"/>
        </w:rPr>
        <w:t>职工基本医疗保险缴费、公务员医疗补助缴费、住房公积金、其他社会保障缴费。</w:t>
      </w:r>
    </w:p>
    <w:p w14:paraId="7EDCDDA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公用经费20.53万元，主要包括办公费、邮电费、取暖费、培训费、劳务费、委托业务费、工会经费、福利费、公务用车运行维护费、其他交通费用、其他商品和服务支出、办公设备购置。</w:t>
      </w:r>
    </w:p>
    <w:p w14:paraId="355D44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 经费支出决算情况说明</w:t>
      </w:r>
    </w:p>
    <w:p w14:paraId="4FBC4B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0D1D43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三公”经费财政拨款支出预算为2.47万元，支出决算为2.47万元，完成预算的100.0%，较预算增加0.00万元，增长0.0%，主要原因是；较2024年度决算增加2.47万元，增长100.00%，主要原因是2024年度调拨公车1辆，因</w:t>
      </w:r>
      <w:r>
        <w:rPr>
          <w:rFonts w:hint="eastAsia" w:ascii="Times New Roman" w:eastAsia="仿宋_GB2312"/>
          <w:b w:val="0"/>
          <w:sz w:val="32"/>
          <w:szCs w:val="32"/>
          <w:lang w:eastAsia="zh-CN"/>
        </w:rPr>
        <w:t>我部门</w:t>
      </w:r>
      <w:r>
        <w:rPr>
          <w:rFonts w:ascii="Times New Roman" w:eastAsia="仿宋_GB2312"/>
          <w:b w:val="0"/>
          <w:sz w:val="32"/>
          <w:szCs w:val="32"/>
        </w:rPr>
        <w:t>于2024年4月成立，无相关预算，公车运行维护费用由机关事务管理中心负责。</w:t>
      </w:r>
    </w:p>
    <w:p w14:paraId="5602254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775AC59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hint="eastAsia" w:ascii="Times New Roman" w:eastAsia="仿宋_GB2312"/>
          <w:b w:val="0"/>
          <w:sz w:val="32"/>
          <w:szCs w:val="32"/>
          <w:lang w:eastAsia="zh-CN"/>
        </w:rPr>
        <w:t>本部门</w:t>
      </w:r>
      <w:r>
        <w:rPr>
          <w:rFonts w:ascii="Times New Roman" w:eastAsia="仿宋_GB2312"/>
          <w:b w:val="0"/>
          <w:sz w:val="32"/>
          <w:szCs w:val="32"/>
        </w:rPr>
        <w:t>2025年度因公出国（境）费支出预算为0.00万元,支出决算0.00万元。完成预算的0.0%。因公出国（境）费支出较预算增加0.00万元，增长0.0%；较上年增加0.00万元，增长0.0%。因公出国（境）团组0个、共0人、参加其他单位组织的因公出国（境）团组个、共人/无本部门组织的出国（境）团组。</w:t>
      </w:r>
    </w:p>
    <w:p w14:paraId="7873081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hint="eastAsia" w:ascii="Times New Roman" w:eastAsia="仿宋_GB2312"/>
          <w:b w:val="0"/>
          <w:sz w:val="32"/>
          <w:szCs w:val="32"/>
          <w:lang w:eastAsia="zh-CN"/>
        </w:rPr>
        <w:t>本部门</w:t>
      </w:r>
      <w:r>
        <w:rPr>
          <w:rFonts w:ascii="Times New Roman" w:eastAsia="仿宋_GB2312"/>
          <w:b w:val="0"/>
          <w:sz w:val="32"/>
          <w:szCs w:val="32"/>
        </w:rPr>
        <w:t>2025年度公务用车购置及运行维护费预算为2.47万元，支出决算2.47万元，完成预算的100.0%,较预算增加0.00万元，增长0.0%；较上年增加2.47万元，增长100.0%,主要原因是2024年度调拨公车1辆，因</w:t>
      </w:r>
      <w:r>
        <w:rPr>
          <w:rFonts w:hint="eastAsia" w:ascii="Times New Roman" w:eastAsia="仿宋_GB2312"/>
          <w:b w:val="0"/>
          <w:sz w:val="32"/>
          <w:szCs w:val="32"/>
          <w:lang w:eastAsia="zh-CN"/>
        </w:rPr>
        <w:t>我部门</w:t>
      </w:r>
      <w:r>
        <w:rPr>
          <w:rFonts w:ascii="Times New Roman" w:eastAsia="仿宋_GB2312"/>
          <w:b w:val="0"/>
          <w:sz w:val="32"/>
          <w:szCs w:val="32"/>
        </w:rPr>
        <w:t>于2024年4月成立，无相关预算，公车运行维护费用由机关事务管理中心负责。其中：</w:t>
      </w:r>
    </w:p>
    <w:p w14:paraId="16C94C1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公务用车购置费支出0.00万元：</w:t>
      </w:r>
      <w:r>
        <w:rPr>
          <w:rFonts w:hint="eastAsia" w:ascii="Times New Roman" w:eastAsia="仿宋_GB2312"/>
          <w:b w:val="0"/>
          <w:sz w:val="32"/>
          <w:szCs w:val="32"/>
          <w:lang w:eastAsia="zh-CN"/>
        </w:rPr>
        <w:t>本部门</w:t>
      </w:r>
      <w:r>
        <w:rPr>
          <w:rFonts w:ascii="Times New Roman" w:eastAsia="仿宋_GB2312"/>
          <w:b w:val="0"/>
          <w:sz w:val="32"/>
          <w:szCs w:val="32"/>
        </w:rPr>
        <w:t>2025年度公务用车购置量0辆，发生“公务用车购置”经费支出0.00万元。公务用车购置费支出较预算增加0.00万元，增长0.0%；较上年增加0.00万元，增长0.0%。</w:t>
      </w:r>
    </w:p>
    <w:p w14:paraId="1595C6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公务用车运行维护费支出2.47万元：</w:t>
      </w:r>
      <w:r>
        <w:rPr>
          <w:rFonts w:hint="eastAsia" w:ascii="Times New Roman" w:eastAsia="仿宋_GB2312"/>
          <w:b w:val="0"/>
          <w:sz w:val="32"/>
          <w:szCs w:val="32"/>
          <w:lang w:eastAsia="zh-CN"/>
        </w:rPr>
        <w:t>本部门</w:t>
      </w:r>
      <w:r>
        <w:rPr>
          <w:rFonts w:ascii="Times New Roman" w:eastAsia="仿宋_GB2312"/>
          <w:b w:val="0"/>
          <w:sz w:val="32"/>
          <w:szCs w:val="32"/>
        </w:rPr>
        <w:t>2025年度单位公务用车保有量1辆，发生运行维护费支出2.47万元。公车运行维护费支出较预算增加0.00万元，增长0.0%；较上年增加2.47万元，增长100.00%，主要原因是2024年度调拨公车1辆，因</w:t>
      </w:r>
      <w:r>
        <w:rPr>
          <w:rFonts w:hint="eastAsia" w:ascii="Times New Roman" w:eastAsia="仿宋_GB2312"/>
          <w:b w:val="0"/>
          <w:sz w:val="32"/>
          <w:szCs w:val="32"/>
          <w:lang w:eastAsia="zh-CN"/>
        </w:rPr>
        <w:t>我部门</w:t>
      </w:r>
      <w:r>
        <w:rPr>
          <w:rFonts w:ascii="Times New Roman" w:eastAsia="仿宋_GB2312"/>
          <w:b w:val="0"/>
          <w:sz w:val="32"/>
          <w:szCs w:val="32"/>
        </w:rPr>
        <w:t>于2024年4月成立，无相关预算，公车运行维护费用由机关事务管理中心负责。</w:t>
      </w:r>
    </w:p>
    <w:p w14:paraId="7BB5A24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hint="eastAsia" w:ascii="Times New Roman" w:eastAsia="仿宋_GB2312"/>
          <w:b w:val="0"/>
          <w:sz w:val="32"/>
          <w:szCs w:val="32"/>
          <w:lang w:eastAsia="zh-CN"/>
        </w:rPr>
        <w:t>本部门</w:t>
      </w:r>
      <w:r>
        <w:rPr>
          <w:rFonts w:ascii="Times New Roman" w:eastAsia="仿宋_GB2312"/>
          <w:b w:val="0"/>
          <w:sz w:val="32"/>
          <w:szCs w:val="32"/>
        </w:rPr>
        <w:t>2025年度公务接待费支出预算为0.00万元，支出决算0.00万元，完成预算的0.0%。公务接待费支出较预算增加0.00万元，增长0.0%；较上年度增加0.00万元，增长0.00%。本年度共发生公务接待0批次、0人次。</w:t>
      </w:r>
    </w:p>
    <w:p w14:paraId="545EEA2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2198AA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2025年度机关运行经费支出20.53万元，较2024年度增加13.26万元，增长182.0%。主要原因是2025年度较2024年度在编人员增加7人，公用经费支出增加。</w:t>
      </w:r>
    </w:p>
    <w:p w14:paraId="23E8147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3BF928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2025年度政府采购支出总额7.05万元，从采购类型来看，政府采购货物支出3.4万元、政府采购工程支出0.00万元、政府采购服务支出3.66万元。授予中小企业合同金额6.76万元，占政府采购支出总额的95.9%，其中授予小微企业合同金额4.36万元，占政府采购支出总额的61.8%。</w:t>
      </w:r>
    </w:p>
    <w:p w14:paraId="3773126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3C7B0F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截至2025年12月31日，</w:t>
      </w:r>
      <w:r>
        <w:rPr>
          <w:rFonts w:hint="eastAsia" w:ascii="Times New Roman" w:eastAsia="仿宋_GB2312"/>
          <w:b w:val="0"/>
          <w:sz w:val="32"/>
          <w:szCs w:val="32"/>
          <w:lang w:eastAsia="zh-CN"/>
        </w:rPr>
        <w:t>本部门</w:t>
      </w:r>
      <w:r>
        <w:rPr>
          <w:rFonts w:ascii="Times New Roman" w:eastAsia="仿宋_GB2312"/>
          <w:b w:val="0"/>
          <w:sz w:val="32"/>
          <w:szCs w:val="32"/>
        </w:rPr>
        <w:t>共有车辆1辆，比上年增加0辆。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717DB6F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九、关于2025年度绩效评价情况的说明</w:t>
      </w:r>
    </w:p>
    <w:p w14:paraId="544F85B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61A0CD8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w:t>
      </w:r>
      <w:r>
        <w:rPr>
          <w:rFonts w:hint="eastAsia" w:ascii="Times New Roman" w:eastAsia="仿宋_GB2312"/>
          <w:b w:val="0"/>
          <w:sz w:val="32"/>
          <w:szCs w:val="32"/>
          <w:lang w:eastAsia="zh-CN"/>
        </w:rPr>
        <w:t>本部门</w:t>
      </w:r>
      <w:r>
        <w:rPr>
          <w:rFonts w:ascii="Times New Roman" w:eastAsia="仿宋_GB2312"/>
          <w:b w:val="0"/>
          <w:sz w:val="32"/>
          <w:szCs w:val="32"/>
        </w:rPr>
        <w:t>组织对2025年度本级预算项目支出全面开展绩效自评，共涉及资金1,703.40万元（决算金额）。其中，一般公共预算项目1</w:t>
      </w:r>
      <w:r>
        <w:rPr>
          <w:rFonts w:hint="eastAsia" w:ascii="Times New Roman" w:eastAsia="仿宋_GB2312"/>
          <w:b w:val="0"/>
          <w:sz w:val="32"/>
          <w:szCs w:val="32"/>
          <w:lang w:val="en-US" w:eastAsia="zh-CN"/>
        </w:rPr>
        <w:t>1</w:t>
      </w:r>
      <w:r>
        <w:rPr>
          <w:rFonts w:ascii="Times New Roman" w:eastAsia="仿宋_GB2312"/>
          <w:b w:val="0"/>
          <w:sz w:val="32"/>
          <w:szCs w:val="32"/>
        </w:rPr>
        <w:t>个，涉及资金1,703.40万元，占一般公共预算项目支出总额的100%；政府性基金预算项目个，涉及资金万元，占政府性基金预算项目支出总额的%；国有资本经营预算项目个，涉及资金万元，占国有资本经营预算项目支出总额的%。</w:t>
      </w:r>
    </w:p>
    <w:p w14:paraId="69B44B1B">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仿宋" w:hAnsi="仿宋" w:eastAsia="仿宋"/>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社会工作部保障经费项目</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9.08</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仿宋" w:hAnsi="仿宋" w:eastAsia="仿宋"/>
          <w:sz w:val="32"/>
          <w:szCs w:val="32"/>
          <w:lang w:eastAsia="zh-CN"/>
        </w:rPr>
        <w:t>该项目能够保障日常办公需要，维持单位正常运转，综合评价</w:t>
      </w:r>
      <w:r>
        <w:rPr>
          <w:rFonts w:hint="eastAsia" w:ascii="仿宋" w:hAnsi="仿宋" w:eastAsia="仿宋"/>
          <w:sz w:val="32"/>
          <w:szCs w:val="32"/>
        </w:rPr>
        <w:t>最终得分</w:t>
      </w:r>
      <w:r>
        <w:rPr>
          <w:rFonts w:hint="eastAsia" w:ascii="仿宋" w:hAnsi="仿宋" w:eastAsia="仿宋"/>
          <w:sz w:val="32"/>
          <w:szCs w:val="32"/>
          <w:lang w:val="en-US" w:eastAsia="zh-CN"/>
        </w:rPr>
        <w:t>100</w:t>
      </w:r>
      <w:r>
        <w:rPr>
          <w:rFonts w:hint="eastAsia" w:ascii="仿宋" w:hAnsi="仿宋" w:eastAsia="仿宋"/>
          <w:sz w:val="32"/>
          <w:szCs w:val="32"/>
        </w:rPr>
        <w:t>分，综合绩效评价等级为优秀。</w:t>
      </w:r>
    </w:p>
    <w:p w14:paraId="7A9E21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（二）部门决算中项目绩效自评结果</w:t>
      </w:r>
    </w:p>
    <w:p w14:paraId="1405CB1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hint="eastAsia" w:ascii="Times New Roman" w:eastAsia="仿宋_GB2312"/>
          <w:b w:val="0"/>
          <w:sz w:val="32"/>
          <w:szCs w:val="32"/>
          <w:lang w:eastAsia="zh-CN"/>
        </w:rPr>
        <w:t>本部门</w:t>
      </w:r>
      <w:r>
        <w:rPr>
          <w:rFonts w:ascii="Times New Roman" w:eastAsia="仿宋_GB2312"/>
          <w:b w:val="0"/>
          <w:sz w:val="32"/>
          <w:szCs w:val="32"/>
        </w:rPr>
        <w:t>在今年部门决算公开中反映</w:t>
      </w:r>
      <w:r>
        <w:rPr>
          <w:rFonts w:hint="eastAsia" w:ascii="Times New Roman" w:eastAsia="仿宋_GB2312"/>
          <w:b w:val="0"/>
          <w:sz w:val="32"/>
          <w:szCs w:val="32"/>
          <w:lang w:val="en-US" w:eastAsia="zh-CN"/>
        </w:rPr>
        <w:t>村（居）务政务工作专项经费、涉军劳务派遣人员经费</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300F8A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b w:val="0"/>
          <w:sz w:val="32"/>
          <w:szCs w:val="32"/>
        </w:rPr>
        <w:t>村（居）务政务工作专项经费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4.26</w:t>
      </w:r>
      <w:r>
        <w:rPr>
          <w:rFonts w:ascii="Times New Roman" w:eastAsia="仿宋_GB2312"/>
          <w:b w:val="0"/>
          <w:sz w:val="32"/>
          <w:szCs w:val="32"/>
        </w:rPr>
        <w:t>万元，执行数为</w:t>
      </w:r>
      <w:r>
        <w:rPr>
          <w:rFonts w:hint="eastAsia" w:ascii="Times New Roman" w:eastAsia="仿宋_GB2312"/>
          <w:b w:val="0"/>
          <w:sz w:val="32"/>
          <w:szCs w:val="32"/>
          <w:lang w:val="en-US" w:eastAsia="zh-CN"/>
        </w:rPr>
        <w:t>4.26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w:t>
      </w:r>
      <w:r>
        <w:rPr>
          <w:rFonts w:hint="eastAsia" w:ascii="Times New Roman" w:eastAsia="仿宋_GB2312"/>
          <w:b w:val="0"/>
          <w:sz w:val="32"/>
          <w:szCs w:val="32"/>
        </w:rPr>
        <w:t>该项目主要用于保障规范重点村村务政务工作，办公费、律师费等相关费用及公务出差人员的住宿费、伙食、交通补助等支出，能够保障单位正常运转</w:t>
      </w:r>
      <w:r>
        <w:rPr>
          <w:rFonts w:ascii="Times New Roman" w:eastAsia="仿宋_GB2312"/>
          <w:b w:val="0"/>
          <w:sz w:val="32"/>
          <w:szCs w:val="32"/>
        </w:rPr>
        <w:t>。发现的主要问题及原因是：</w:t>
      </w:r>
      <w:r>
        <w:rPr>
          <w:rFonts w:hint="eastAsia" w:ascii="Times New Roman" w:eastAsia="仿宋_GB2312"/>
          <w:b w:val="0"/>
          <w:sz w:val="32"/>
          <w:szCs w:val="32"/>
        </w:rPr>
        <w:t>年末实际支付金额与年初预算相比差距较大</w:t>
      </w:r>
      <w:r>
        <w:rPr>
          <w:rFonts w:ascii="Times New Roman" w:eastAsia="仿宋_GB2312"/>
          <w:b w:val="0"/>
          <w:sz w:val="32"/>
          <w:szCs w:val="32"/>
        </w:rPr>
        <w:t>。</w:t>
      </w:r>
      <w:r>
        <w:rPr>
          <w:rFonts w:hint="eastAsia" w:ascii="Times New Roman" w:eastAsia="仿宋_GB2312"/>
          <w:b w:val="0"/>
          <w:sz w:val="32"/>
          <w:szCs w:val="32"/>
        </w:rPr>
        <w:t>主要原因是，单位初成立，各项工作尚处于摸索阶段，预算编制基础薄弱，工作开展存在诸多不可预见因素。</w:t>
      </w:r>
      <w:r>
        <w:rPr>
          <w:rFonts w:ascii="Times New Roman" w:eastAsia="仿宋_GB2312"/>
          <w:b w:val="0"/>
          <w:sz w:val="32"/>
          <w:szCs w:val="32"/>
        </w:rPr>
        <w:t>下一步改进措施：</w:t>
      </w:r>
      <w:r>
        <w:rPr>
          <w:rFonts w:hint="eastAsia" w:ascii="Times New Roman" w:eastAsia="仿宋_GB2312"/>
          <w:b w:val="0"/>
          <w:sz w:val="32"/>
          <w:szCs w:val="32"/>
        </w:rPr>
        <w:t>加强预算培训、管理，提升各股室负责人对预算的理解，提升预算编制的准确性。</w:t>
      </w:r>
    </w:p>
    <w:p w14:paraId="727AC2D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b w:val="0"/>
          <w:sz w:val="32"/>
          <w:szCs w:val="32"/>
        </w:rPr>
        <w:t>涉军劳务派遣人员经费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5.74</w:t>
      </w:r>
      <w:r>
        <w:rPr>
          <w:rFonts w:ascii="Times New Roman" w:eastAsia="仿宋_GB2312"/>
          <w:b w:val="0"/>
          <w:sz w:val="32"/>
          <w:szCs w:val="32"/>
        </w:rPr>
        <w:t>万元，执行数为</w:t>
      </w:r>
      <w:r>
        <w:rPr>
          <w:rFonts w:hint="eastAsia" w:ascii="Times New Roman" w:eastAsia="仿宋_GB2312"/>
          <w:b w:val="0"/>
          <w:sz w:val="32"/>
          <w:szCs w:val="32"/>
          <w:lang w:val="en-US" w:eastAsia="zh-CN"/>
        </w:rPr>
        <w:t>5.74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w:t>
      </w:r>
      <w:r>
        <w:rPr>
          <w:rFonts w:hint="eastAsia" w:ascii="Times New Roman" w:eastAsia="仿宋_GB2312"/>
          <w:b w:val="0"/>
          <w:sz w:val="32"/>
          <w:szCs w:val="32"/>
        </w:rPr>
        <w:t>该项目能够保障1名涉军劳务派遣人员工资、社保缴纳。</w:t>
      </w:r>
    </w:p>
    <w:p w14:paraId="41B92B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b w:val="0"/>
          <w:sz w:val="32"/>
          <w:szCs w:val="32"/>
        </w:rPr>
        <w:t>社会工作部保障经费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9.08</w:t>
      </w:r>
      <w:r>
        <w:rPr>
          <w:rFonts w:ascii="Times New Roman" w:eastAsia="仿宋_GB2312"/>
          <w:b w:val="0"/>
          <w:sz w:val="32"/>
          <w:szCs w:val="32"/>
        </w:rPr>
        <w:t>万元，执行数为</w:t>
      </w:r>
      <w:r>
        <w:rPr>
          <w:rFonts w:hint="eastAsia" w:ascii="Times New Roman" w:eastAsia="仿宋_GB2312"/>
          <w:b w:val="0"/>
          <w:sz w:val="32"/>
          <w:szCs w:val="32"/>
          <w:lang w:val="en-US" w:eastAsia="zh-CN"/>
        </w:rPr>
        <w:t>9.08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w:t>
      </w:r>
      <w:r>
        <w:rPr>
          <w:rFonts w:hint="eastAsia" w:ascii="Times New Roman" w:eastAsia="仿宋_GB2312"/>
          <w:b w:val="0"/>
          <w:sz w:val="32"/>
          <w:szCs w:val="32"/>
        </w:rPr>
        <w:t>该项目能够保障单位正常运转。</w:t>
      </w:r>
    </w:p>
    <w:p w14:paraId="7A39C1E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b w:val="0"/>
          <w:sz w:val="32"/>
          <w:szCs w:val="32"/>
        </w:rPr>
        <w:t>社会工作部二次开办费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2.91</w:t>
      </w:r>
      <w:r>
        <w:rPr>
          <w:rFonts w:ascii="Times New Roman" w:eastAsia="仿宋_GB2312"/>
          <w:b w:val="0"/>
          <w:sz w:val="32"/>
          <w:szCs w:val="32"/>
        </w:rPr>
        <w:t>万元，执行数为</w:t>
      </w:r>
      <w:r>
        <w:rPr>
          <w:rFonts w:hint="eastAsia" w:ascii="Times New Roman" w:eastAsia="仿宋_GB2312"/>
          <w:b w:val="0"/>
          <w:sz w:val="32"/>
          <w:szCs w:val="32"/>
          <w:lang w:val="en-US" w:eastAsia="zh-CN"/>
        </w:rPr>
        <w:t>2.91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：一是</w:t>
      </w:r>
      <w:r>
        <w:rPr>
          <w:rFonts w:hint="eastAsia" w:ascii="Times New Roman" w:eastAsia="仿宋_GB2312"/>
          <w:b w:val="0"/>
          <w:sz w:val="32"/>
          <w:szCs w:val="32"/>
        </w:rPr>
        <w:t>购买台式电脑3台、笔记本电脑1台、办公桌椅3套、文件柜2组；</w:t>
      </w:r>
      <w:r>
        <w:rPr>
          <w:rFonts w:hint="eastAsia" w:ascii="Times New Roman" w:eastAsia="仿宋_GB2312"/>
          <w:b w:val="0"/>
          <w:sz w:val="32"/>
          <w:szCs w:val="32"/>
          <w:lang w:eastAsia="zh-CN"/>
        </w:rPr>
        <w:t>二是</w:t>
      </w:r>
      <w:r>
        <w:rPr>
          <w:rFonts w:hint="eastAsia" w:ascii="Times New Roman" w:eastAsia="仿宋_GB2312"/>
          <w:b w:val="0"/>
          <w:sz w:val="32"/>
          <w:szCs w:val="32"/>
        </w:rPr>
        <w:t>保障综合服务中心正常运转。</w:t>
      </w:r>
    </w:p>
    <w:p w14:paraId="3D9CB66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lang w:eastAsia="zh-CN"/>
        </w:rPr>
      </w:pPr>
      <w:r>
        <w:rPr>
          <w:rFonts w:hint="eastAsia" w:ascii="Times New Roman" w:eastAsia="仿宋_GB2312"/>
          <w:b w:val="0"/>
          <w:sz w:val="32"/>
          <w:szCs w:val="32"/>
        </w:rPr>
        <w:t>社区工作者工资保险费用</w:t>
      </w:r>
      <w:r>
        <w:rPr>
          <w:rFonts w:hint="eastAsia" w:ascii="Times New Roman" w:eastAsia="仿宋_GB2312"/>
          <w:b w:val="0"/>
          <w:sz w:val="32"/>
          <w:szCs w:val="32"/>
          <w:lang w:eastAsia="zh-CN"/>
        </w:rPr>
        <w:t>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1660.26</w:t>
      </w:r>
      <w:r>
        <w:rPr>
          <w:rFonts w:ascii="Times New Roman" w:eastAsia="仿宋_GB2312"/>
          <w:b w:val="0"/>
          <w:sz w:val="32"/>
          <w:szCs w:val="32"/>
        </w:rPr>
        <w:t>万元，执行数为</w:t>
      </w:r>
      <w:r>
        <w:rPr>
          <w:rFonts w:hint="eastAsia" w:ascii="Times New Roman" w:eastAsia="仿宋_GB2312"/>
          <w:b w:val="0"/>
          <w:sz w:val="32"/>
          <w:szCs w:val="32"/>
          <w:lang w:val="en-US" w:eastAsia="zh-CN"/>
        </w:rPr>
        <w:t>1660.26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：能够按时、按标准发放社区工作者工资，按时、按标准缴纳社保、公积金。</w:t>
      </w:r>
    </w:p>
    <w:p w14:paraId="6896384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lang w:eastAsia="zh-CN"/>
        </w:rPr>
      </w:pPr>
      <w:r>
        <w:rPr>
          <w:rFonts w:hint="eastAsia" w:ascii="Times New Roman" w:eastAsia="仿宋_GB2312"/>
          <w:b w:val="0"/>
          <w:sz w:val="32"/>
          <w:szCs w:val="32"/>
          <w:lang w:eastAsia="zh-CN"/>
        </w:rPr>
        <w:t>社区工作者招聘第三方劳务费项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96</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3.11</w:t>
      </w:r>
      <w:r>
        <w:rPr>
          <w:rFonts w:ascii="Times New Roman" w:eastAsia="仿宋_GB2312"/>
          <w:b w:val="0"/>
          <w:sz w:val="32"/>
          <w:szCs w:val="32"/>
        </w:rPr>
        <w:t>万元，执行数为</w:t>
      </w:r>
      <w:r>
        <w:rPr>
          <w:rFonts w:hint="eastAsia" w:ascii="Times New Roman" w:eastAsia="仿宋_GB2312"/>
          <w:b w:val="0"/>
          <w:sz w:val="32"/>
          <w:szCs w:val="32"/>
          <w:lang w:val="en-US" w:eastAsia="zh-CN"/>
        </w:rPr>
        <w:t>3.11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：完成支付招聘社区工作者第三方劳务费。</w:t>
      </w:r>
    </w:p>
    <w:p w14:paraId="45E9143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lang w:eastAsia="zh-CN"/>
        </w:rPr>
      </w:pPr>
      <w:r>
        <w:rPr>
          <w:rFonts w:hint="eastAsia" w:ascii="Times New Roman" w:eastAsia="仿宋_GB2312"/>
          <w:b w:val="0"/>
          <w:sz w:val="32"/>
          <w:szCs w:val="32"/>
          <w:lang w:eastAsia="zh-CN"/>
        </w:rPr>
        <w:t>省市党建示范点建设、两企三新党组织“争先创A”行动及党支部标准化规范化建设专项经费项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9.14</w:t>
      </w:r>
      <w:r>
        <w:rPr>
          <w:rFonts w:ascii="Times New Roman" w:eastAsia="仿宋_GB2312"/>
          <w:b w:val="0"/>
          <w:sz w:val="32"/>
          <w:szCs w:val="32"/>
        </w:rPr>
        <w:t>万元，执行数为</w:t>
      </w:r>
      <w:r>
        <w:rPr>
          <w:rFonts w:hint="eastAsia" w:ascii="Times New Roman" w:eastAsia="仿宋_GB2312"/>
          <w:b w:val="0"/>
          <w:sz w:val="32"/>
          <w:szCs w:val="32"/>
          <w:lang w:val="en-US" w:eastAsia="zh-CN"/>
        </w:rPr>
        <w:t>9.14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组织非公企业党组织书记到新华区润石集团考察学习、组织民办学校到北京市八一学校保定分校和石家庄外国语教育集团学习；打造河北军鼎产业园运营有限公司为2025年度河北省新兴领域党建示范点；打造3个24小时暖新驿站；为22个社区暖新驿站配备微波炉；集中开展“夏季送清凉、冬季送温暖”系列慰问新新就业群体活动4次、座谈交流会1次；为部分党组织配送党旗党徽。</w:t>
      </w:r>
    </w:p>
    <w:p w14:paraId="0C1F920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lang w:eastAsia="zh-CN"/>
        </w:rPr>
      </w:pPr>
      <w:r>
        <w:rPr>
          <w:rFonts w:hint="eastAsia" w:ascii="Times New Roman" w:eastAsia="仿宋_GB2312"/>
          <w:b w:val="0"/>
          <w:sz w:val="32"/>
          <w:szCs w:val="32"/>
          <w:lang w:eastAsia="zh-CN"/>
        </w:rPr>
        <w:t>非公企业和社会组织党组织建设专项工作经费项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97</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1.87</w:t>
      </w:r>
      <w:r>
        <w:rPr>
          <w:rFonts w:ascii="Times New Roman" w:eastAsia="仿宋_GB2312"/>
          <w:b w:val="0"/>
          <w:sz w:val="32"/>
          <w:szCs w:val="32"/>
        </w:rPr>
        <w:t>万元，执行数为</w:t>
      </w:r>
      <w:r>
        <w:rPr>
          <w:rFonts w:hint="eastAsia" w:ascii="Times New Roman" w:eastAsia="仿宋_GB2312"/>
          <w:b w:val="0"/>
          <w:sz w:val="32"/>
          <w:szCs w:val="32"/>
          <w:lang w:val="en-US" w:eastAsia="zh-CN"/>
        </w:rPr>
        <w:t>1.87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：组织非公企业和社会组织培训2次，涉及180余人次；订阅党员教育报刊杂志10余种。</w:t>
      </w:r>
      <w:r>
        <w:rPr>
          <w:rFonts w:ascii="Times New Roman" w:eastAsia="仿宋_GB2312"/>
          <w:b w:val="0"/>
          <w:sz w:val="32"/>
          <w:szCs w:val="32"/>
        </w:rPr>
        <w:t>发现的主要问题及原因是：</w:t>
      </w:r>
      <w:r>
        <w:rPr>
          <w:rFonts w:hint="eastAsia" w:ascii="Times New Roman" w:eastAsia="仿宋_GB2312"/>
          <w:b w:val="0"/>
          <w:sz w:val="32"/>
          <w:szCs w:val="32"/>
          <w:lang w:eastAsia="zh-CN"/>
        </w:rPr>
        <w:t>年末实际支付金额与年初预算相比差距较大，主要原因是，单位初成立，各项工作尚处于摸索阶段，预算编制基础薄弱，工作开展存在诸多不可预见因素。下一步，将加强预算培训、管理，提升各股室负责人对预算的理解，提升预算编制的准确性。</w:t>
      </w:r>
    </w:p>
    <w:p w14:paraId="1CA176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default" w:ascii="Times New Roman" w:eastAsia="仿宋_GB2312"/>
          <w:b w:val="0"/>
          <w:sz w:val="32"/>
          <w:szCs w:val="32"/>
          <w:lang w:val="en-US" w:eastAsia="zh-CN"/>
        </w:rPr>
      </w:pPr>
      <w:r>
        <w:rPr>
          <w:rFonts w:hint="eastAsia" w:ascii="Times New Roman" w:eastAsia="仿宋_GB2312"/>
          <w:b w:val="0"/>
          <w:sz w:val="32"/>
          <w:szCs w:val="32"/>
          <w:lang w:eastAsia="zh-CN"/>
        </w:rPr>
        <w:t>基层治理业务费项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93</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2.64</w:t>
      </w:r>
      <w:r>
        <w:rPr>
          <w:rFonts w:ascii="Times New Roman" w:eastAsia="仿宋_GB2312"/>
          <w:b w:val="0"/>
          <w:sz w:val="32"/>
          <w:szCs w:val="32"/>
        </w:rPr>
        <w:t>万元，执行数为</w:t>
      </w:r>
      <w:r>
        <w:rPr>
          <w:rFonts w:hint="eastAsia" w:ascii="Times New Roman" w:eastAsia="仿宋_GB2312"/>
          <w:b w:val="0"/>
          <w:sz w:val="32"/>
          <w:szCs w:val="32"/>
          <w:lang w:val="en-US" w:eastAsia="zh-CN"/>
        </w:rPr>
        <w:t>2.64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：组织业务培训280人次，相关工作办公费、差旅费、挖掘典型、宣传等方面费用。</w:t>
      </w:r>
      <w:r>
        <w:rPr>
          <w:rFonts w:ascii="Times New Roman" w:eastAsia="仿宋_GB2312"/>
          <w:b w:val="0"/>
          <w:sz w:val="32"/>
          <w:szCs w:val="32"/>
        </w:rPr>
        <w:t>发现的主要问题及原因是：</w:t>
      </w:r>
      <w:r>
        <w:rPr>
          <w:rFonts w:hint="eastAsia" w:ascii="Times New Roman" w:eastAsia="仿宋_GB2312"/>
          <w:b w:val="0"/>
          <w:sz w:val="32"/>
          <w:szCs w:val="32"/>
          <w:lang w:eastAsia="zh-CN"/>
        </w:rPr>
        <w:t>数量指标“基层群众性自治组织特别法人统一社会信用代码证书印刷张数”未完成，主要原因是因职能分工调整，基层群众性自治组织特别法人统一社会信用代码证书印刷由区民政局负责，我部不再负责。下一步，将加强与股室沟通，各项目目标、指标发生变化及时调整项目库绩效目标。</w:t>
      </w:r>
    </w:p>
    <w:p w14:paraId="234C178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b w:val="0"/>
          <w:sz w:val="32"/>
          <w:szCs w:val="32"/>
        </w:rPr>
        <w:t>开展常态化志愿服务和志愿服务人员业务培训费</w:t>
      </w:r>
      <w:r>
        <w:rPr>
          <w:rFonts w:hint="eastAsia" w:ascii="Times New Roman" w:eastAsia="仿宋_GB2312"/>
          <w:b w:val="0"/>
          <w:sz w:val="32"/>
          <w:szCs w:val="32"/>
          <w:lang w:eastAsia="zh-CN"/>
        </w:rPr>
        <w:t>项</w:t>
      </w:r>
      <w:r>
        <w:rPr>
          <w:rFonts w:ascii="Times New Roman" w:eastAsia="仿宋_GB2312"/>
          <w:b w:val="0"/>
          <w:sz w:val="32"/>
          <w:szCs w:val="32"/>
        </w:rPr>
        <w:t>目绩效自评情况：根据年初设定的绩效目标，项目绩效自评得分为</w:t>
      </w:r>
      <w:r>
        <w:rPr>
          <w:rFonts w:hint="eastAsia" w:ascii="Times New Roman" w:eastAsia="仿宋_GB2312"/>
          <w:b w:val="0"/>
          <w:sz w:val="32"/>
          <w:szCs w:val="32"/>
          <w:lang w:val="en-US" w:eastAsia="zh-CN"/>
        </w:rPr>
        <w:t>99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3.93</w:t>
      </w:r>
      <w:r>
        <w:rPr>
          <w:rFonts w:ascii="Times New Roman" w:eastAsia="仿宋_GB2312"/>
          <w:b w:val="0"/>
          <w:sz w:val="32"/>
          <w:szCs w:val="32"/>
        </w:rPr>
        <w:t>万元，执行数为</w:t>
      </w:r>
      <w:r>
        <w:rPr>
          <w:rFonts w:hint="eastAsia" w:ascii="Times New Roman" w:eastAsia="仿宋_GB2312"/>
          <w:b w:val="0"/>
          <w:sz w:val="32"/>
          <w:szCs w:val="32"/>
          <w:lang w:val="en-US" w:eastAsia="zh-CN"/>
        </w:rPr>
        <w:t>3.93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：一是志愿服务培训1次，培训人员100人。二是组织“双节”送温暖志愿服务暖冬活动、鲜花送雷锋、植树、祭祀宣传、七一、中秋慰问等活动。</w:t>
      </w:r>
    </w:p>
    <w:p w14:paraId="48DFD5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（三）部门评价项目绩效评价结果</w:t>
      </w:r>
    </w:p>
    <w:p w14:paraId="2318CB7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eastAsia="仿宋_GB2312" w:cs="仿宋_GB2312"/>
          <w:kern w:val="0"/>
          <w:sz w:val="32"/>
          <w:szCs w:val="32"/>
        </w:rPr>
        <w:t>总体来说</w:t>
      </w:r>
      <w:r>
        <w:rPr>
          <w:rFonts w:hint="eastAsia" w:ascii="仿宋_GB2312" w:hAnsi="仿宋_GB2312" w:eastAsia="仿宋_GB2312" w:cs="仿宋_GB2312"/>
          <w:sz w:val="32"/>
          <w:szCs w:val="32"/>
          <w:lang w:eastAsia="zh-CN"/>
        </w:rPr>
        <w:t>我部门</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lang w:eastAsia="zh-CN"/>
        </w:rPr>
        <w:t>年度</w:t>
      </w:r>
      <w:r>
        <w:rPr>
          <w:rFonts w:hint="eastAsia" w:ascii="仿宋_GB2312" w:eastAsia="仿宋_GB2312" w:cs="仿宋_GB2312"/>
          <w:kern w:val="0"/>
          <w:sz w:val="32"/>
          <w:szCs w:val="32"/>
        </w:rPr>
        <w:t>资金使用合规。从资金申请、</w:t>
      </w:r>
      <w:r>
        <w:rPr>
          <w:rFonts w:hint="eastAsia" w:ascii="仿宋_GB2312" w:eastAsia="仿宋_GB2312" w:cs="仿宋_GB2312"/>
          <w:kern w:val="0"/>
          <w:sz w:val="32"/>
          <w:szCs w:val="32"/>
          <w:lang w:eastAsia="zh-CN"/>
        </w:rPr>
        <w:t>支出</w:t>
      </w:r>
      <w:r>
        <w:rPr>
          <w:rFonts w:hint="eastAsia" w:ascii="仿宋_GB2312" w:eastAsia="仿宋_GB2312" w:cs="仿宋_GB2312"/>
          <w:kern w:val="0"/>
          <w:sz w:val="32"/>
          <w:szCs w:val="32"/>
        </w:rPr>
        <w:t>审批到最后</w:t>
      </w:r>
      <w:r>
        <w:rPr>
          <w:rFonts w:hint="eastAsia" w:ascii="仿宋_GB2312" w:eastAsia="仿宋_GB2312" w:cs="仿宋_GB2312"/>
          <w:kern w:val="0"/>
          <w:sz w:val="32"/>
          <w:szCs w:val="32"/>
          <w:lang w:eastAsia="zh-CN"/>
        </w:rPr>
        <w:t>支付，</w:t>
      </w:r>
      <w:r>
        <w:rPr>
          <w:rFonts w:hint="eastAsia" w:ascii="仿宋_GB2312" w:eastAsia="仿宋_GB2312" w:cs="仿宋_GB2312"/>
          <w:kern w:val="0"/>
          <w:sz w:val="32"/>
          <w:szCs w:val="32"/>
        </w:rPr>
        <w:t>都按照中央、省、市相关财政政策实施，符合财务管理规定。</w:t>
      </w:r>
      <w:r>
        <w:rPr>
          <w:rFonts w:hint="eastAsia" w:ascii="仿宋" w:hAnsi="仿宋" w:eastAsia="仿宋" w:cs="仿宋"/>
          <w:sz w:val="32"/>
          <w:szCs w:val="32"/>
        </w:rPr>
        <w:t>资金绩效</w:t>
      </w:r>
      <w:r>
        <w:rPr>
          <w:rFonts w:hint="eastAsia" w:ascii="仿宋_GB2312" w:eastAsia="仿宋_GB2312" w:cs="仿宋_GB2312"/>
          <w:kern w:val="0"/>
          <w:sz w:val="32"/>
          <w:szCs w:val="32"/>
        </w:rPr>
        <w:t>评优率达</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w:t>
      </w:r>
      <w:r>
        <w:rPr>
          <w:rFonts w:hint="eastAsia" w:ascii="仿宋_GB2312" w:hAnsi="仿宋_GB2312" w:eastAsia="仿宋_GB2312" w:cs="仿宋_GB2312"/>
          <w:sz w:val="32"/>
          <w:szCs w:val="32"/>
          <w:lang w:eastAsia="zh-CN"/>
        </w:rPr>
        <w:t>综合绩效评价等级为优秀。</w:t>
      </w:r>
    </w:p>
    <w:p w14:paraId="7198215D">
      <w:pPr>
        <w:keepNext w:val="0"/>
        <w:keepLines w:val="0"/>
        <w:pageBreakBefore w:val="0"/>
        <w:widowControl/>
        <w:kinsoku/>
        <w:wordWrap/>
        <w:overflowPunct/>
        <w:topLinePunct w:val="0"/>
        <w:autoSpaceDE/>
        <w:autoSpaceDN/>
        <w:bidi w:val="0"/>
        <w:spacing w:before="0" w:beforeAutospacing="0" w:after="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cs="宋体"/>
          <w:b w:val="0"/>
          <w:sz w:val="32"/>
          <w:szCs w:val="32"/>
          <w:lang w:val="en-US" w:eastAsia="zh-CN"/>
        </w:rPr>
        <w:t>1.</w:t>
      </w:r>
      <w:r>
        <w:rPr>
          <w:rFonts w:hint="eastAsia" w:ascii="Times New Roman" w:eastAsia="仿宋_GB2312"/>
          <w:b w:val="0"/>
          <w:sz w:val="32"/>
          <w:szCs w:val="32"/>
        </w:rPr>
        <w:t>存在的主要问题</w:t>
      </w:r>
    </w:p>
    <w:p w14:paraId="617D433A">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一是个别项目年末实际支付金额与年初预算相比差距较大。主要原因是，单位初成立，各项工作尚处于摸索阶段，预算编制基础薄弱，工作开展存在诸多不可预见因素。</w:t>
      </w:r>
    </w:p>
    <w:p w14:paraId="48A88CA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二是个别项目因工作实际发生变化，没有及时调整绩效目标。</w:t>
      </w:r>
    </w:p>
    <w:p w14:paraId="733AB348">
      <w:pPr>
        <w:keepNext w:val="0"/>
        <w:keepLines w:val="0"/>
        <w:pageBreakBefore w:val="0"/>
        <w:widowControl/>
        <w:kinsoku/>
        <w:wordWrap/>
        <w:overflowPunct/>
        <w:topLinePunct w:val="0"/>
        <w:autoSpaceDE/>
        <w:autoSpaceDN/>
        <w:bidi w:val="0"/>
        <w:spacing w:before="0" w:beforeAutospacing="0" w:after="0" w:afterAutospacing="0" w:line="578" w:lineRule="exact"/>
        <w:ind w:firstLine="640" w:firstLineChars="200"/>
        <w:jc w:val="both"/>
        <w:textAlignment w:val="auto"/>
        <w:rPr>
          <w:rFonts w:hint="eastAsia" w:ascii="Times New Roman" w:eastAsia="仿宋_GB2312"/>
          <w:b w:val="0"/>
          <w:sz w:val="32"/>
          <w:szCs w:val="32"/>
        </w:rPr>
      </w:pPr>
      <w:r>
        <w:rPr>
          <w:rFonts w:hint="eastAsia" w:ascii="Times New Roman" w:eastAsia="仿宋_GB2312" w:cs="宋体"/>
          <w:b w:val="0"/>
          <w:sz w:val="32"/>
          <w:szCs w:val="32"/>
          <w:lang w:val="en-US" w:eastAsia="zh-CN"/>
        </w:rPr>
        <w:t>2.</w:t>
      </w:r>
      <w:r>
        <w:rPr>
          <w:rFonts w:hint="eastAsia" w:ascii="Times New Roman" w:eastAsia="仿宋_GB2312"/>
          <w:b w:val="0"/>
          <w:sz w:val="32"/>
          <w:szCs w:val="32"/>
        </w:rPr>
        <w:t>针对问题提出具体的改进措施或建议</w:t>
      </w:r>
    </w:p>
    <w:p w14:paraId="5A9A8DD2">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sz w:val="32"/>
          <w:szCs w:val="32"/>
          <w:highlight w:val="none"/>
          <w:lang w:eastAsia="zh-CN"/>
        </w:rPr>
      </w:pPr>
      <w:r>
        <w:rPr>
          <w:rFonts w:hint="eastAsia" w:ascii="仿宋_GB2312" w:eastAsia="仿宋_GB2312" w:cs="仿宋_GB2312"/>
          <w:kern w:val="0"/>
          <w:sz w:val="32"/>
          <w:szCs w:val="32"/>
          <w:highlight w:val="none"/>
          <w:lang w:val="en-US" w:eastAsia="zh-CN"/>
        </w:rPr>
        <w:t>下一步，我部门将加强预算培训、管理，提升各股室负责人对预算的理解，</w:t>
      </w:r>
      <w:r>
        <w:rPr>
          <w:rFonts w:hint="eastAsia" w:ascii="仿宋_GB2312" w:eastAsia="仿宋_GB2312" w:cs="仿宋_GB2312"/>
          <w:kern w:val="0"/>
          <w:sz w:val="32"/>
          <w:szCs w:val="32"/>
          <w:highlight w:val="none"/>
          <w:lang w:eastAsia="zh-CN"/>
        </w:rPr>
        <w:t>提高预算编制业务能力；</w:t>
      </w:r>
      <w:r>
        <w:rPr>
          <w:rFonts w:hint="eastAsia" w:ascii="仿宋_GB2312" w:eastAsia="仿宋_GB2312" w:cs="仿宋_GB2312"/>
          <w:kern w:val="0"/>
          <w:sz w:val="32"/>
          <w:szCs w:val="32"/>
          <w:highlight w:val="none"/>
        </w:rPr>
        <w:t>细化部门预算内容，强化绩效目标、绩效指标的合理性、合规性，科学严谨编制年度预算，保证预算的准确性。</w:t>
      </w:r>
      <w:r>
        <w:rPr>
          <w:rFonts w:hint="eastAsia" w:ascii="仿宋" w:hAnsi="仿宋" w:eastAsia="仿宋" w:cs="仿宋"/>
          <w:sz w:val="32"/>
          <w:szCs w:val="32"/>
          <w:highlight w:val="none"/>
        </w:rPr>
        <w:t xml:space="preserve"> </w:t>
      </w:r>
      <w:r>
        <w:rPr>
          <w:rFonts w:hint="eastAsia" w:ascii="仿宋" w:hAnsi="仿宋" w:eastAsia="仿宋" w:cs="仿宋"/>
          <w:sz w:val="32"/>
          <w:szCs w:val="32"/>
          <w:highlight w:val="none"/>
          <w:lang w:eastAsia="zh-CN"/>
        </w:rPr>
        <w:t>因实际情况发生变化，需要调整绩效目标的，及时余与财政沟通，进行绩效目标调整。</w:t>
      </w:r>
    </w:p>
    <w:p w14:paraId="4CE8EEF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黑体"/>
          <w:sz w:val="32"/>
          <w:szCs w:val="32"/>
        </w:rPr>
      </w:pPr>
      <w:r>
        <w:rPr>
          <w:rFonts w:ascii="Times New Roman" w:eastAsia="黑体"/>
          <w:b w:val="0"/>
          <w:sz w:val="32"/>
          <w:szCs w:val="32"/>
        </w:rPr>
        <w:t>十、其他需要说明的情况</w:t>
      </w:r>
    </w:p>
    <w:p w14:paraId="1566B9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w:t>
      </w:r>
      <w:r>
        <w:rPr>
          <w:rFonts w:hint="eastAsia" w:ascii="Times New Roman" w:eastAsia="仿宋_GB2312"/>
          <w:b w:val="0"/>
          <w:sz w:val="32"/>
          <w:szCs w:val="32"/>
          <w:lang w:eastAsia="zh-CN"/>
        </w:rPr>
        <w:t>本部门</w:t>
      </w:r>
      <w:r>
        <w:rPr>
          <w:rFonts w:ascii="Times New Roman" w:eastAsia="仿宋_GB2312"/>
          <w:b w:val="0"/>
          <w:sz w:val="32"/>
          <w:szCs w:val="32"/>
        </w:rPr>
        <w:t>政府性基金预算财政拨款收入支出决算表（公开07表）、国有资本经营预算财政拨款支出决算表（公开08表）无相应收支，故空表列示。</w:t>
      </w:r>
    </w:p>
    <w:p w14:paraId="185127D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8BD9503">
      <w:pPr>
        <w:pStyle w:val="2"/>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E3F544">
      <w:pPr>
        <w:pStyle w:val="2"/>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AD08BE">
      <w:pPr>
        <w:pStyle w:val="2"/>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E435A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871DF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bookmarkStart w:id="0" w:name="_GoBack"/>
      <w:bookmarkEnd w:id="0"/>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8301F9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1FA613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88A72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38F20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9F585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D054DF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75F0B8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3E26B9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F6374E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92EFCE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32A74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F6FFFC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C278A5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B19031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4BA3C2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EF8A9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4F36BB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仿宋_GB2312">
    <w:altName w:val="方正仿宋_GBK"/>
    <w:panose1 w:val="02010609030101010101"/>
    <w:charset w:val="86"/>
    <w:family w:val="auto"/>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ArialUnicodeMS">
    <w:altName w:val="DejaVu Sans"/>
    <w:panose1 w:val="00000000000000000000"/>
    <w:charset w:val="81"/>
    <w:family w:val="auto"/>
    <w:pitch w:val="default"/>
    <w:sig w:usb0="00000000" w:usb1="00000000" w:usb2="00000010" w:usb3="00000000" w:csb0="00080001"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9"/>
      <w:jc w:val="center"/>
    </w:pPr>
  </w:p>
  <w:p w14:paraId="7AD7F6B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E7EBA">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2438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07581">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B8B9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986007"/>
    <w:rsid w:val="00C65689"/>
    <w:rsid w:val="00CC2C8E"/>
    <w:rsid w:val="010D46BD"/>
    <w:rsid w:val="014B08FF"/>
    <w:rsid w:val="014D28C9"/>
    <w:rsid w:val="0179546C"/>
    <w:rsid w:val="018D561B"/>
    <w:rsid w:val="019839AC"/>
    <w:rsid w:val="01A03C5A"/>
    <w:rsid w:val="01A5267D"/>
    <w:rsid w:val="01AE3368"/>
    <w:rsid w:val="01AF6A8D"/>
    <w:rsid w:val="020C396B"/>
    <w:rsid w:val="0213141D"/>
    <w:rsid w:val="024808A2"/>
    <w:rsid w:val="02493A94"/>
    <w:rsid w:val="025C3821"/>
    <w:rsid w:val="027A3F9F"/>
    <w:rsid w:val="02C545FF"/>
    <w:rsid w:val="02DA3B1B"/>
    <w:rsid w:val="02E57B4D"/>
    <w:rsid w:val="032640B7"/>
    <w:rsid w:val="03450B90"/>
    <w:rsid w:val="037B12D4"/>
    <w:rsid w:val="03804D63"/>
    <w:rsid w:val="038B765F"/>
    <w:rsid w:val="03F5128D"/>
    <w:rsid w:val="03FB73B0"/>
    <w:rsid w:val="04642795"/>
    <w:rsid w:val="04806B11"/>
    <w:rsid w:val="04966B99"/>
    <w:rsid w:val="049C1B9D"/>
    <w:rsid w:val="04BD008C"/>
    <w:rsid w:val="04C01756"/>
    <w:rsid w:val="04C23EFF"/>
    <w:rsid w:val="04C55939"/>
    <w:rsid w:val="04DA28BB"/>
    <w:rsid w:val="04F528BE"/>
    <w:rsid w:val="050E10CE"/>
    <w:rsid w:val="05330914"/>
    <w:rsid w:val="054F2DFB"/>
    <w:rsid w:val="05500244"/>
    <w:rsid w:val="056321A1"/>
    <w:rsid w:val="056D7748"/>
    <w:rsid w:val="056F673D"/>
    <w:rsid w:val="057730B9"/>
    <w:rsid w:val="05991C82"/>
    <w:rsid w:val="05CD1EC8"/>
    <w:rsid w:val="05E57574"/>
    <w:rsid w:val="05EA0443"/>
    <w:rsid w:val="061416A9"/>
    <w:rsid w:val="061D60A6"/>
    <w:rsid w:val="06206A3C"/>
    <w:rsid w:val="06236884"/>
    <w:rsid w:val="063B6F48"/>
    <w:rsid w:val="06493CDF"/>
    <w:rsid w:val="067B1A01"/>
    <w:rsid w:val="06B07006"/>
    <w:rsid w:val="06FC7C2A"/>
    <w:rsid w:val="070B57B7"/>
    <w:rsid w:val="07533AFE"/>
    <w:rsid w:val="07AC18F2"/>
    <w:rsid w:val="07B3657A"/>
    <w:rsid w:val="07C609BE"/>
    <w:rsid w:val="07C857D0"/>
    <w:rsid w:val="081163FE"/>
    <w:rsid w:val="0828546F"/>
    <w:rsid w:val="08331281"/>
    <w:rsid w:val="08380F8C"/>
    <w:rsid w:val="083F3A0A"/>
    <w:rsid w:val="085356C5"/>
    <w:rsid w:val="08AB5AAF"/>
    <w:rsid w:val="08C65EBD"/>
    <w:rsid w:val="08D24C32"/>
    <w:rsid w:val="08F5760F"/>
    <w:rsid w:val="09012C64"/>
    <w:rsid w:val="093B2E99"/>
    <w:rsid w:val="095D7943"/>
    <w:rsid w:val="0991024C"/>
    <w:rsid w:val="09C006C6"/>
    <w:rsid w:val="09CC13A3"/>
    <w:rsid w:val="09CF289A"/>
    <w:rsid w:val="09FA4720"/>
    <w:rsid w:val="0A10621F"/>
    <w:rsid w:val="0A357927"/>
    <w:rsid w:val="0A4422E6"/>
    <w:rsid w:val="0A464C4F"/>
    <w:rsid w:val="0A6729A3"/>
    <w:rsid w:val="0A694877"/>
    <w:rsid w:val="0A8452CE"/>
    <w:rsid w:val="0A9D77AC"/>
    <w:rsid w:val="0AA954BE"/>
    <w:rsid w:val="0ABA1F25"/>
    <w:rsid w:val="0AC31BB9"/>
    <w:rsid w:val="0AE70639"/>
    <w:rsid w:val="0AEC32FF"/>
    <w:rsid w:val="0B2A5CC1"/>
    <w:rsid w:val="0B4F5E6D"/>
    <w:rsid w:val="0B51119F"/>
    <w:rsid w:val="0B52270F"/>
    <w:rsid w:val="0B73264A"/>
    <w:rsid w:val="0B753AE2"/>
    <w:rsid w:val="0BB67D0A"/>
    <w:rsid w:val="0BBD0576"/>
    <w:rsid w:val="0BC56230"/>
    <w:rsid w:val="0BCF21BD"/>
    <w:rsid w:val="0C40232D"/>
    <w:rsid w:val="0C481041"/>
    <w:rsid w:val="0C4E53E8"/>
    <w:rsid w:val="0C6712D6"/>
    <w:rsid w:val="0C7F7845"/>
    <w:rsid w:val="0C965756"/>
    <w:rsid w:val="0C9F7900"/>
    <w:rsid w:val="0CB20B1A"/>
    <w:rsid w:val="0CB23317"/>
    <w:rsid w:val="0CEB36A9"/>
    <w:rsid w:val="0D101068"/>
    <w:rsid w:val="0D3D1A44"/>
    <w:rsid w:val="0D4E13BE"/>
    <w:rsid w:val="0D7557DF"/>
    <w:rsid w:val="0D7743A7"/>
    <w:rsid w:val="0D853E34"/>
    <w:rsid w:val="0D9C2A57"/>
    <w:rsid w:val="0DBA2892"/>
    <w:rsid w:val="0DC3019B"/>
    <w:rsid w:val="0DE47D04"/>
    <w:rsid w:val="0DF93977"/>
    <w:rsid w:val="0DF95E03"/>
    <w:rsid w:val="0DFA5D82"/>
    <w:rsid w:val="0E1E52CE"/>
    <w:rsid w:val="0E216DBE"/>
    <w:rsid w:val="0E866524"/>
    <w:rsid w:val="0E9268D3"/>
    <w:rsid w:val="0E94387A"/>
    <w:rsid w:val="0E957F1F"/>
    <w:rsid w:val="0F0E7284"/>
    <w:rsid w:val="0F28110F"/>
    <w:rsid w:val="0F37083F"/>
    <w:rsid w:val="0F4351D1"/>
    <w:rsid w:val="0F6E7933"/>
    <w:rsid w:val="0F7470AF"/>
    <w:rsid w:val="0F8751F8"/>
    <w:rsid w:val="0F891DB8"/>
    <w:rsid w:val="0F8D3287"/>
    <w:rsid w:val="0FAA3B86"/>
    <w:rsid w:val="10191346"/>
    <w:rsid w:val="10204305"/>
    <w:rsid w:val="1023528A"/>
    <w:rsid w:val="102A01A6"/>
    <w:rsid w:val="10406DB9"/>
    <w:rsid w:val="105A290D"/>
    <w:rsid w:val="10754A6C"/>
    <w:rsid w:val="108B537D"/>
    <w:rsid w:val="10B11DB1"/>
    <w:rsid w:val="10DE213A"/>
    <w:rsid w:val="10EA17D0"/>
    <w:rsid w:val="11177F57"/>
    <w:rsid w:val="11217C97"/>
    <w:rsid w:val="112B4874"/>
    <w:rsid w:val="113076C2"/>
    <w:rsid w:val="11365128"/>
    <w:rsid w:val="113A263D"/>
    <w:rsid w:val="11464C20"/>
    <w:rsid w:val="115E4926"/>
    <w:rsid w:val="117F1CC3"/>
    <w:rsid w:val="118A1FFA"/>
    <w:rsid w:val="11A85086"/>
    <w:rsid w:val="11E35B5A"/>
    <w:rsid w:val="11E42DD6"/>
    <w:rsid w:val="123E2FFB"/>
    <w:rsid w:val="124C5B94"/>
    <w:rsid w:val="125F5A1B"/>
    <w:rsid w:val="126979D6"/>
    <w:rsid w:val="129E45A7"/>
    <w:rsid w:val="13074404"/>
    <w:rsid w:val="136A5C00"/>
    <w:rsid w:val="13A825CD"/>
    <w:rsid w:val="13B97B08"/>
    <w:rsid w:val="13C527AC"/>
    <w:rsid w:val="13D36C5E"/>
    <w:rsid w:val="143B390E"/>
    <w:rsid w:val="14711797"/>
    <w:rsid w:val="147B6F17"/>
    <w:rsid w:val="148658A0"/>
    <w:rsid w:val="14D42061"/>
    <w:rsid w:val="14E9425E"/>
    <w:rsid w:val="15081C8B"/>
    <w:rsid w:val="15090D5C"/>
    <w:rsid w:val="15735CFA"/>
    <w:rsid w:val="15CC19E2"/>
    <w:rsid w:val="15CF053D"/>
    <w:rsid w:val="15E0131A"/>
    <w:rsid w:val="15E11DC0"/>
    <w:rsid w:val="15FB72C4"/>
    <w:rsid w:val="16457D9F"/>
    <w:rsid w:val="167D4675"/>
    <w:rsid w:val="16F818C7"/>
    <w:rsid w:val="16FF6115"/>
    <w:rsid w:val="17091CDA"/>
    <w:rsid w:val="17223EFF"/>
    <w:rsid w:val="1737535B"/>
    <w:rsid w:val="17411E34"/>
    <w:rsid w:val="17AA5F28"/>
    <w:rsid w:val="17B713F6"/>
    <w:rsid w:val="184350A0"/>
    <w:rsid w:val="185A42A0"/>
    <w:rsid w:val="18904FD9"/>
    <w:rsid w:val="18935485"/>
    <w:rsid w:val="18A34206"/>
    <w:rsid w:val="18B83CF3"/>
    <w:rsid w:val="18DE3B2C"/>
    <w:rsid w:val="18EF0876"/>
    <w:rsid w:val="18EF453A"/>
    <w:rsid w:val="1906685D"/>
    <w:rsid w:val="19111683"/>
    <w:rsid w:val="1911359D"/>
    <w:rsid w:val="19170735"/>
    <w:rsid w:val="19353916"/>
    <w:rsid w:val="193E101D"/>
    <w:rsid w:val="19BD4746"/>
    <w:rsid w:val="19C10AF1"/>
    <w:rsid w:val="19CE05F3"/>
    <w:rsid w:val="1A017CDA"/>
    <w:rsid w:val="1A193636"/>
    <w:rsid w:val="1A2672DE"/>
    <w:rsid w:val="1A306C84"/>
    <w:rsid w:val="1A494ADF"/>
    <w:rsid w:val="1AA81D42"/>
    <w:rsid w:val="1AB433D9"/>
    <w:rsid w:val="1AEE2FA0"/>
    <w:rsid w:val="1AFB6D70"/>
    <w:rsid w:val="1B1B11EE"/>
    <w:rsid w:val="1B1B54E4"/>
    <w:rsid w:val="1B3719E0"/>
    <w:rsid w:val="1B492FD4"/>
    <w:rsid w:val="1B6261C3"/>
    <w:rsid w:val="1B731730"/>
    <w:rsid w:val="1B882BB5"/>
    <w:rsid w:val="1B9B33C7"/>
    <w:rsid w:val="1B9D7FEC"/>
    <w:rsid w:val="1BA55461"/>
    <w:rsid w:val="1BAE1E30"/>
    <w:rsid w:val="1BE74496"/>
    <w:rsid w:val="1BFB1448"/>
    <w:rsid w:val="1C3D67D1"/>
    <w:rsid w:val="1C40731A"/>
    <w:rsid w:val="1C506572"/>
    <w:rsid w:val="1C560392"/>
    <w:rsid w:val="1C581532"/>
    <w:rsid w:val="1C816AA4"/>
    <w:rsid w:val="1C9F2E05"/>
    <w:rsid w:val="1CA15E03"/>
    <w:rsid w:val="1CA24F0C"/>
    <w:rsid w:val="1CF8716C"/>
    <w:rsid w:val="1CFC0FF0"/>
    <w:rsid w:val="1D1638FE"/>
    <w:rsid w:val="1D1E545A"/>
    <w:rsid w:val="1D3F4F4C"/>
    <w:rsid w:val="1D4B1F5B"/>
    <w:rsid w:val="1D6013F9"/>
    <w:rsid w:val="1D6C5CA0"/>
    <w:rsid w:val="1D725586"/>
    <w:rsid w:val="1D745B4F"/>
    <w:rsid w:val="1D867987"/>
    <w:rsid w:val="1D944010"/>
    <w:rsid w:val="1DD071E1"/>
    <w:rsid w:val="1DD70E85"/>
    <w:rsid w:val="1DE0470B"/>
    <w:rsid w:val="1DE74AD7"/>
    <w:rsid w:val="1DF60A19"/>
    <w:rsid w:val="1DFA6713"/>
    <w:rsid w:val="1E050843"/>
    <w:rsid w:val="1E2D3FB0"/>
    <w:rsid w:val="1E2E50F1"/>
    <w:rsid w:val="1E3B4E26"/>
    <w:rsid w:val="1E445E34"/>
    <w:rsid w:val="1E505DFB"/>
    <w:rsid w:val="1E814132"/>
    <w:rsid w:val="1EAE77BD"/>
    <w:rsid w:val="1ED22D79"/>
    <w:rsid w:val="1EDF707D"/>
    <w:rsid w:val="1EF8614C"/>
    <w:rsid w:val="1F0429EF"/>
    <w:rsid w:val="1F0726EE"/>
    <w:rsid w:val="1F3879C6"/>
    <w:rsid w:val="1F394761"/>
    <w:rsid w:val="1F65664C"/>
    <w:rsid w:val="1F7C149A"/>
    <w:rsid w:val="1F84140D"/>
    <w:rsid w:val="1F8B54F4"/>
    <w:rsid w:val="1F8F03D5"/>
    <w:rsid w:val="1F9B7FFD"/>
    <w:rsid w:val="1F9C7614"/>
    <w:rsid w:val="1FBE1971"/>
    <w:rsid w:val="1FE60DE3"/>
    <w:rsid w:val="2008768D"/>
    <w:rsid w:val="200D1139"/>
    <w:rsid w:val="204B327F"/>
    <w:rsid w:val="204C2B10"/>
    <w:rsid w:val="207D30AD"/>
    <w:rsid w:val="20820C62"/>
    <w:rsid w:val="209064B9"/>
    <w:rsid w:val="20970D81"/>
    <w:rsid w:val="20AD3D95"/>
    <w:rsid w:val="20D165D5"/>
    <w:rsid w:val="21012835"/>
    <w:rsid w:val="210878E6"/>
    <w:rsid w:val="210E1408"/>
    <w:rsid w:val="211069AD"/>
    <w:rsid w:val="21573FAB"/>
    <w:rsid w:val="2172069C"/>
    <w:rsid w:val="21754E60"/>
    <w:rsid w:val="21834E87"/>
    <w:rsid w:val="21900E1F"/>
    <w:rsid w:val="21987BC4"/>
    <w:rsid w:val="21A637A7"/>
    <w:rsid w:val="21BE314A"/>
    <w:rsid w:val="220451AB"/>
    <w:rsid w:val="2237486E"/>
    <w:rsid w:val="223D1378"/>
    <w:rsid w:val="22451BC7"/>
    <w:rsid w:val="22635A7A"/>
    <w:rsid w:val="22940650"/>
    <w:rsid w:val="22AD4B1E"/>
    <w:rsid w:val="22C43743"/>
    <w:rsid w:val="22D31DF3"/>
    <w:rsid w:val="22FD3CF7"/>
    <w:rsid w:val="232C221B"/>
    <w:rsid w:val="234B6EF7"/>
    <w:rsid w:val="23531D85"/>
    <w:rsid w:val="2356249E"/>
    <w:rsid w:val="236E713A"/>
    <w:rsid w:val="23700968"/>
    <w:rsid w:val="2375135C"/>
    <w:rsid w:val="238761A6"/>
    <w:rsid w:val="23920578"/>
    <w:rsid w:val="239911F4"/>
    <w:rsid w:val="23B430A3"/>
    <w:rsid w:val="23BB6F9A"/>
    <w:rsid w:val="23DC5161"/>
    <w:rsid w:val="23FC3864"/>
    <w:rsid w:val="24857B00"/>
    <w:rsid w:val="24D463EA"/>
    <w:rsid w:val="24F25212"/>
    <w:rsid w:val="25087C0C"/>
    <w:rsid w:val="251B0465"/>
    <w:rsid w:val="254B0AC6"/>
    <w:rsid w:val="254E2E44"/>
    <w:rsid w:val="25571AB6"/>
    <w:rsid w:val="2561056D"/>
    <w:rsid w:val="2577160A"/>
    <w:rsid w:val="259C5A45"/>
    <w:rsid w:val="25B40AD6"/>
    <w:rsid w:val="25BE7872"/>
    <w:rsid w:val="25BF702A"/>
    <w:rsid w:val="25D04BF1"/>
    <w:rsid w:val="26070023"/>
    <w:rsid w:val="26390459"/>
    <w:rsid w:val="264D2D17"/>
    <w:rsid w:val="26661BB3"/>
    <w:rsid w:val="266713CC"/>
    <w:rsid w:val="26773DC1"/>
    <w:rsid w:val="26864C6D"/>
    <w:rsid w:val="26D50E55"/>
    <w:rsid w:val="26E63E5F"/>
    <w:rsid w:val="270F3098"/>
    <w:rsid w:val="271A539C"/>
    <w:rsid w:val="272C2377"/>
    <w:rsid w:val="273823FA"/>
    <w:rsid w:val="274972D4"/>
    <w:rsid w:val="274A6102"/>
    <w:rsid w:val="27AA3D97"/>
    <w:rsid w:val="27B66AB6"/>
    <w:rsid w:val="280A3758"/>
    <w:rsid w:val="28292E99"/>
    <w:rsid w:val="284E28FF"/>
    <w:rsid w:val="2874016E"/>
    <w:rsid w:val="289057C5"/>
    <w:rsid w:val="28A67C7A"/>
    <w:rsid w:val="28EA3248"/>
    <w:rsid w:val="28F72F97"/>
    <w:rsid w:val="28F879DA"/>
    <w:rsid w:val="28FE48FC"/>
    <w:rsid w:val="294B7731"/>
    <w:rsid w:val="29514455"/>
    <w:rsid w:val="2976035F"/>
    <w:rsid w:val="29856ECD"/>
    <w:rsid w:val="29D21FF2"/>
    <w:rsid w:val="29FD43F1"/>
    <w:rsid w:val="2A39664F"/>
    <w:rsid w:val="2A3C3ED6"/>
    <w:rsid w:val="2A611B0F"/>
    <w:rsid w:val="2A7054D7"/>
    <w:rsid w:val="2A9841EF"/>
    <w:rsid w:val="2AC1762B"/>
    <w:rsid w:val="2AE845D0"/>
    <w:rsid w:val="2B4975FB"/>
    <w:rsid w:val="2B4A1E95"/>
    <w:rsid w:val="2B5D30B4"/>
    <w:rsid w:val="2B695031"/>
    <w:rsid w:val="2B735A8F"/>
    <w:rsid w:val="2BA7478D"/>
    <w:rsid w:val="2BB038DB"/>
    <w:rsid w:val="2BB761E0"/>
    <w:rsid w:val="2BB812F9"/>
    <w:rsid w:val="2BC65895"/>
    <w:rsid w:val="2BD155F1"/>
    <w:rsid w:val="2BD664CE"/>
    <w:rsid w:val="2BDB3982"/>
    <w:rsid w:val="2BE35C27"/>
    <w:rsid w:val="2BE95AB6"/>
    <w:rsid w:val="2BFA504B"/>
    <w:rsid w:val="2C614EE0"/>
    <w:rsid w:val="2C681F1F"/>
    <w:rsid w:val="2C762A20"/>
    <w:rsid w:val="2C8608DC"/>
    <w:rsid w:val="2C8871BE"/>
    <w:rsid w:val="2C9D121A"/>
    <w:rsid w:val="2CA4764A"/>
    <w:rsid w:val="2CBF4EAB"/>
    <w:rsid w:val="2CC42ECA"/>
    <w:rsid w:val="2CCC7A22"/>
    <w:rsid w:val="2CDA4349"/>
    <w:rsid w:val="2D225539"/>
    <w:rsid w:val="2D4618D2"/>
    <w:rsid w:val="2D5F021B"/>
    <w:rsid w:val="2D6E1286"/>
    <w:rsid w:val="2D70583E"/>
    <w:rsid w:val="2DA07759"/>
    <w:rsid w:val="2E0725DC"/>
    <w:rsid w:val="2E1B4BB8"/>
    <w:rsid w:val="2E256CB6"/>
    <w:rsid w:val="2E4375F4"/>
    <w:rsid w:val="2E5F27E4"/>
    <w:rsid w:val="2E6C73E5"/>
    <w:rsid w:val="2E915175"/>
    <w:rsid w:val="2EA97286"/>
    <w:rsid w:val="2EBD223E"/>
    <w:rsid w:val="2EC10AD1"/>
    <w:rsid w:val="2ECB6A5A"/>
    <w:rsid w:val="2EE42989"/>
    <w:rsid w:val="2EE65418"/>
    <w:rsid w:val="2EFC0112"/>
    <w:rsid w:val="2F0A2C1F"/>
    <w:rsid w:val="2F0F45A5"/>
    <w:rsid w:val="2F0F6197"/>
    <w:rsid w:val="2F1034C5"/>
    <w:rsid w:val="2F2B730D"/>
    <w:rsid w:val="2F6A001E"/>
    <w:rsid w:val="2F9F3DC1"/>
    <w:rsid w:val="2FCA07DC"/>
    <w:rsid w:val="2FF859C1"/>
    <w:rsid w:val="2FFC7AC2"/>
    <w:rsid w:val="301430AF"/>
    <w:rsid w:val="302F391C"/>
    <w:rsid w:val="30630612"/>
    <w:rsid w:val="30696F79"/>
    <w:rsid w:val="307551E0"/>
    <w:rsid w:val="308E59B0"/>
    <w:rsid w:val="30A12956"/>
    <w:rsid w:val="30B10568"/>
    <w:rsid w:val="30E070F0"/>
    <w:rsid w:val="30E55DD3"/>
    <w:rsid w:val="30E60399"/>
    <w:rsid w:val="31356AA5"/>
    <w:rsid w:val="31375948"/>
    <w:rsid w:val="313E22F0"/>
    <w:rsid w:val="31611710"/>
    <w:rsid w:val="317F14A3"/>
    <w:rsid w:val="31AB088A"/>
    <w:rsid w:val="31B0194C"/>
    <w:rsid w:val="31CE17D1"/>
    <w:rsid w:val="31E5776A"/>
    <w:rsid w:val="31EF02E2"/>
    <w:rsid w:val="31FD161E"/>
    <w:rsid w:val="32017CE3"/>
    <w:rsid w:val="32270449"/>
    <w:rsid w:val="323E4515"/>
    <w:rsid w:val="324A7697"/>
    <w:rsid w:val="326A4E14"/>
    <w:rsid w:val="3286389B"/>
    <w:rsid w:val="32994FDB"/>
    <w:rsid w:val="32BD2D68"/>
    <w:rsid w:val="32CF5C94"/>
    <w:rsid w:val="32D337C7"/>
    <w:rsid w:val="32E200EC"/>
    <w:rsid w:val="32E5408B"/>
    <w:rsid w:val="32EB0D70"/>
    <w:rsid w:val="32F24425"/>
    <w:rsid w:val="330E785B"/>
    <w:rsid w:val="331B77E7"/>
    <w:rsid w:val="332824BC"/>
    <w:rsid w:val="332868BB"/>
    <w:rsid w:val="333211F3"/>
    <w:rsid w:val="33504B41"/>
    <w:rsid w:val="338B4A07"/>
    <w:rsid w:val="338F55A8"/>
    <w:rsid w:val="339447F5"/>
    <w:rsid w:val="33944811"/>
    <w:rsid w:val="33A132C4"/>
    <w:rsid w:val="33BE79A7"/>
    <w:rsid w:val="33BF02F5"/>
    <w:rsid w:val="33C137F8"/>
    <w:rsid w:val="33CE0488"/>
    <w:rsid w:val="341D31EE"/>
    <w:rsid w:val="34262463"/>
    <w:rsid w:val="34296F31"/>
    <w:rsid w:val="34340A27"/>
    <w:rsid w:val="344C595B"/>
    <w:rsid w:val="34610F81"/>
    <w:rsid w:val="346A2989"/>
    <w:rsid w:val="348222AE"/>
    <w:rsid w:val="348865E9"/>
    <w:rsid w:val="348F70D5"/>
    <w:rsid w:val="349D2BAD"/>
    <w:rsid w:val="34A00485"/>
    <w:rsid w:val="34B25886"/>
    <w:rsid w:val="34B67588"/>
    <w:rsid w:val="34D65ABF"/>
    <w:rsid w:val="34E538E1"/>
    <w:rsid w:val="34F73E0E"/>
    <w:rsid w:val="35277FF8"/>
    <w:rsid w:val="353A55E3"/>
    <w:rsid w:val="35763460"/>
    <w:rsid w:val="35776F72"/>
    <w:rsid w:val="35997371"/>
    <w:rsid w:val="35BB6E36"/>
    <w:rsid w:val="35BC359E"/>
    <w:rsid w:val="35DA3A24"/>
    <w:rsid w:val="35DD4D47"/>
    <w:rsid w:val="360134DF"/>
    <w:rsid w:val="360B1E2F"/>
    <w:rsid w:val="360D500F"/>
    <w:rsid w:val="360D7E33"/>
    <w:rsid w:val="36330424"/>
    <w:rsid w:val="36720B63"/>
    <w:rsid w:val="36E0150E"/>
    <w:rsid w:val="36FE0747"/>
    <w:rsid w:val="36FE3ABA"/>
    <w:rsid w:val="37072BDE"/>
    <w:rsid w:val="370C0D6A"/>
    <w:rsid w:val="37455334"/>
    <w:rsid w:val="37527C32"/>
    <w:rsid w:val="37625508"/>
    <w:rsid w:val="37697DF6"/>
    <w:rsid w:val="37731921"/>
    <w:rsid w:val="378D6D31"/>
    <w:rsid w:val="37C60190"/>
    <w:rsid w:val="37E509C0"/>
    <w:rsid w:val="37E96FB8"/>
    <w:rsid w:val="38126F8A"/>
    <w:rsid w:val="38222D85"/>
    <w:rsid w:val="38767A34"/>
    <w:rsid w:val="38803721"/>
    <w:rsid w:val="388075BE"/>
    <w:rsid w:val="38925A62"/>
    <w:rsid w:val="389F5F4F"/>
    <w:rsid w:val="38C36BA2"/>
    <w:rsid w:val="38CF2BC1"/>
    <w:rsid w:val="38D34E55"/>
    <w:rsid w:val="38E11CEF"/>
    <w:rsid w:val="38F6595C"/>
    <w:rsid w:val="38FC020D"/>
    <w:rsid w:val="391702A7"/>
    <w:rsid w:val="39182D21"/>
    <w:rsid w:val="39286EB6"/>
    <w:rsid w:val="39571656"/>
    <w:rsid w:val="39601DF4"/>
    <w:rsid w:val="396960F3"/>
    <w:rsid w:val="39840D35"/>
    <w:rsid w:val="398A6B77"/>
    <w:rsid w:val="39A97DAF"/>
    <w:rsid w:val="39B4295D"/>
    <w:rsid w:val="39B62EBE"/>
    <w:rsid w:val="39BF365D"/>
    <w:rsid w:val="39CD1330"/>
    <w:rsid w:val="39DD1AFF"/>
    <w:rsid w:val="39E34C87"/>
    <w:rsid w:val="3A124B0A"/>
    <w:rsid w:val="3A2510B9"/>
    <w:rsid w:val="3A2B0CF2"/>
    <w:rsid w:val="3A2B1DFC"/>
    <w:rsid w:val="3A942D94"/>
    <w:rsid w:val="3AA12ABC"/>
    <w:rsid w:val="3AA6422C"/>
    <w:rsid w:val="3AAF46D5"/>
    <w:rsid w:val="3AF562AE"/>
    <w:rsid w:val="3B135A0E"/>
    <w:rsid w:val="3B183213"/>
    <w:rsid w:val="3B20468F"/>
    <w:rsid w:val="3B272BBC"/>
    <w:rsid w:val="3B374FEE"/>
    <w:rsid w:val="3B4410EE"/>
    <w:rsid w:val="3B46744C"/>
    <w:rsid w:val="3B56159C"/>
    <w:rsid w:val="3B5725EA"/>
    <w:rsid w:val="3B596DF7"/>
    <w:rsid w:val="3B5F4174"/>
    <w:rsid w:val="3B6C4510"/>
    <w:rsid w:val="3B7D732B"/>
    <w:rsid w:val="3BA06262"/>
    <w:rsid w:val="3BD30423"/>
    <w:rsid w:val="3BED055F"/>
    <w:rsid w:val="3BF517C3"/>
    <w:rsid w:val="3C14299D"/>
    <w:rsid w:val="3C543787"/>
    <w:rsid w:val="3C5E1FBA"/>
    <w:rsid w:val="3C6C0B58"/>
    <w:rsid w:val="3C7F58D0"/>
    <w:rsid w:val="3C8808A8"/>
    <w:rsid w:val="3C8F00E9"/>
    <w:rsid w:val="3C945583"/>
    <w:rsid w:val="3CBE41D5"/>
    <w:rsid w:val="3D25605E"/>
    <w:rsid w:val="3D446B0E"/>
    <w:rsid w:val="3D745844"/>
    <w:rsid w:val="3D7D6EF6"/>
    <w:rsid w:val="3D8626D0"/>
    <w:rsid w:val="3D8C1AA8"/>
    <w:rsid w:val="3D953A6B"/>
    <w:rsid w:val="3DB03A43"/>
    <w:rsid w:val="3DBB5979"/>
    <w:rsid w:val="3DD56F21"/>
    <w:rsid w:val="3DEF6699"/>
    <w:rsid w:val="3DF257B2"/>
    <w:rsid w:val="3E064452"/>
    <w:rsid w:val="3E1057AF"/>
    <w:rsid w:val="3E214905"/>
    <w:rsid w:val="3E6C0DFA"/>
    <w:rsid w:val="3E740322"/>
    <w:rsid w:val="3E7F4380"/>
    <w:rsid w:val="3E8D171B"/>
    <w:rsid w:val="3EA5630D"/>
    <w:rsid w:val="3EBA731B"/>
    <w:rsid w:val="3EE33949"/>
    <w:rsid w:val="3EFB5800"/>
    <w:rsid w:val="3F3B4E59"/>
    <w:rsid w:val="3F5B1501"/>
    <w:rsid w:val="3F6129C5"/>
    <w:rsid w:val="3F6E677C"/>
    <w:rsid w:val="3F712F46"/>
    <w:rsid w:val="3F8E0A56"/>
    <w:rsid w:val="3FBC0EF7"/>
    <w:rsid w:val="3FCD2AB9"/>
    <w:rsid w:val="3FCD4B44"/>
    <w:rsid w:val="3FD17600"/>
    <w:rsid w:val="3FFF0C57"/>
    <w:rsid w:val="400716EF"/>
    <w:rsid w:val="4007741B"/>
    <w:rsid w:val="402E7C36"/>
    <w:rsid w:val="4050218A"/>
    <w:rsid w:val="40525DCF"/>
    <w:rsid w:val="405C7868"/>
    <w:rsid w:val="406B3BF6"/>
    <w:rsid w:val="408B24EB"/>
    <w:rsid w:val="408D1DBF"/>
    <w:rsid w:val="40A358A3"/>
    <w:rsid w:val="40C652D1"/>
    <w:rsid w:val="40DE22BF"/>
    <w:rsid w:val="40E66A89"/>
    <w:rsid w:val="40F40090"/>
    <w:rsid w:val="40FA625A"/>
    <w:rsid w:val="410C71EC"/>
    <w:rsid w:val="41131099"/>
    <w:rsid w:val="417044B8"/>
    <w:rsid w:val="4187580D"/>
    <w:rsid w:val="418A5AB5"/>
    <w:rsid w:val="41A0173B"/>
    <w:rsid w:val="41A203A0"/>
    <w:rsid w:val="41A25D3E"/>
    <w:rsid w:val="41A42E0C"/>
    <w:rsid w:val="41B1684C"/>
    <w:rsid w:val="41C00B52"/>
    <w:rsid w:val="41C77987"/>
    <w:rsid w:val="41E83F8C"/>
    <w:rsid w:val="421C17EA"/>
    <w:rsid w:val="421D6978"/>
    <w:rsid w:val="422D1842"/>
    <w:rsid w:val="425B7C31"/>
    <w:rsid w:val="427D66D0"/>
    <w:rsid w:val="429D7A02"/>
    <w:rsid w:val="42BC7E02"/>
    <w:rsid w:val="42C82575"/>
    <w:rsid w:val="42E67134"/>
    <w:rsid w:val="43022EE1"/>
    <w:rsid w:val="430F54F9"/>
    <w:rsid w:val="431A5F8F"/>
    <w:rsid w:val="431D2BE2"/>
    <w:rsid w:val="431F247A"/>
    <w:rsid w:val="432418B7"/>
    <w:rsid w:val="432665A4"/>
    <w:rsid w:val="43335E8F"/>
    <w:rsid w:val="433F2968"/>
    <w:rsid w:val="43655F7F"/>
    <w:rsid w:val="43676E20"/>
    <w:rsid w:val="43820EC1"/>
    <w:rsid w:val="438E0154"/>
    <w:rsid w:val="43A31040"/>
    <w:rsid w:val="43BA782C"/>
    <w:rsid w:val="43BF774E"/>
    <w:rsid w:val="43CD062F"/>
    <w:rsid w:val="43E214F9"/>
    <w:rsid w:val="43F06264"/>
    <w:rsid w:val="43F30E4A"/>
    <w:rsid w:val="43FFD071"/>
    <w:rsid w:val="44223AB6"/>
    <w:rsid w:val="44404C8E"/>
    <w:rsid w:val="447537F1"/>
    <w:rsid w:val="448117F3"/>
    <w:rsid w:val="44870D07"/>
    <w:rsid w:val="44D33826"/>
    <w:rsid w:val="450929D1"/>
    <w:rsid w:val="450C45F0"/>
    <w:rsid w:val="452138FB"/>
    <w:rsid w:val="45344EFF"/>
    <w:rsid w:val="453950E7"/>
    <w:rsid w:val="45513D03"/>
    <w:rsid w:val="45541E1C"/>
    <w:rsid w:val="45A85322"/>
    <w:rsid w:val="45BC2AC4"/>
    <w:rsid w:val="45E32C96"/>
    <w:rsid w:val="45F64BD8"/>
    <w:rsid w:val="45FE7734"/>
    <w:rsid w:val="461F0A8B"/>
    <w:rsid w:val="4621349D"/>
    <w:rsid w:val="463C55A3"/>
    <w:rsid w:val="4648721E"/>
    <w:rsid w:val="464A2ED4"/>
    <w:rsid w:val="46663E71"/>
    <w:rsid w:val="46693892"/>
    <w:rsid w:val="466A37AC"/>
    <w:rsid w:val="468A1A00"/>
    <w:rsid w:val="46CB071B"/>
    <w:rsid w:val="46D30686"/>
    <w:rsid w:val="46DE140B"/>
    <w:rsid w:val="46E77334"/>
    <w:rsid w:val="46F22E29"/>
    <w:rsid w:val="46F7142F"/>
    <w:rsid w:val="47107AE3"/>
    <w:rsid w:val="473C62ED"/>
    <w:rsid w:val="47617242"/>
    <w:rsid w:val="478C16C9"/>
    <w:rsid w:val="47BA7D3C"/>
    <w:rsid w:val="47BD246B"/>
    <w:rsid w:val="47CB2B0C"/>
    <w:rsid w:val="47E64083"/>
    <w:rsid w:val="47E773CE"/>
    <w:rsid w:val="47EE2C9A"/>
    <w:rsid w:val="47F00499"/>
    <w:rsid w:val="48015FF5"/>
    <w:rsid w:val="482A4397"/>
    <w:rsid w:val="483820D2"/>
    <w:rsid w:val="48692CD0"/>
    <w:rsid w:val="4889130E"/>
    <w:rsid w:val="48AE3D01"/>
    <w:rsid w:val="48B96318"/>
    <w:rsid w:val="49067B2F"/>
    <w:rsid w:val="49100B80"/>
    <w:rsid w:val="493F33BB"/>
    <w:rsid w:val="49677E31"/>
    <w:rsid w:val="496C2225"/>
    <w:rsid w:val="49A35E02"/>
    <w:rsid w:val="49AE2880"/>
    <w:rsid w:val="49F14827"/>
    <w:rsid w:val="49F42EAF"/>
    <w:rsid w:val="4A337323"/>
    <w:rsid w:val="4A5B28DC"/>
    <w:rsid w:val="4A830DC5"/>
    <w:rsid w:val="4AA06B93"/>
    <w:rsid w:val="4AD509E1"/>
    <w:rsid w:val="4ADB18EB"/>
    <w:rsid w:val="4B3A6FE7"/>
    <w:rsid w:val="4B5375A2"/>
    <w:rsid w:val="4B96118E"/>
    <w:rsid w:val="4BAE1B66"/>
    <w:rsid w:val="4BBF6159"/>
    <w:rsid w:val="4BC806E6"/>
    <w:rsid w:val="4BD642F8"/>
    <w:rsid w:val="4BED4708"/>
    <w:rsid w:val="4BF133DC"/>
    <w:rsid w:val="4C136F17"/>
    <w:rsid w:val="4C1A4AD9"/>
    <w:rsid w:val="4C2E4987"/>
    <w:rsid w:val="4C4117A4"/>
    <w:rsid w:val="4C484216"/>
    <w:rsid w:val="4C507D4A"/>
    <w:rsid w:val="4C5D10C6"/>
    <w:rsid w:val="4CD60F91"/>
    <w:rsid w:val="4CDD12A8"/>
    <w:rsid w:val="4CDF5563"/>
    <w:rsid w:val="4CFB2214"/>
    <w:rsid w:val="4D0961AF"/>
    <w:rsid w:val="4D1C360D"/>
    <w:rsid w:val="4D2C4D26"/>
    <w:rsid w:val="4D335E0E"/>
    <w:rsid w:val="4D4759EB"/>
    <w:rsid w:val="4D4E4EA3"/>
    <w:rsid w:val="4D9A5B1B"/>
    <w:rsid w:val="4DA55D85"/>
    <w:rsid w:val="4DBB20DB"/>
    <w:rsid w:val="4DDC3F22"/>
    <w:rsid w:val="4DE66FB2"/>
    <w:rsid w:val="4DEC6CB8"/>
    <w:rsid w:val="4E1040C7"/>
    <w:rsid w:val="4E1760BF"/>
    <w:rsid w:val="4E2C69CB"/>
    <w:rsid w:val="4E30647F"/>
    <w:rsid w:val="4E353A96"/>
    <w:rsid w:val="4E5D2C75"/>
    <w:rsid w:val="4E611424"/>
    <w:rsid w:val="4E70062F"/>
    <w:rsid w:val="4E8E1A14"/>
    <w:rsid w:val="4E9A390E"/>
    <w:rsid w:val="4EBA03C3"/>
    <w:rsid w:val="4EBC5459"/>
    <w:rsid w:val="4ED94CB0"/>
    <w:rsid w:val="4EEC2ED3"/>
    <w:rsid w:val="4F0E56EA"/>
    <w:rsid w:val="4F2E11BC"/>
    <w:rsid w:val="4F3C4343"/>
    <w:rsid w:val="4F416688"/>
    <w:rsid w:val="4F5620B0"/>
    <w:rsid w:val="4F616EB4"/>
    <w:rsid w:val="4F6654EE"/>
    <w:rsid w:val="4F7379C6"/>
    <w:rsid w:val="4F760E2E"/>
    <w:rsid w:val="4F872BDB"/>
    <w:rsid w:val="4FA033E9"/>
    <w:rsid w:val="4FA743DA"/>
    <w:rsid w:val="4FAC0CFF"/>
    <w:rsid w:val="4FB3565A"/>
    <w:rsid w:val="4FC40D45"/>
    <w:rsid w:val="4FC4714D"/>
    <w:rsid w:val="4FCE73FC"/>
    <w:rsid w:val="4FD571A2"/>
    <w:rsid w:val="4FE2609D"/>
    <w:rsid w:val="4FF727BF"/>
    <w:rsid w:val="501442ED"/>
    <w:rsid w:val="5022177E"/>
    <w:rsid w:val="503D1C79"/>
    <w:rsid w:val="503E2F33"/>
    <w:rsid w:val="507A6406"/>
    <w:rsid w:val="50853863"/>
    <w:rsid w:val="508A4590"/>
    <w:rsid w:val="50A477FE"/>
    <w:rsid w:val="50F1461D"/>
    <w:rsid w:val="50FE5411"/>
    <w:rsid w:val="510164F4"/>
    <w:rsid w:val="510B072E"/>
    <w:rsid w:val="511B0BF4"/>
    <w:rsid w:val="51264306"/>
    <w:rsid w:val="514E62C9"/>
    <w:rsid w:val="516123CE"/>
    <w:rsid w:val="51932FAD"/>
    <w:rsid w:val="51B177A9"/>
    <w:rsid w:val="51DF5EE2"/>
    <w:rsid w:val="51E066EB"/>
    <w:rsid w:val="52640E8B"/>
    <w:rsid w:val="5267570A"/>
    <w:rsid w:val="52707792"/>
    <w:rsid w:val="52734B8D"/>
    <w:rsid w:val="528A4CF6"/>
    <w:rsid w:val="528D02F2"/>
    <w:rsid w:val="52A12CDC"/>
    <w:rsid w:val="52AE4870"/>
    <w:rsid w:val="52DF0C92"/>
    <w:rsid w:val="52E1159C"/>
    <w:rsid w:val="52E34D6A"/>
    <w:rsid w:val="530C1269"/>
    <w:rsid w:val="531E524E"/>
    <w:rsid w:val="534072EB"/>
    <w:rsid w:val="536B5669"/>
    <w:rsid w:val="53705AC5"/>
    <w:rsid w:val="537648BE"/>
    <w:rsid w:val="538E2D0B"/>
    <w:rsid w:val="53922782"/>
    <w:rsid w:val="539B4F32"/>
    <w:rsid w:val="539C1424"/>
    <w:rsid w:val="53A639C0"/>
    <w:rsid w:val="53B27FDC"/>
    <w:rsid w:val="53F00A24"/>
    <w:rsid w:val="53F4752C"/>
    <w:rsid w:val="53F63DBA"/>
    <w:rsid w:val="53FF492A"/>
    <w:rsid w:val="54070D6B"/>
    <w:rsid w:val="54261D4F"/>
    <w:rsid w:val="5448624E"/>
    <w:rsid w:val="54492049"/>
    <w:rsid w:val="546038E7"/>
    <w:rsid w:val="546E2B1A"/>
    <w:rsid w:val="548051B1"/>
    <w:rsid w:val="5482555F"/>
    <w:rsid w:val="54A31DD8"/>
    <w:rsid w:val="54AA6F8B"/>
    <w:rsid w:val="54B30E83"/>
    <w:rsid w:val="54C2149E"/>
    <w:rsid w:val="54C92BC6"/>
    <w:rsid w:val="54D26583"/>
    <w:rsid w:val="54E04059"/>
    <w:rsid w:val="54F25D8C"/>
    <w:rsid w:val="55363E67"/>
    <w:rsid w:val="553C395C"/>
    <w:rsid w:val="55406745"/>
    <w:rsid w:val="5566049E"/>
    <w:rsid w:val="556E6DF7"/>
    <w:rsid w:val="55965CE3"/>
    <w:rsid w:val="559A023B"/>
    <w:rsid w:val="559D47CE"/>
    <w:rsid w:val="55BE1959"/>
    <w:rsid w:val="55E04E08"/>
    <w:rsid w:val="560E36BE"/>
    <w:rsid w:val="56232437"/>
    <w:rsid w:val="563F7711"/>
    <w:rsid w:val="56541A75"/>
    <w:rsid w:val="56755377"/>
    <w:rsid w:val="567974EA"/>
    <w:rsid w:val="568832FC"/>
    <w:rsid w:val="568C4181"/>
    <w:rsid w:val="570725A9"/>
    <w:rsid w:val="5714693E"/>
    <w:rsid w:val="571D0C9C"/>
    <w:rsid w:val="573A16CE"/>
    <w:rsid w:val="57482A8C"/>
    <w:rsid w:val="578D049F"/>
    <w:rsid w:val="579C7F80"/>
    <w:rsid w:val="57B30D7C"/>
    <w:rsid w:val="58166B03"/>
    <w:rsid w:val="581E0947"/>
    <w:rsid w:val="583E3C94"/>
    <w:rsid w:val="58552E90"/>
    <w:rsid w:val="58721734"/>
    <w:rsid w:val="58900246"/>
    <w:rsid w:val="58977358"/>
    <w:rsid w:val="58CB5DC0"/>
    <w:rsid w:val="58D53944"/>
    <w:rsid w:val="58D65478"/>
    <w:rsid w:val="58EF7EF3"/>
    <w:rsid w:val="58F52487"/>
    <w:rsid w:val="58F772FE"/>
    <w:rsid w:val="58F9403E"/>
    <w:rsid w:val="590422E6"/>
    <w:rsid w:val="592257E5"/>
    <w:rsid w:val="59635CB4"/>
    <w:rsid w:val="59655E33"/>
    <w:rsid w:val="5970233D"/>
    <w:rsid w:val="59810AE7"/>
    <w:rsid w:val="59CD1A6F"/>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7561A8"/>
    <w:rsid w:val="5B830730"/>
    <w:rsid w:val="5BA54F69"/>
    <w:rsid w:val="5BBB2DD6"/>
    <w:rsid w:val="5BD6009C"/>
    <w:rsid w:val="5BE263B6"/>
    <w:rsid w:val="5BED0BE1"/>
    <w:rsid w:val="5BFB00CD"/>
    <w:rsid w:val="5C27423E"/>
    <w:rsid w:val="5C5A5991"/>
    <w:rsid w:val="5C8E5C5A"/>
    <w:rsid w:val="5C961809"/>
    <w:rsid w:val="5C965E61"/>
    <w:rsid w:val="5CCF034A"/>
    <w:rsid w:val="5CD839BA"/>
    <w:rsid w:val="5CF0089C"/>
    <w:rsid w:val="5CF5796F"/>
    <w:rsid w:val="5D03345B"/>
    <w:rsid w:val="5D242A11"/>
    <w:rsid w:val="5D2814E8"/>
    <w:rsid w:val="5D9217C2"/>
    <w:rsid w:val="5DAD06BF"/>
    <w:rsid w:val="5DC92CE9"/>
    <w:rsid w:val="5DE23CB3"/>
    <w:rsid w:val="5DE97EEC"/>
    <w:rsid w:val="5DFA5EB0"/>
    <w:rsid w:val="5E000E4D"/>
    <w:rsid w:val="5E0B583E"/>
    <w:rsid w:val="5E201A7B"/>
    <w:rsid w:val="5E51004B"/>
    <w:rsid w:val="5EA45884"/>
    <w:rsid w:val="5EBD0484"/>
    <w:rsid w:val="5ED80D4E"/>
    <w:rsid w:val="5F2C5C7C"/>
    <w:rsid w:val="5F36141C"/>
    <w:rsid w:val="5F385F04"/>
    <w:rsid w:val="5FC5273F"/>
    <w:rsid w:val="5FD64459"/>
    <w:rsid w:val="5FE33352"/>
    <w:rsid w:val="5FF5B99A"/>
    <w:rsid w:val="604F6C39"/>
    <w:rsid w:val="60806DF2"/>
    <w:rsid w:val="60A66321"/>
    <w:rsid w:val="61072DA5"/>
    <w:rsid w:val="611C0817"/>
    <w:rsid w:val="61224A52"/>
    <w:rsid w:val="61300818"/>
    <w:rsid w:val="61520CCB"/>
    <w:rsid w:val="61851A29"/>
    <w:rsid w:val="61CB4DFE"/>
    <w:rsid w:val="61D85AC4"/>
    <w:rsid w:val="61DF7484"/>
    <w:rsid w:val="62115573"/>
    <w:rsid w:val="622D1522"/>
    <w:rsid w:val="622E0574"/>
    <w:rsid w:val="6238312F"/>
    <w:rsid w:val="62654FFD"/>
    <w:rsid w:val="62683B6B"/>
    <w:rsid w:val="6275761C"/>
    <w:rsid w:val="62816E52"/>
    <w:rsid w:val="62AB7BE6"/>
    <w:rsid w:val="62AC5944"/>
    <w:rsid w:val="632F3F8A"/>
    <w:rsid w:val="63332842"/>
    <w:rsid w:val="63704604"/>
    <w:rsid w:val="63716241"/>
    <w:rsid w:val="637279B4"/>
    <w:rsid w:val="63817D2B"/>
    <w:rsid w:val="63BD1FA9"/>
    <w:rsid w:val="63D175D1"/>
    <w:rsid w:val="63D27965"/>
    <w:rsid w:val="63EB60FE"/>
    <w:rsid w:val="63F4667E"/>
    <w:rsid w:val="64095516"/>
    <w:rsid w:val="641A2468"/>
    <w:rsid w:val="64290161"/>
    <w:rsid w:val="643144B1"/>
    <w:rsid w:val="64372F20"/>
    <w:rsid w:val="647E203D"/>
    <w:rsid w:val="64802D6E"/>
    <w:rsid w:val="648944D0"/>
    <w:rsid w:val="64AE7770"/>
    <w:rsid w:val="64DC72D7"/>
    <w:rsid w:val="64FA42B4"/>
    <w:rsid w:val="65095250"/>
    <w:rsid w:val="652310DA"/>
    <w:rsid w:val="653619A6"/>
    <w:rsid w:val="65610A02"/>
    <w:rsid w:val="65786B89"/>
    <w:rsid w:val="658C0E37"/>
    <w:rsid w:val="65A11EA3"/>
    <w:rsid w:val="65A4764D"/>
    <w:rsid w:val="65AC3D66"/>
    <w:rsid w:val="65BB5334"/>
    <w:rsid w:val="65D61121"/>
    <w:rsid w:val="663E1DBA"/>
    <w:rsid w:val="66452A5A"/>
    <w:rsid w:val="665D0213"/>
    <w:rsid w:val="668506C7"/>
    <w:rsid w:val="66996C60"/>
    <w:rsid w:val="669E59F1"/>
    <w:rsid w:val="66A2024B"/>
    <w:rsid w:val="66CB5E2D"/>
    <w:rsid w:val="66F00238"/>
    <w:rsid w:val="6704732B"/>
    <w:rsid w:val="670F6731"/>
    <w:rsid w:val="671578AF"/>
    <w:rsid w:val="671B3B57"/>
    <w:rsid w:val="673578D7"/>
    <w:rsid w:val="67585CB0"/>
    <w:rsid w:val="67635413"/>
    <w:rsid w:val="67770F0C"/>
    <w:rsid w:val="67796DED"/>
    <w:rsid w:val="679E649A"/>
    <w:rsid w:val="67B03535"/>
    <w:rsid w:val="68174F69"/>
    <w:rsid w:val="682057E3"/>
    <w:rsid w:val="682C436A"/>
    <w:rsid w:val="68382778"/>
    <w:rsid w:val="68391F41"/>
    <w:rsid w:val="68436B8C"/>
    <w:rsid w:val="68693658"/>
    <w:rsid w:val="68797358"/>
    <w:rsid w:val="6884624F"/>
    <w:rsid w:val="68A519DF"/>
    <w:rsid w:val="68B824DE"/>
    <w:rsid w:val="68BF2482"/>
    <w:rsid w:val="68C4160B"/>
    <w:rsid w:val="68C41C30"/>
    <w:rsid w:val="68CF3BA4"/>
    <w:rsid w:val="68D92A13"/>
    <w:rsid w:val="69257FA7"/>
    <w:rsid w:val="69367529"/>
    <w:rsid w:val="693F26C7"/>
    <w:rsid w:val="693F3449"/>
    <w:rsid w:val="697E12B2"/>
    <w:rsid w:val="69C8706D"/>
    <w:rsid w:val="69D22C2B"/>
    <w:rsid w:val="6A0E3FB4"/>
    <w:rsid w:val="6A1E7827"/>
    <w:rsid w:val="6A292754"/>
    <w:rsid w:val="6A5D30E4"/>
    <w:rsid w:val="6A5E3B28"/>
    <w:rsid w:val="6A6B1EBE"/>
    <w:rsid w:val="6A786C3C"/>
    <w:rsid w:val="6A8F43F7"/>
    <w:rsid w:val="6ABD60AB"/>
    <w:rsid w:val="6AD625F3"/>
    <w:rsid w:val="6AEC4E9E"/>
    <w:rsid w:val="6B3629A6"/>
    <w:rsid w:val="6B484BE9"/>
    <w:rsid w:val="6B5B46E4"/>
    <w:rsid w:val="6B6E044D"/>
    <w:rsid w:val="6B6F23A1"/>
    <w:rsid w:val="6B7218BE"/>
    <w:rsid w:val="6B750BA9"/>
    <w:rsid w:val="6BAA453E"/>
    <w:rsid w:val="6BB93285"/>
    <w:rsid w:val="6BC5443C"/>
    <w:rsid w:val="6BF83955"/>
    <w:rsid w:val="6BFE3795"/>
    <w:rsid w:val="6C0C698C"/>
    <w:rsid w:val="6C222401"/>
    <w:rsid w:val="6C42752C"/>
    <w:rsid w:val="6C56267F"/>
    <w:rsid w:val="6C71342F"/>
    <w:rsid w:val="6C826EF9"/>
    <w:rsid w:val="6C8F3B8A"/>
    <w:rsid w:val="6CAE4C93"/>
    <w:rsid w:val="6CB14F16"/>
    <w:rsid w:val="6CDC63AB"/>
    <w:rsid w:val="6CEC2069"/>
    <w:rsid w:val="6D0B1869"/>
    <w:rsid w:val="6D60667F"/>
    <w:rsid w:val="6D65402D"/>
    <w:rsid w:val="6D683822"/>
    <w:rsid w:val="6D7A2AAC"/>
    <w:rsid w:val="6D8D136C"/>
    <w:rsid w:val="6DBF2759"/>
    <w:rsid w:val="6DC96F36"/>
    <w:rsid w:val="6DEB0A20"/>
    <w:rsid w:val="6DED00D0"/>
    <w:rsid w:val="6DF6759C"/>
    <w:rsid w:val="6DF67E77"/>
    <w:rsid w:val="6DFA3EBF"/>
    <w:rsid w:val="6E3E63D2"/>
    <w:rsid w:val="6E5F7BE6"/>
    <w:rsid w:val="6E6918C6"/>
    <w:rsid w:val="6E7C5CC3"/>
    <w:rsid w:val="6ECC6BD6"/>
    <w:rsid w:val="6EEB4AC4"/>
    <w:rsid w:val="6F212DD6"/>
    <w:rsid w:val="6F3B5912"/>
    <w:rsid w:val="6FA14A81"/>
    <w:rsid w:val="6FA3261F"/>
    <w:rsid w:val="6FB44BAA"/>
    <w:rsid w:val="6FFF4EEE"/>
    <w:rsid w:val="700D6539"/>
    <w:rsid w:val="701B1D7B"/>
    <w:rsid w:val="702F4E28"/>
    <w:rsid w:val="703F6AB7"/>
    <w:rsid w:val="704203E3"/>
    <w:rsid w:val="7058046B"/>
    <w:rsid w:val="70666977"/>
    <w:rsid w:val="707F2079"/>
    <w:rsid w:val="70922734"/>
    <w:rsid w:val="70A51CDF"/>
    <w:rsid w:val="70CD16CB"/>
    <w:rsid w:val="70CE6DC7"/>
    <w:rsid w:val="70FF5735"/>
    <w:rsid w:val="710B3646"/>
    <w:rsid w:val="711759F2"/>
    <w:rsid w:val="71214362"/>
    <w:rsid w:val="712F0780"/>
    <w:rsid w:val="713C4ED8"/>
    <w:rsid w:val="71407642"/>
    <w:rsid w:val="71425A37"/>
    <w:rsid w:val="71641210"/>
    <w:rsid w:val="71D95B7C"/>
    <w:rsid w:val="71EA6A50"/>
    <w:rsid w:val="71FE31A8"/>
    <w:rsid w:val="720C30AE"/>
    <w:rsid w:val="721A7983"/>
    <w:rsid w:val="721F6113"/>
    <w:rsid w:val="7233782C"/>
    <w:rsid w:val="72411700"/>
    <w:rsid w:val="725400DF"/>
    <w:rsid w:val="726A729D"/>
    <w:rsid w:val="72F524A8"/>
    <w:rsid w:val="73177841"/>
    <w:rsid w:val="733774FE"/>
    <w:rsid w:val="73495D8D"/>
    <w:rsid w:val="734D8390"/>
    <w:rsid w:val="735231C7"/>
    <w:rsid w:val="73617E1B"/>
    <w:rsid w:val="736D7653"/>
    <w:rsid w:val="738035CB"/>
    <w:rsid w:val="73852C46"/>
    <w:rsid w:val="7396335C"/>
    <w:rsid w:val="73C214C7"/>
    <w:rsid w:val="73F46595"/>
    <w:rsid w:val="73F47FAE"/>
    <w:rsid w:val="74283FA2"/>
    <w:rsid w:val="742C135B"/>
    <w:rsid w:val="74463733"/>
    <w:rsid w:val="745B2D51"/>
    <w:rsid w:val="748A2F40"/>
    <w:rsid w:val="748E6D46"/>
    <w:rsid w:val="74D84FF7"/>
    <w:rsid w:val="74EE46B5"/>
    <w:rsid w:val="74EF1E1F"/>
    <w:rsid w:val="74F53273"/>
    <w:rsid w:val="74F85778"/>
    <w:rsid w:val="75272439"/>
    <w:rsid w:val="755D2A7D"/>
    <w:rsid w:val="75663C2D"/>
    <w:rsid w:val="75787FC9"/>
    <w:rsid w:val="758F1E9B"/>
    <w:rsid w:val="75CE266B"/>
    <w:rsid w:val="75E538F2"/>
    <w:rsid w:val="75E663D6"/>
    <w:rsid w:val="76120141"/>
    <w:rsid w:val="76510960"/>
    <w:rsid w:val="765D3FDB"/>
    <w:rsid w:val="768216BE"/>
    <w:rsid w:val="76C23B43"/>
    <w:rsid w:val="76F352B7"/>
    <w:rsid w:val="76FD6F97"/>
    <w:rsid w:val="770218E8"/>
    <w:rsid w:val="776E32D5"/>
    <w:rsid w:val="779469CE"/>
    <w:rsid w:val="779C0950"/>
    <w:rsid w:val="77C3056D"/>
    <w:rsid w:val="77C875A5"/>
    <w:rsid w:val="77D33F61"/>
    <w:rsid w:val="77D777E8"/>
    <w:rsid w:val="78850FF2"/>
    <w:rsid w:val="78990E6B"/>
    <w:rsid w:val="78A27DF6"/>
    <w:rsid w:val="78AD22F7"/>
    <w:rsid w:val="78C3727C"/>
    <w:rsid w:val="78FE6B23"/>
    <w:rsid w:val="79055F9C"/>
    <w:rsid w:val="79063A1D"/>
    <w:rsid w:val="79285B3A"/>
    <w:rsid w:val="79490B03"/>
    <w:rsid w:val="79615030"/>
    <w:rsid w:val="79625CA9"/>
    <w:rsid w:val="79646E59"/>
    <w:rsid w:val="797A07C3"/>
    <w:rsid w:val="79A91196"/>
    <w:rsid w:val="7A0B32D3"/>
    <w:rsid w:val="7AC13CD3"/>
    <w:rsid w:val="7AC21775"/>
    <w:rsid w:val="7ACE3009"/>
    <w:rsid w:val="7AE10264"/>
    <w:rsid w:val="7AE4248E"/>
    <w:rsid w:val="7B4A207F"/>
    <w:rsid w:val="7B7122A7"/>
    <w:rsid w:val="7B8E152B"/>
    <w:rsid w:val="7B936F45"/>
    <w:rsid w:val="7BA47419"/>
    <w:rsid w:val="7BB10D45"/>
    <w:rsid w:val="7BB44151"/>
    <w:rsid w:val="7BCC124F"/>
    <w:rsid w:val="7BFE7878"/>
    <w:rsid w:val="7C067CC4"/>
    <w:rsid w:val="7C14589E"/>
    <w:rsid w:val="7C3228D0"/>
    <w:rsid w:val="7C656A39"/>
    <w:rsid w:val="7CAE7D7C"/>
    <w:rsid w:val="7CB93996"/>
    <w:rsid w:val="7CBE0F99"/>
    <w:rsid w:val="7CDC0104"/>
    <w:rsid w:val="7CE34C72"/>
    <w:rsid w:val="7D0D1988"/>
    <w:rsid w:val="7D4E45F1"/>
    <w:rsid w:val="7DFB6D82"/>
    <w:rsid w:val="7E045857"/>
    <w:rsid w:val="7E1D71D1"/>
    <w:rsid w:val="7E246254"/>
    <w:rsid w:val="7E300197"/>
    <w:rsid w:val="7E553215"/>
    <w:rsid w:val="7E6D090F"/>
    <w:rsid w:val="7E7E2263"/>
    <w:rsid w:val="7EBA0FF5"/>
    <w:rsid w:val="7ECC66B2"/>
    <w:rsid w:val="7F0D72E8"/>
    <w:rsid w:val="7F2914C3"/>
    <w:rsid w:val="7F5F2ED6"/>
    <w:rsid w:val="7F874EC5"/>
    <w:rsid w:val="7FA837EF"/>
    <w:rsid w:val="7FC36955"/>
    <w:rsid w:val="7FE903A0"/>
    <w:rsid w:val="7FF07065"/>
    <w:rsid w:val="7FF97946"/>
    <w:rsid w:val="7FFE7888"/>
    <w:rsid w:val="DFB301EE"/>
    <w:rsid w:val="F96E4D61"/>
    <w:rsid w:val="FE6FE4B7"/>
    <w:rsid w:val="FF159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No Spacing_4237fe7c-c47e-41c6-9acd-fe1d22bbb520"/>
    <w:qFormat/>
    <w:uiPriority w:val="0"/>
    <w:pPr>
      <w:widowControl w:val="0"/>
      <w:jc w:val="both"/>
    </w:pPr>
    <w:rPr>
      <w:rFonts w:ascii="宋体" w:hAnsi="宋体" w:eastAsia="仿宋_GB2312" w:cs="Times New Roman"/>
      <w:kern w:val="2"/>
      <w:sz w:val="32"/>
      <w:szCs w:val="22"/>
      <w:lang w:val="en-US" w:eastAsia="zh-CN" w:bidi="ar-SA"/>
    </w:r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1904.12</c:v>
                </c:pt>
                <c:pt idx="1">
                  <c:v>138.95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19041241.91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2007247.63</c:v>
                </c:pt>
                <c:pt idx="1">
                  <c:v>17033994.28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138.95</c:v>
                </c:pt>
                <c:pt idx="1">
                  <c:v>138.95</c:v>
                </c:pt>
                <c:pt idx="2">
                  <c:v>138.95</c:v>
                </c:pt>
                <c:pt idx="3">
                  <c:v>138.95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1904.12</c:v>
                </c:pt>
                <c:pt idx="1">
                  <c:v>1904.12</c:v>
                </c:pt>
                <c:pt idx="2">
                  <c:v>1904.12</c:v>
                </c:pt>
                <c:pt idx="3">
                  <c:v>1904.12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1977.88</c:v>
                </c:pt>
                <c:pt idx="1">
                  <c:v>1977.88</c:v>
                </c:pt>
                <c:pt idx="2">
                  <c:v>1977.88</c:v>
                </c:pt>
                <c:pt idx="3">
                  <c:v>1977.88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1904.12</c:v>
                </c:pt>
                <c:pt idx="1">
                  <c:v>1904.12</c:v>
                </c:pt>
                <c:pt idx="2">
                  <c:v>1904.12</c:v>
                </c:pt>
                <c:pt idx="3">
                  <c:v>1904.12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1660</Words>
  <Characters>6225</Characters>
  <Lines>86</Lines>
  <Paragraphs>24</Paragraphs>
  <TotalTime>0</TotalTime>
  <ScaleCrop>false</ScaleCrop>
  <LinksUpToDate>false</LinksUpToDate>
  <CharactersWithSpaces>6550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2026-09-21T12:02:30Z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