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中共石家庄市鹿泉区委网络安全和信息化委员会办公室(本级)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224001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中共石家庄市鹿泉区委网络安全和信息化委员会办公室(本级)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中共石家庄市鹿泉区委网络安全和信息化委员会办公室(本级)</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1.统筹协调网络数据开发、利用的安全管理，统筹协调网络数据安全和个人信息保护工作，指导协调网络数据跨区域流动安全管理。</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2.负责全区网络安全和信息化重大专项任务的统筹协调、组织推动、督促落实。</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3.统筹协调全区网络综合治理体系建设，协调推进网络信息内容生态治理工作，推动落实网络意识形态工作责任制，统筹推进技术治网体系规划建设。</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sz w:val="32"/>
          <w:szCs w:val="32"/>
        </w:rPr>
        <w:t>4.协调推进上下协同的网信工作体系建设。</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w:t>
      </w:r>
      <w:r>
        <w:rPr>
          <w:rFonts w:hint="eastAsia" w:ascii="Times New Roman" w:eastAsia="仿宋_GB2312"/>
          <w:b w:val="0"/>
          <w:sz w:val="32"/>
          <w:szCs w:val="32"/>
        </w:rPr>
        <w:t>我部门无二级预算单位，因此，中共石家庄市鹿泉区委网络安全和信息化委员会办公室202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年度部门决算即中共石家庄市鹿泉区委网络安全和信息化委员会办公室本级202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年度决算</w:t>
      </w:r>
      <w:r>
        <w:rPr>
          <w:rFonts w:ascii="Times New Roman" w:eastAsia="仿宋_GB2312"/>
          <w:b w:val="0"/>
          <w:sz w:val="32"/>
          <w:szCs w:val="32"/>
        </w:rPr>
        <w:t>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中共石家庄市鹿泉区委网络安全和信息化委员会办公室(本级)</w:t>
            </w:r>
          </w:p>
        </w:tc>
        <w:tc>
          <w:tcPr>
            <w:tcW w:w="2445" w:type="dxa"/>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部门（单位）：中共石家庄市鹿泉区委网络安全和信息化委员会办公室(本级)</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306.49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部门（单位）：中共石家庄市鹿泉区委网络安全和信息化委员会办公室(本级)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389.05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389.05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306.49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306.49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宣传事务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226.15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226.15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226.15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226.15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网信事务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2013704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信息安全事务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部门（单位）：中共石家庄市鹿泉区委网络安全和信息化委员会办公室(本级)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297.22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226.15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宣传事务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226.15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226.15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226.15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226.15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网信事务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信息安全事务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部门（单位）：中共石家庄市鹿泉区委网络安全和信息化委员会办公室(本级)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306.49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306.49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389.05</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16"/>
        <w:gridCol w:w="2747"/>
        <w:gridCol w:w="1214"/>
        <w:gridCol w:w="626"/>
        <w:gridCol w:w="656"/>
        <w:gridCol w:w="313"/>
        <w:gridCol w:w="10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部门（单位）：中共石家庄市鹿泉区委网络安全和信息化委员会办公室(本级)</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389.05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297.22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226.15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宣传事务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226.15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226.15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226.15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226.15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网信事务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信息安全事务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部门（单位）：中共石家庄市鹿泉区委网络安全和信息化委员会办公室(本级)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242.97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39.77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74.27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34.98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32.96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43.17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22.92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22.36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14.01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14.01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17.11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2.30</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256.98</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部门（单位）：中共石家庄市鹿泉区委网络安全和信息化委员会办公室(本级)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部门（单位）：中共石家庄市鹿泉区委网络安全和信息化委员会办公室(本级)</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部门（单位）：中共石家庄市鹿泉区委网络安全和信息化委员会办公室(本级)</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本单位2025年度收、支总计（含结转和结余）均为389.05万元。与2024年度决算相比，收支各增加33.51万元，增长9.4%，主要原因是</w:t>
      </w:r>
      <w:r>
        <w:rPr>
          <w:rFonts w:hint="eastAsia" w:ascii="Times New Roman" w:eastAsia="仿宋_GB2312"/>
          <w:b w:val="0"/>
          <w:sz w:val="32"/>
          <w:szCs w:val="32"/>
          <w:lang w:eastAsia="zh-CN"/>
        </w:rPr>
        <w:t>人员变动、五险一金基数调整，人员相关经费相应增长，基本支出经费相应增长</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389.05万元，其中：财政拨款收入389.05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本单位2025年度本年支出合计389.05万元，其中：基本支出297.22万元，占76.4%；项目支出91.83万元，占23.6%；经营支出0.00万元，占0.0%；上缴上级支出0.00万元，占0.0%；对附属单位补助支出0.00万元，占0.0%。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本单位2025年度财政拨款收、支总计（含结转和结余）均为389.05万元。与2024年度相比，财政拨款收支各增加33.51万元，增长9.4%，主要原因是</w:t>
      </w:r>
      <w:r>
        <w:rPr>
          <w:rFonts w:hint="eastAsia" w:ascii="Times New Roman" w:eastAsia="仿宋_GB2312"/>
          <w:b w:val="0"/>
          <w:sz w:val="32"/>
          <w:szCs w:val="32"/>
        </w:rPr>
        <w:t>人员变动、五险一金基数调整，人员相关经费相应增长，基本支出经费相应增长</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本单位2025年度财政拨款本年收入389.05万元,比上年增加33.51万元，增长9.4%，主要原因是；本年支出389.05万元，比上年增加33.51万元，增长9.4%，主要原因是</w:t>
      </w:r>
      <w:r>
        <w:rPr>
          <w:rFonts w:hint="eastAsia" w:ascii="Times New Roman" w:eastAsia="仿宋_GB2312"/>
          <w:b w:val="0"/>
          <w:sz w:val="32"/>
          <w:szCs w:val="32"/>
        </w:rPr>
        <w:t>人员变动、五险一金基数调整，人员相关经费相应增长，基本支出经费相应增长</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一般公共预算财政拨款本年收入389.05万元,比上年增加33.51万元，增长9.4%，主要原因是；本年支出389.05万元，比上年增加33.51万元，增长9.4%，主要原因是</w:t>
      </w:r>
      <w:r>
        <w:rPr>
          <w:rFonts w:hint="eastAsia" w:ascii="Times New Roman" w:eastAsia="仿宋_GB2312"/>
          <w:b w:val="0"/>
          <w:sz w:val="32"/>
          <w:szCs w:val="32"/>
        </w:rPr>
        <w:t>人员变动、五险一金基数调整，人员相关经费相应增长，基本支出经费相应增长</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w:t>
      </w:r>
      <w:r>
        <w:rPr>
          <w:rFonts w:hint="eastAsia" w:ascii="Times New Roman" w:eastAsia="仿宋_GB2312"/>
          <w:b w:val="0"/>
          <w:sz w:val="32"/>
          <w:szCs w:val="32"/>
        </w:rPr>
        <w:t>我单位无政府性基金预算</w:t>
      </w:r>
      <w:r>
        <w:rPr>
          <w:rFonts w:ascii="Times New Roman" w:eastAsia="仿宋_GB2312"/>
          <w:b w:val="0"/>
          <w:sz w:val="32"/>
          <w:szCs w:val="32"/>
        </w:rPr>
        <w:t>；本年支出0.00万元，比上年增加0.00万元，增长0.00%，主要原因是</w:t>
      </w:r>
      <w:r>
        <w:rPr>
          <w:rFonts w:hint="eastAsia" w:ascii="Times New Roman" w:eastAsia="仿宋_GB2312"/>
          <w:b w:val="0"/>
          <w:sz w:val="32"/>
          <w:szCs w:val="32"/>
          <w:lang w:eastAsia="zh-CN"/>
        </w:rPr>
        <w:t>我单位无政府性基金预算</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rPr>
        <w:t>我单位无国有资本经营预算</w:t>
      </w:r>
      <w:r>
        <w:rPr>
          <w:rFonts w:ascii="Times New Roman" w:eastAsia="仿宋_GB2312"/>
          <w:b w:val="0"/>
          <w:sz w:val="32"/>
          <w:szCs w:val="32"/>
        </w:rPr>
        <w:t>；本年支出0.00万元，比上年增加0.00万元，增长0.00%，主要原因是我单位无国有资本经营预算。</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本单位2025年度财政拨款本年收入389.05万元，完成年初预算的93.8%，比年初预算减少25.53万元，决算数小于预算数主要原因是部分项目收入和项目进度不</w:t>
      </w:r>
      <w:r>
        <w:rPr>
          <w:rFonts w:ascii="仿宋" w:hAnsi="仿宋" w:eastAsia="仿宋" w:cs="仿宋"/>
          <w:spacing w:val="9"/>
          <w:sz w:val="31"/>
          <w:szCs w:val="31"/>
        </w:rPr>
        <w:t>匹配</w:t>
      </w:r>
      <w:r>
        <w:rPr>
          <w:rFonts w:ascii="Times New Roman" w:eastAsia="仿宋_GB2312"/>
          <w:b w:val="0"/>
          <w:sz w:val="32"/>
          <w:szCs w:val="32"/>
        </w:rPr>
        <w:t>；本年支出389.05万元，完成年初预算的93.8%，比年初预算减少25.53万元，决算数小于预算数主要原因是部分项目收入和项目进度不</w:t>
      </w:r>
      <w:r>
        <w:rPr>
          <w:rFonts w:ascii="仿宋" w:hAnsi="仿宋" w:eastAsia="仿宋" w:cs="仿宋"/>
          <w:spacing w:val="9"/>
          <w:sz w:val="31"/>
          <w:szCs w:val="31"/>
        </w:rPr>
        <w:t>匹配</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一般公共预算财政拨款本年收入完成年初预算的93.8%，比年初预算减少25.53万元，主要原因是部分项目收入和项目进度不</w:t>
      </w:r>
      <w:r>
        <w:rPr>
          <w:rFonts w:ascii="仿宋" w:hAnsi="仿宋" w:eastAsia="仿宋" w:cs="仿宋"/>
          <w:spacing w:val="9"/>
          <w:sz w:val="31"/>
          <w:szCs w:val="31"/>
        </w:rPr>
        <w:t>匹配</w:t>
      </w:r>
      <w:r>
        <w:rPr>
          <w:rFonts w:ascii="Times New Roman" w:eastAsia="仿宋_GB2312"/>
          <w:b w:val="0"/>
          <w:sz w:val="32"/>
          <w:szCs w:val="32"/>
        </w:rPr>
        <w:t>；支出完成年初预算的93.8%，比年初预算减少25.53万元，主要原因是部分项目收入和项目进度不</w:t>
      </w:r>
      <w:r>
        <w:rPr>
          <w:rFonts w:ascii="仿宋" w:hAnsi="仿宋" w:eastAsia="仿宋" w:cs="仿宋"/>
          <w:spacing w:val="9"/>
          <w:sz w:val="31"/>
          <w:szCs w:val="31"/>
        </w:rPr>
        <w:t>匹配</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政府性基金预算财政拨款本年收入完成年初预算的0.0%，比年初预算增加0.00万元，主要原因是我单位无政府性基金；支出完成年初预算的0.0%，比年初预算增加0.00万元，主要原因是我单位无政府性基金。</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国有资本经营预算财政拨款本年收入完成年初预算的0.0%，比年初预算增加0.00万元，主要原因是我单位无国有资本经营预算</w:t>
      </w:r>
      <w:bookmarkStart w:id="0" w:name="_GoBack"/>
      <w:bookmarkEnd w:id="0"/>
      <w:r>
        <w:rPr>
          <w:rFonts w:ascii="Times New Roman" w:eastAsia="仿宋_GB2312"/>
          <w:b w:val="0"/>
          <w:sz w:val="32"/>
          <w:szCs w:val="32"/>
        </w:rPr>
        <w:t>；支出完成年初预算的0.0%，比年初预算增加0.00万元，主要原因是我单位无国有资本经营预算。</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2025年度财政拨款支出389.05万元，主要用于以下方面：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一般公共服务（类）支出306.49万元，占78.8%，主要用于等支出；外交（类）支出0.00万元，占0.0%，主要用于</w:t>
      </w:r>
      <w:r>
        <w:rPr>
          <w:rFonts w:hint="eastAsia" w:ascii="Times New Roman" w:eastAsia="仿宋_GB2312"/>
          <w:b w:val="0"/>
          <w:sz w:val="32"/>
          <w:szCs w:val="32"/>
          <w:lang w:eastAsia="zh-CN"/>
        </w:rPr>
        <w:t>公用经费、人员经费、项目经费、保险</w:t>
      </w:r>
      <w:r>
        <w:rPr>
          <w:rFonts w:ascii="Times New Roman" w:eastAsia="仿宋_GB2312"/>
          <w:b w:val="0"/>
          <w:sz w:val="32"/>
          <w:szCs w:val="32"/>
        </w:rPr>
        <w:t>等支出；社会保障和就业 （类）支出48.75万元，占12.5%，主要用于</w:t>
      </w:r>
      <w:r>
        <w:rPr>
          <w:rFonts w:hint="eastAsia" w:ascii="Times New Roman" w:eastAsia="仿宋_GB2312"/>
          <w:b w:val="0"/>
          <w:sz w:val="32"/>
          <w:szCs w:val="32"/>
          <w:lang w:eastAsia="zh-CN"/>
        </w:rPr>
        <w:t>机关养老保险</w:t>
      </w:r>
      <w:r>
        <w:rPr>
          <w:rFonts w:ascii="Times New Roman" w:eastAsia="仿宋_GB2312"/>
          <w:b w:val="0"/>
          <w:sz w:val="32"/>
          <w:szCs w:val="32"/>
        </w:rPr>
        <w:t>等支出；卫生健康（类）支出11.44万元，占2.9%，主要用于</w:t>
      </w:r>
      <w:r>
        <w:rPr>
          <w:rFonts w:hint="eastAsia" w:ascii="Times New Roman" w:eastAsia="仿宋_GB2312"/>
          <w:b w:val="0"/>
          <w:sz w:val="32"/>
          <w:szCs w:val="32"/>
          <w:lang w:eastAsia="zh-CN"/>
        </w:rPr>
        <w:t>医疗保险</w:t>
      </w:r>
      <w:r>
        <w:rPr>
          <w:rFonts w:ascii="Times New Roman" w:eastAsia="仿宋_GB2312"/>
          <w:b w:val="0"/>
          <w:sz w:val="32"/>
          <w:szCs w:val="32"/>
        </w:rPr>
        <w:t>等支出；住房保障（类）支出22.36万元，占5.7%，主要用于</w:t>
      </w:r>
      <w:r>
        <w:rPr>
          <w:rFonts w:hint="eastAsia" w:ascii="Times New Roman" w:eastAsia="仿宋_GB2312"/>
          <w:b w:val="0"/>
          <w:sz w:val="32"/>
          <w:szCs w:val="32"/>
          <w:lang w:eastAsia="zh-CN"/>
        </w:rPr>
        <w:t>住房公积金</w:t>
      </w:r>
      <w:r>
        <w:rPr>
          <w:rFonts w:ascii="Times New Roman" w:eastAsia="仿宋_GB2312"/>
          <w:b w:val="0"/>
          <w:sz w:val="32"/>
          <w:szCs w:val="32"/>
        </w:rPr>
        <w:t>等支出</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w:t>
      </w:r>
      <w:r>
        <w:rPr>
          <w:rFonts w:hint="eastAsia" w:ascii="Times New Roman" w:eastAsia="仿宋_GB2312"/>
          <w:b w:val="0"/>
          <w:sz w:val="32"/>
          <w:szCs w:val="32"/>
          <w:lang w:val="en-US" w:eastAsia="zh-CN"/>
        </w:rPr>
        <w:t>0</w:t>
      </w:r>
      <w:r>
        <w:rPr>
          <w:rFonts w:ascii="Times New Roman" w:eastAsia="仿宋_GB2312"/>
          <w:b w:val="0"/>
          <w:sz w:val="32"/>
          <w:szCs w:val="32"/>
        </w:rPr>
        <w:t>万元，占0%，主要</w:t>
      </w:r>
      <w:r>
        <w:rPr>
          <w:rFonts w:hint="eastAsia" w:ascii="Times New Roman" w:eastAsia="仿宋_GB2312"/>
          <w:b w:val="0"/>
          <w:sz w:val="32"/>
          <w:szCs w:val="32"/>
          <w:lang w:eastAsia="zh-CN"/>
        </w:rPr>
        <w:t>原因为我单位无政府性基金预算财政拨款支出。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一般公共服务（类）支出0万元，占0%，主要</w:t>
      </w:r>
      <w:r>
        <w:rPr>
          <w:rFonts w:hint="eastAsia" w:ascii="Times New Roman" w:eastAsia="仿宋_GB2312"/>
          <w:b w:val="0"/>
          <w:sz w:val="32"/>
          <w:szCs w:val="32"/>
          <w:lang w:eastAsia="zh-CN"/>
        </w:rPr>
        <w:t>原因是我单位无国有资本经营预算财政拨款支出。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2025年度财政拨款基本支出297.22万元，其中：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256.98万元，主要包括基本工资、津贴补贴、奖金、绩效工资、机关事业部门基本养老保险缴费、职业年金缴费、职工基本医疗保险缴费、公务员医疗补助缴费、住房公积金、其他社会保障缴费、其他工资福利支出、退休费、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40.23万元，主要包括办公费、印刷费、手续费、邮电费、取暖费、差旅费、培训费、委托业务费、工会经费、福利费、其他交通费用、税金及附加费用、其他商品和服务支出、办公设备购置、专用设备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本单位2025年度“三公”经费财政拨款支出预算为0.00万元，支出决算为0.00万元，完成预算的0.0%，较预算增加0.00万元，增长0.0%，主要原因是</w:t>
      </w:r>
      <w:r>
        <w:rPr>
          <w:rFonts w:hint="eastAsia" w:ascii="Times New Roman" w:eastAsia="仿宋_GB2312"/>
          <w:b w:val="0"/>
          <w:sz w:val="32"/>
          <w:szCs w:val="32"/>
          <w:lang w:eastAsia="zh-CN"/>
        </w:rPr>
        <w:t>我</w:t>
      </w:r>
      <w:r>
        <w:rPr>
          <w:rFonts w:ascii="Times New Roman" w:eastAsia="仿宋_GB2312"/>
          <w:b w:val="0"/>
          <w:sz w:val="32"/>
          <w:szCs w:val="32"/>
        </w:rPr>
        <w:t>单位未发生三公经费支出；较2024年度决算增加0.00万元，增长0.00%，主要原因是</w:t>
      </w:r>
      <w:r>
        <w:rPr>
          <w:rFonts w:hint="eastAsia" w:ascii="Times New Roman" w:eastAsia="仿宋_GB2312"/>
          <w:b w:val="0"/>
          <w:sz w:val="32"/>
          <w:szCs w:val="32"/>
          <w:lang w:eastAsia="zh-CN"/>
        </w:rPr>
        <w:t>我</w:t>
      </w:r>
      <w:r>
        <w:rPr>
          <w:rFonts w:ascii="Times New Roman" w:eastAsia="仿宋_GB2312"/>
          <w:b w:val="0"/>
          <w:sz w:val="32"/>
          <w:szCs w:val="32"/>
        </w:rPr>
        <w:t>单位未发生三公经费支出。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我单位未发生因公出国（境）费支出；较上年增加0.00万元，增长0.00%,主要原因是我单位未发生因公出国（境）费支出。因公出国（境）团组0个、共0人、参加其他单位组织的因公出国（境）团组个、共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主要原因是我单位公务用车归机关事务局公务用车平台统一使用；较上年增加0.00万元，增长0.00%,主要原因是我单位公务用车归机关事务局公务用车平台统一使用。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我单位未发生‘公务用车购置’经费支出；较上年增加0.00万元，增长0.00%,主要原因是我单位未发生‘公务用车购置’经费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增长0.0%,主要原因是我单位未发生‘公务用车运行维护’经费支出；较上年增加0.00万元，增长0.00%，主要原因是我单位未发生‘公务用车运行维护’经费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我单位未发生公务接待经费支出；较上年度增加0.00万元，增长0.00%,主要原因是我单位未发生公务接待经费支出。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本单位2025年度机关运行经费支出40.23万元，较2024年度增加1.91万元，增长5.0%。主要原因是</w:t>
      </w:r>
      <w:r>
        <w:rPr>
          <w:rFonts w:hint="eastAsia" w:ascii="Times New Roman" w:eastAsia="仿宋_GB2312"/>
          <w:b w:val="0"/>
          <w:sz w:val="32"/>
          <w:szCs w:val="32"/>
          <w:lang w:eastAsia="zh-CN"/>
        </w:rPr>
        <w:t>公用经费增加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0.52万元，从采购类型来看，政府采购货物支出0.52万元、政府采购工程支出0.00万元、政府采购服务支出0.00万元。授予中小企业合同金额0.52万元，占政府采购支出总额的100.0%，其中授予小微企业合同金额0.52万元，占政府采购支出总额的100.0%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增加0辆，主要是我单位公务用车归机关事务局公务用车平台统一使用。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91.83</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6</w:t>
      </w:r>
      <w:r>
        <w:rPr>
          <w:rFonts w:ascii="Times New Roman" w:eastAsia="仿宋_GB2312"/>
          <w:b w:val="0"/>
          <w:sz w:val="32"/>
          <w:szCs w:val="32"/>
        </w:rPr>
        <w:t>个，涉及资金</w:t>
      </w:r>
      <w:r>
        <w:rPr>
          <w:rFonts w:hint="eastAsia" w:ascii="Times New Roman" w:eastAsia="仿宋_GB2312"/>
          <w:b w:val="0"/>
          <w:sz w:val="32"/>
          <w:szCs w:val="32"/>
          <w:lang w:val="en-US" w:eastAsia="zh-CN"/>
        </w:rPr>
        <w:t>91.83</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组织对舆情中心运行费项目、网络安全技术支持项目、网络文明建设服务项目、涉军人员岗位工资项目、网络舆情监测直报项目、网络重点平台宣传项目等</w:t>
      </w:r>
      <w:r>
        <w:rPr>
          <w:rFonts w:hint="eastAsia" w:ascii="Times New Roman" w:eastAsia="仿宋_GB2312"/>
          <w:b w:val="0"/>
          <w:sz w:val="32"/>
          <w:szCs w:val="32"/>
          <w:lang w:val="en-US" w:eastAsia="zh-CN"/>
        </w:rPr>
        <w:t>6</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91.83</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万元，从评价情况来看根据年初设定的绩效目标，按时间节点完成各项活动，及时支付项目资金，项目完成良好。</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本单位在今年部门决算公开中反映等个项目绩效自评结果。</w:t>
      </w: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b w:val="0"/>
          <w:sz w:val="32"/>
          <w:szCs w:val="32"/>
        </w:rPr>
        <w:t>舆情中心运行费项目绩效自评情况：</w:t>
      </w:r>
      <w:r>
        <w:rPr>
          <w:rFonts w:hint="eastAsia" w:ascii="Times New Roman" w:eastAsia="仿宋_GB2312" w:cs="宋体"/>
          <w:b w:val="0"/>
          <w:sz w:val="32"/>
          <w:szCs w:val="32"/>
        </w:rPr>
        <w:t>根据年初设定的绩效目标，舆情中心运行费项目绩效自评得分为100分（绩效自评表附后）。全年预算数为</w:t>
      </w:r>
      <w:r>
        <w:rPr>
          <w:rFonts w:hint="eastAsia" w:ascii="Times New Roman" w:eastAsia="仿宋_GB2312" w:cs="宋体"/>
          <w:b w:val="0"/>
          <w:sz w:val="32"/>
          <w:szCs w:val="32"/>
          <w:lang w:val="en-US" w:eastAsia="zh-CN"/>
        </w:rPr>
        <w:t>29.91</w:t>
      </w:r>
      <w:r>
        <w:rPr>
          <w:rFonts w:hint="eastAsia" w:ascii="Times New Roman" w:eastAsia="仿宋_GB2312" w:cs="宋体"/>
          <w:b w:val="0"/>
          <w:sz w:val="32"/>
          <w:szCs w:val="32"/>
          <w:lang w:eastAsia="zh-CN"/>
        </w:rPr>
        <w:t>万</w:t>
      </w:r>
      <w:r>
        <w:rPr>
          <w:rFonts w:hint="eastAsia" w:ascii="Times New Roman" w:eastAsia="仿宋_GB2312" w:cs="宋体"/>
          <w:b w:val="0"/>
          <w:sz w:val="32"/>
          <w:szCs w:val="32"/>
        </w:rPr>
        <w:t>元，执行数为</w:t>
      </w:r>
      <w:r>
        <w:rPr>
          <w:rFonts w:hint="eastAsia" w:ascii="Times New Roman" w:eastAsia="仿宋_GB2312" w:cs="宋体"/>
          <w:b w:val="0"/>
          <w:sz w:val="32"/>
          <w:szCs w:val="32"/>
          <w:lang w:val="en-US" w:eastAsia="zh-CN"/>
        </w:rPr>
        <w:t>29.91</w:t>
      </w:r>
      <w:r>
        <w:rPr>
          <w:rFonts w:hint="eastAsia" w:ascii="Times New Roman" w:eastAsia="仿宋_GB2312" w:cs="宋体"/>
          <w:b w:val="0"/>
          <w:sz w:val="32"/>
          <w:szCs w:val="32"/>
        </w:rPr>
        <w:t>万元，完成预算</w:t>
      </w:r>
      <w:r>
        <w:rPr>
          <w:rFonts w:hint="eastAsia" w:ascii="Times New Roman" w:eastAsia="仿宋_GB2312" w:cs="宋体"/>
          <w:b w:val="0"/>
          <w:sz w:val="32"/>
          <w:szCs w:val="32"/>
          <w:lang w:eastAsia="zh-CN"/>
        </w:rPr>
        <w:t>的</w:t>
      </w:r>
      <w:r>
        <w:rPr>
          <w:rFonts w:hint="eastAsia" w:ascii="Times New Roman" w:eastAsia="仿宋_GB2312" w:cs="宋体"/>
          <w:b w:val="0"/>
          <w:sz w:val="32"/>
          <w:szCs w:val="32"/>
        </w:rPr>
        <w:t>100%。项目绩效目标完成情况：通过项目实施</w:t>
      </w:r>
      <w:r>
        <w:rPr>
          <w:rFonts w:hint="eastAsia" w:ascii="Times New Roman" w:eastAsia="仿宋_GB2312" w:cs="宋体"/>
          <w:b w:val="0"/>
          <w:sz w:val="32"/>
          <w:szCs w:val="32"/>
          <w:lang w:eastAsia="zh-CN"/>
        </w:rPr>
        <w:t>，</w:t>
      </w:r>
      <w:r>
        <w:rPr>
          <w:rFonts w:hint="eastAsia" w:ascii="Times New Roman" w:eastAsia="仿宋_GB2312" w:cs="宋体"/>
          <w:b w:val="0"/>
          <w:sz w:val="32"/>
          <w:szCs w:val="32"/>
        </w:rPr>
        <w:t>完成了年初设定的各项绩效目标，已完成使用专业APP实时监测我区网上舆情信息，并在大数据筛选基础上进行人工分拣推送，提高精准度，同时加大图片和音视频两套监测系统监测力度，实现网络舆情监测全覆盖.，舆情推送次数不少于</w:t>
      </w:r>
      <w:r>
        <w:rPr>
          <w:rFonts w:hint="eastAsia" w:ascii="Times New Roman" w:eastAsia="仿宋_GB2312" w:cs="宋体"/>
          <w:b w:val="0"/>
          <w:sz w:val="32"/>
          <w:szCs w:val="32"/>
          <w:lang w:val="en-US" w:eastAsia="zh-CN"/>
        </w:rPr>
        <w:t>8000</w:t>
      </w:r>
      <w:r>
        <w:rPr>
          <w:rFonts w:hint="eastAsia" w:ascii="Times New Roman" w:eastAsia="仿宋_GB2312" w:cs="宋体"/>
          <w:b w:val="0"/>
          <w:sz w:val="32"/>
          <w:szCs w:val="32"/>
        </w:rPr>
        <w:t>条</w:t>
      </w:r>
      <w:r>
        <w:rPr>
          <w:rFonts w:hint="eastAsia" w:ascii="Times New Roman" w:eastAsia="仿宋_GB2312" w:cs="宋体"/>
          <w:b w:val="0"/>
          <w:sz w:val="32"/>
          <w:szCs w:val="32"/>
          <w:lang w:eastAsia="zh-CN"/>
        </w:rPr>
        <w:t>，涉稳舆情处置率</w:t>
      </w:r>
      <w:r>
        <w:rPr>
          <w:rFonts w:hint="eastAsia" w:ascii="Times New Roman" w:eastAsia="仿宋_GB2312" w:cs="宋体"/>
          <w:b w:val="0"/>
          <w:sz w:val="32"/>
          <w:szCs w:val="32"/>
          <w:lang w:val="en-US" w:eastAsia="zh-CN"/>
        </w:rPr>
        <w:t>100%，</w:t>
      </w:r>
      <w:r>
        <w:rPr>
          <w:rFonts w:hint="eastAsia" w:ascii="Times New Roman" w:eastAsia="仿宋_GB2312" w:cs="宋体"/>
          <w:b w:val="0"/>
          <w:sz w:val="32"/>
          <w:szCs w:val="32"/>
        </w:rPr>
        <w:t>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rPr>
        <w:t>网络安全技术支持项目绩效自评情况：根据年初设定的绩效目标，网络安全技术支持项目绩效自评得分为100分（绩效自评表附后）。全年预算数为</w:t>
      </w:r>
      <w:r>
        <w:rPr>
          <w:rFonts w:hint="eastAsia" w:ascii="Times New Roman" w:eastAsia="仿宋_GB2312" w:cs="宋体"/>
          <w:b w:val="0"/>
          <w:sz w:val="32"/>
          <w:szCs w:val="32"/>
          <w:lang w:val="en-US" w:eastAsia="zh-CN"/>
        </w:rPr>
        <w:t>20.53万</w:t>
      </w:r>
      <w:r>
        <w:rPr>
          <w:rFonts w:hint="eastAsia" w:ascii="Times New Roman" w:eastAsia="仿宋_GB2312" w:cs="宋体"/>
          <w:b w:val="0"/>
          <w:sz w:val="32"/>
          <w:szCs w:val="32"/>
        </w:rPr>
        <w:t>元，执行数为</w:t>
      </w:r>
      <w:r>
        <w:rPr>
          <w:rFonts w:hint="eastAsia" w:ascii="Times New Roman" w:eastAsia="仿宋_GB2312" w:cs="宋体"/>
          <w:b w:val="0"/>
          <w:sz w:val="32"/>
          <w:szCs w:val="32"/>
          <w:lang w:val="en-US" w:eastAsia="zh-CN"/>
        </w:rPr>
        <w:t>20.53</w:t>
      </w:r>
      <w:r>
        <w:rPr>
          <w:rFonts w:hint="eastAsia" w:ascii="Times New Roman" w:eastAsia="仿宋_GB2312" w:cs="宋体"/>
          <w:b w:val="0"/>
          <w:sz w:val="32"/>
          <w:szCs w:val="32"/>
        </w:rPr>
        <w:t>万元，完成预算</w:t>
      </w:r>
      <w:r>
        <w:rPr>
          <w:rFonts w:hint="eastAsia" w:ascii="Times New Roman" w:eastAsia="仿宋_GB2312" w:cs="宋体"/>
          <w:b w:val="0"/>
          <w:sz w:val="32"/>
          <w:szCs w:val="32"/>
          <w:lang w:eastAsia="zh-CN"/>
        </w:rPr>
        <w:t>的</w:t>
      </w:r>
      <w:r>
        <w:rPr>
          <w:rFonts w:hint="eastAsia" w:ascii="Times New Roman" w:eastAsia="仿宋_GB2312" w:cs="宋体"/>
          <w:b w:val="0"/>
          <w:sz w:val="32"/>
          <w:szCs w:val="32"/>
        </w:rPr>
        <w:t>100%。项目绩效目标完成情况：通过项目实施，已完成对全区网络安全进行宣传和技术支持。主要包括进行网络安全宣传周、网络安全应急演练等网络安全宣传活动</w:t>
      </w:r>
      <w:r>
        <w:rPr>
          <w:rFonts w:hint="eastAsia" w:ascii="Times New Roman" w:eastAsia="仿宋_GB2312" w:cs="宋体"/>
          <w:b w:val="0"/>
          <w:sz w:val="32"/>
          <w:szCs w:val="32"/>
          <w:lang w:eastAsia="zh-CN"/>
        </w:rPr>
        <w:t>不少于</w:t>
      </w:r>
      <w:r>
        <w:rPr>
          <w:rFonts w:hint="eastAsia" w:ascii="Times New Roman" w:eastAsia="仿宋_GB2312" w:cs="宋体"/>
          <w:b w:val="0"/>
          <w:sz w:val="32"/>
          <w:szCs w:val="32"/>
          <w:lang w:val="en-US" w:eastAsia="zh-CN"/>
        </w:rPr>
        <w:t>5次</w:t>
      </w:r>
      <w:r>
        <w:rPr>
          <w:rFonts w:hint="eastAsia" w:ascii="Times New Roman" w:eastAsia="仿宋_GB2312" w:cs="宋体"/>
          <w:b w:val="0"/>
          <w:sz w:val="32"/>
          <w:szCs w:val="32"/>
        </w:rPr>
        <w:t>，同时负责监测全区不少于20个官方网站、系统、APP、终端等网络安全的技术服务，对网信办所辖的官方微信公众号、今日头条、抖音、微博、一点资讯、澎湃新闻、网信鹿泉等账号提供技术支持。</w:t>
      </w:r>
      <w:r>
        <w:rPr>
          <w:rFonts w:hint="eastAsia" w:ascii="Times New Roman" w:eastAsia="仿宋_GB2312" w:cs="宋体"/>
          <w:b w:val="0"/>
          <w:sz w:val="32"/>
          <w:szCs w:val="32"/>
          <w:lang w:eastAsia="zh-CN"/>
        </w:rPr>
        <w:t>网络安全技术监测工作完成率</w:t>
      </w:r>
      <w:r>
        <w:rPr>
          <w:rFonts w:hint="eastAsia" w:ascii="Times New Roman" w:eastAsia="仿宋_GB2312" w:cs="宋体"/>
          <w:b w:val="0"/>
          <w:sz w:val="32"/>
          <w:szCs w:val="32"/>
          <w:lang w:val="en-US" w:eastAsia="zh-CN"/>
        </w:rPr>
        <w:t>100%。</w:t>
      </w:r>
      <w:r>
        <w:rPr>
          <w:rFonts w:hint="eastAsia" w:ascii="Times New Roman" w:eastAsia="仿宋_GB2312" w:cs="宋体"/>
          <w:b w:val="0"/>
          <w:sz w:val="32"/>
          <w:szCs w:val="32"/>
        </w:rPr>
        <w:t>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rPr>
        <w:t>区网络文明建设服务项目绩效自评情况：根据年初设定的绩效目标，网络文明建设服务项目绩效自评得分为100分（绩效自评表附后）。全年预算数为</w:t>
      </w:r>
      <w:r>
        <w:rPr>
          <w:rFonts w:hint="eastAsia" w:ascii="Times New Roman" w:eastAsia="仿宋_GB2312" w:cs="宋体"/>
          <w:b w:val="0"/>
          <w:sz w:val="32"/>
          <w:szCs w:val="32"/>
          <w:lang w:val="en-US" w:eastAsia="zh-CN"/>
        </w:rPr>
        <w:t>10</w:t>
      </w:r>
      <w:r>
        <w:rPr>
          <w:rFonts w:hint="eastAsia" w:ascii="Times New Roman" w:eastAsia="仿宋_GB2312" w:cs="宋体"/>
          <w:b w:val="0"/>
          <w:sz w:val="32"/>
          <w:szCs w:val="32"/>
          <w:lang w:eastAsia="zh-CN"/>
        </w:rPr>
        <w:t>万</w:t>
      </w:r>
      <w:r>
        <w:rPr>
          <w:rFonts w:hint="eastAsia" w:ascii="Times New Roman" w:eastAsia="仿宋_GB2312" w:cs="宋体"/>
          <w:b w:val="0"/>
          <w:sz w:val="32"/>
          <w:szCs w:val="32"/>
        </w:rPr>
        <w:t>元，执行数为</w:t>
      </w:r>
      <w:r>
        <w:rPr>
          <w:rFonts w:hint="eastAsia" w:ascii="Times New Roman" w:eastAsia="仿宋_GB2312" w:cs="宋体"/>
          <w:b w:val="0"/>
          <w:sz w:val="32"/>
          <w:szCs w:val="32"/>
          <w:lang w:val="en-US" w:eastAsia="zh-CN"/>
        </w:rPr>
        <w:t>10</w:t>
      </w:r>
      <w:r>
        <w:rPr>
          <w:rFonts w:hint="eastAsia" w:ascii="Times New Roman" w:eastAsia="仿宋_GB2312" w:cs="宋体"/>
          <w:b w:val="0"/>
          <w:sz w:val="32"/>
          <w:szCs w:val="32"/>
        </w:rPr>
        <w:t>万元，完成预算的100%。项目绩效目标完成情况：通过项目实施，完成了年初设定的各项绩效目标</w:t>
      </w:r>
      <w:r>
        <w:rPr>
          <w:rFonts w:hint="eastAsia" w:ascii="Times New Roman" w:eastAsia="仿宋_GB2312" w:cs="宋体"/>
          <w:b w:val="0"/>
          <w:sz w:val="32"/>
          <w:szCs w:val="32"/>
          <w:lang w:val="en-US" w:eastAsia="zh-CN"/>
        </w:rPr>
        <w:t>,</w:t>
      </w:r>
      <w:r>
        <w:rPr>
          <w:rFonts w:hint="eastAsia" w:ascii="Times New Roman" w:eastAsia="仿宋_GB2312" w:cs="宋体"/>
          <w:b w:val="0"/>
          <w:sz w:val="32"/>
          <w:szCs w:val="32"/>
          <w:lang w:eastAsia="zh-CN"/>
        </w:rPr>
        <w:t>已完成开展正能量宣传活动次数不少于</w:t>
      </w:r>
      <w:r>
        <w:rPr>
          <w:rFonts w:hint="eastAsia" w:ascii="Times New Roman" w:eastAsia="仿宋_GB2312" w:cs="宋体"/>
          <w:b w:val="0"/>
          <w:sz w:val="32"/>
          <w:szCs w:val="32"/>
          <w:lang w:val="en-US" w:eastAsia="zh-CN"/>
        </w:rPr>
        <w:t>3次</w:t>
      </w:r>
      <w:r>
        <w:rPr>
          <w:rFonts w:hint="eastAsia" w:ascii="Times New Roman" w:eastAsia="仿宋_GB2312" w:cs="宋体"/>
          <w:b w:val="0"/>
          <w:sz w:val="32"/>
          <w:szCs w:val="32"/>
          <w:lang w:eastAsia="zh-CN"/>
        </w:rPr>
        <w:t>，组织自媒体采风活动，法律法规、净网系列专项行动主题宣传，增强全民网络文明意识，加大全区网络正能量宣传。</w:t>
      </w:r>
      <w:r>
        <w:rPr>
          <w:rFonts w:hint="eastAsia" w:ascii="Times New Roman" w:eastAsia="仿宋_GB2312" w:cs="宋体"/>
          <w:b w:val="0"/>
          <w:sz w:val="32"/>
          <w:szCs w:val="32"/>
        </w:rPr>
        <w:t>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rPr>
        <w:t>网络舆情监测直报项目绩效自评情况：根据年初设定的绩效目标，网络舆情监测直报项目绩效自评得分为 100分（绩效自评表附后）</w:t>
      </w:r>
      <w:r>
        <w:rPr>
          <w:rFonts w:hint="eastAsia" w:ascii="Times New Roman" w:eastAsia="仿宋_GB2312" w:cs="宋体"/>
          <w:b w:val="0"/>
          <w:sz w:val="32"/>
          <w:szCs w:val="32"/>
          <w:lang w:eastAsia="zh-CN"/>
        </w:rPr>
        <w:t>。</w:t>
      </w:r>
      <w:r>
        <w:rPr>
          <w:rFonts w:hint="eastAsia" w:ascii="Times New Roman" w:eastAsia="仿宋_GB2312" w:cs="宋体"/>
          <w:b w:val="0"/>
          <w:sz w:val="32"/>
          <w:szCs w:val="32"/>
        </w:rPr>
        <w:t>全年预算数为</w:t>
      </w:r>
      <w:r>
        <w:rPr>
          <w:rFonts w:hint="eastAsia" w:ascii="Times New Roman" w:eastAsia="仿宋_GB2312" w:cs="宋体"/>
          <w:b w:val="0"/>
          <w:sz w:val="32"/>
          <w:szCs w:val="32"/>
          <w:lang w:val="en-US" w:eastAsia="zh-CN"/>
        </w:rPr>
        <w:t>10万</w:t>
      </w:r>
      <w:r>
        <w:rPr>
          <w:rFonts w:hint="eastAsia" w:ascii="Times New Roman" w:eastAsia="仿宋_GB2312" w:cs="宋体"/>
          <w:b w:val="0"/>
          <w:sz w:val="32"/>
          <w:szCs w:val="32"/>
        </w:rPr>
        <w:t>元，执行数为</w:t>
      </w:r>
      <w:r>
        <w:rPr>
          <w:rFonts w:hint="eastAsia" w:ascii="Times New Roman" w:eastAsia="仿宋_GB2312" w:cs="宋体"/>
          <w:b w:val="0"/>
          <w:sz w:val="32"/>
          <w:szCs w:val="32"/>
          <w:lang w:val="en-US" w:eastAsia="zh-CN"/>
        </w:rPr>
        <w:t>10</w:t>
      </w:r>
      <w:r>
        <w:rPr>
          <w:rFonts w:hint="eastAsia" w:ascii="Times New Roman" w:eastAsia="仿宋_GB2312" w:cs="宋体"/>
          <w:b w:val="0"/>
          <w:sz w:val="32"/>
          <w:szCs w:val="32"/>
        </w:rPr>
        <w:t>万元，完成预算的100%。项目绩效目标完成情况：通过项目实施，完成了年初设定的各项绩效目标，</w:t>
      </w:r>
      <w:r>
        <w:rPr>
          <w:rFonts w:hint="eastAsia" w:ascii="Times New Roman" w:eastAsia="仿宋_GB2312" w:cs="宋体"/>
          <w:b w:val="0"/>
          <w:sz w:val="32"/>
          <w:szCs w:val="32"/>
          <w:lang w:eastAsia="zh-CN"/>
        </w:rPr>
        <w:t>完成对政治类信息举报进行重点监测，提供省直报数量不少于3000条，同时配合石家庄市舆情监测并进行推送等技术服务，并做好网信办视频会议室信息技术维护工作。涉稳舆情处置率</w:t>
      </w:r>
      <w:r>
        <w:rPr>
          <w:rFonts w:hint="eastAsia" w:ascii="Times New Roman" w:eastAsia="仿宋_GB2312" w:cs="宋体"/>
          <w:b w:val="0"/>
          <w:sz w:val="32"/>
          <w:szCs w:val="32"/>
          <w:lang w:val="en-US" w:eastAsia="zh-CN"/>
        </w:rPr>
        <w:t>100%。</w:t>
      </w:r>
      <w:r>
        <w:rPr>
          <w:rFonts w:hint="eastAsia" w:ascii="Times New Roman" w:eastAsia="仿宋_GB2312" w:cs="宋体"/>
          <w:b w:val="0"/>
          <w:sz w:val="32"/>
          <w:szCs w:val="32"/>
        </w:rPr>
        <w:t>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rPr>
        <w:t>网络重点平台宣传项目绩效自评情况：根据年初设定的 绩效目标，网络重点平台宣传项目绩效自评得分为 100 分（绩效自评表附后）。全年预算数为</w:t>
      </w:r>
      <w:r>
        <w:rPr>
          <w:rFonts w:hint="eastAsia" w:ascii="Times New Roman" w:eastAsia="仿宋_GB2312" w:cs="宋体"/>
          <w:b w:val="0"/>
          <w:sz w:val="32"/>
          <w:szCs w:val="32"/>
          <w:lang w:val="en-US" w:eastAsia="zh-CN"/>
        </w:rPr>
        <w:t>9.9</w:t>
      </w:r>
      <w:r>
        <w:rPr>
          <w:rFonts w:hint="eastAsia" w:ascii="Times New Roman" w:eastAsia="仿宋_GB2312" w:cs="宋体"/>
          <w:b w:val="0"/>
          <w:sz w:val="32"/>
          <w:szCs w:val="32"/>
        </w:rPr>
        <w:t>万元，执行数为</w:t>
      </w:r>
      <w:r>
        <w:rPr>
          <w:rFonts w:hint="eastAsia" w:ascii="Times New Roman" w:eastAsia="仿宋_GB2312" w:cs="宋体"/>
          <w:b w:val="0"/>
          <w:sz w:val="32"/>
          <w:szCs w:val="32"/>
          <w:lang w:val="en-US" w:eastAsia="zh-CN"/>
        </w:rPr>
        <w:t>9.9</w:t>
      </w:r>
      <w:r>
        <w:rPr>
          <w:rFonts w:hint="eastAsia" w:ascii="Times New Roman" w:eastAsia="仿宋_GB2312" w:cs="宋体"/>
          <w:b w:val="0"/>
          <w:sz w:val="32"/>
          <w:szCs w:val="32"/>
        </w:rPr>
        <w:t>万元，完成预算的 100%。项目绩效目标完成情况：通过项目实施，完成了年初设定的各项绩效目标，</w:t>
      </w:r>
      <w:r>
        <w:rPr>
          <w:rFonts w:hint="eastAsia" w:ascii="Times New Roman" w:eastAsia="仿宋_GB2312" w:cs="宋体"/>
          <w:b w:val="0"/>
          <w:sz w:val="32"/>
          <w:szCs w:val="32"/>
          <w:lang w:eastAsia="zh-CN"/>
        </w:rPr>
        <w:t>已完提升鹿泉网络宣传效果，有效引导网上舆论，树立鹿泉区正面形象，充分发挥新媒体传播速度快、覆盖范围广的优势，积极组织开展各类宣传活动不少于</w:t>
      </w:r>
      <w:r>
        <w:rPr>
          <w:rFonts w:hint="eastAsia" w:ascii="Times New Roman" w:eastAsia="仿宋_GB2312" w:cs="宋体"/>
          <w:b w:val="0"/>
          <w:sz w:val="32"/>
          <w:szCs w:val="32"/>
          <w:lang w:val="en-US" w:eastAsia="zh-CN"/>
        </w:rPr>
        <w:t>3次</w:t>
      </w:r>
      <w:r>
        <w:rPr>
          <w:rFonts w:hint="eastAsia" w:ascii="Times New Roman" w:eastAsia="仿宋_GB2312" w:cs="宋体"/>
          <w:b w:val="0"/>
          <w:sz w:val="32"/>
          <w:szCs w:val="32"/>
          <w:lang w:eastAsia="zh-CN"/>
        </w:rPr>
        <w:t>，定期对鹿泉区内政务新媒体从业人员进行专题培训不少于</w:t>
      </w:r>
      <w:r>
        <w:rPr>
          <w:rFonts w:hint="eastAsia" w:ascii="Times New Roman" w:eastAsia="仿宋_GB2312" w:cs="宋体"/>
          <w:b w:val="0"/>
          <w:sz w:val="32"/>
          <w:szCs w:val="32"/>
          <w:lang w:val="en-US" w:eastAsia="zh-CN"/>
        </w:rPr>
        <w:t>3次</w:t>
      </w:r>
      <w:r>
        <w:rPr>
          <w:rFonts w:hint="eastAsia" w:ascii="Times New Roman" w:eastAsia="仿宋_GB2312" w:cs="宋体"/>
          <w:b w:val="0"/>
          <w:sz w:val="32"/>
          <w:szCs w:val="32"/>
          <w:lang w:eastAsia="zh-CN"/>
        </w:rPr>
        <w:t>，建立宣传矩阵。</w:t>
      </w:r>
      <w:r>
        <w:rPr>
          <w:rFonts w:hint="eastAsia" w:ascii="Times New Roman" w:eastAsia="仿宋_GB2312" w:cs="宋体"/>
          <w:b w:val="0"/>
          <w:sz w:val="32"/>
          <w:szCs w:val="32"/>
        </w:rPr>
        <w:t>未发现问题。</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涉军岗位工资项目绩效自评情况：根据年初设定的绩效目标，涉军岗位工资项目绩效自评得分为 100 分（绩效自评表附后）。全年预算数为 11.4</w:t>
      </w:r>
      <w:r>
        <w:rPr>
          <w:rFonts w:hint="eastAsia" w:ascii="Times New Roman" w:eastAsia="仿宋_GB2312" w:cs="宋体"/>
          <w:b w:val="0"/>
          <w:sz w:val="32"/>
          <w:szCs w:val="32"/>
          <w:lang w:val="en-US" w:eastAsia="zh-CN"/>
        </w:rPr>
        <w:t>9</w:t>
      </w:r>
      <w:r>
        <w:rPr>
          <w:rFonts w:hint="eastAsia" w:ascii="Times New Roman" w:eastAsia="仿宋_GB2312" w:cs="宋体"/>
          <w:b w:val="0"/>
          <w:sz w:val="32"/>
          <w:szCs w:val="32"/>
        </w:rPr>
        <w:t>万元，执行数为 11.4</w:t>
      </w:r>
      <w:r>
        <w:rPr>
          <w:rFonts w:hint="eastAsia" w:ascii="Times New Roman" w:eastAsia="仿宋_GB2312" w:cs="宋体"/>
          <w:b w:val="0"/>
          <w:sz w:val="32"/>
          <w:szCs w:val="32"/>
          <w:lang w:val="en-US" w:eastAsia="zh-CN"/>
        </w:rPr>
        <w:t>9</w:t>
      </w:r>
      <w:r>
        <w:rPr>
          <w:rFonts w:hint="eastAsia" w:ascii="Times New Roman" w:eastAsia="仿宋_GB2312" w:cs="宋体"/>
          <w:b w:val="0"/>
          <w:sz w:val="32"/>
          <w:szCs w:val="32"/>
        </w:rPr>
        <w:t>万元</w:t>
      </w:r>
      <w:r>
        <w:rPr>
          <w:rFonts w:hint="eastAsia" w:ascii="Times New Roman" w:eastAsia="仿宋_GB2312" w:cs="宋体"/>
          <w:b w:val="0"/>
          <w:sz w:val="32"/>
          <w:szCs w:val="32"/>
          <w:lang w:val="en-US" w:eastAsia="zh-CN"/>
        </w:rPr>
        <w:t>,</w:t>
      </w:r>
      <w:r>
        <w:rPr>
          <w:rFonts w:hint="eastAsia" w:ascii="Times New Roman" w:eastAsia="仿宋_GB2312" w:cs="宋体"/>
          <w:b w:val="0"/>
          <w:sz w:val="32"/>
          <w:szCs w:val="32"/>
        </w:rPr>
        <w:t>完成预算</w:t>
      </w:r>
      <w:r>
        <w:rPr>
          <w:rFonts w:hint="eastAsia" w:ascii="Times New Roman" w:eastAsia="仿宋_GB2312" w:cs="宋体"/>
          <w:b w:val="0"/>
          <w:sz w:val="32"/>
          <w:szCs w:val="32"/>
          <w:lang w:eastAsia="zh-CN"/>
        </w:rPr>
        <w:t>的</w:t>
      </w:r>
      <w:r>
        <w:rPr>
          <w:rFonts w:hint="eastAsia" w:ascii="Times New Roman" w:eastAsia="仿宋_GB2312" w:cs="宋体"/>
          <w:b w:val="0"/>
          <w:sz w:val="32"/>
          <w:szCs w:val="32"/>
        </w:rPr>
        <w:t>100%。项目绩效目标完成情况：通过项目实施， 完成了年初设定的各项绩效目标，</w:t>
      </w:r>
      <w:r>
        <w:rPr>
          <w:rFonts w:ascii="Times New Roman" w:eastAsia="仿宋_GB2312" w:cs="宋体"/>
          <w:b w:val="0"/>
          <w:sz w:val="32"/>
          <w:szCs w:val="32"/>
        </w:rPr>
        <w:t>一是严格落实上级政策，对单位内部的退役军人进行妥善安置。二是及时发放本单位</w:t>
      </w:r>
      <w:r>
        <w:rPr>
          <w:rFonts w:hint="eastAsia" w:ascii="Times New Roman" w:eastAsia="仿宋_GB2312" w:cs="宋体"/>
          <w:b w:val="0"/>
          <w:sz w:val="32"/>
          <w:szCs w:val="32"/>
          <w:lang w:val="en-US" w:eastAsia="zh-CN"/>
        </w:rPr>
        <w:t>2</w:t>
      </w:r>
      <w:r>
        <w:rPr>
          <w:rFonts w:ascii="Times New Roman" w:eastAsia="仿宋_GB2312" w:cs="宋体"/>
          <w:b w:val="0"/>
          <w:sz w:val="32"/>
          <w:szCs w:val="32"/>
        </w:rPr>
        <w:t>名退役军人的工资待遇及相关补贴，保障其合法权益，按时足额发放工资，未发现问题。</w:t>
      </w:r>
    </w:p>
    <w:p>
      <w:pPr>
        <w:widowControl/>
        <w:numPr>
          <w:ilvl w:val="0"/>
          <w:numId w:val="2"/>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部门评价项目绩效评价结果（如有）</w:t>
      </w:r>
    </w:p>
    <w:p>
      <w:pPr>
        <w:widowControl/>
        <w:numPr>
          <w:ilvl w:val="0"/>
          <w:numId w:val="0"/>
        </w:numPr>
        <w:spacing w:before="0" w:beforeLines="0" w:beforeAutospacing="0" w:after="0" w:afterLines="0" w:afterAutospacing="0" w:line="360" w:lineRule="auto"/>
        <w:jc w:val="left"/>
      </w:pPr>
      <w:r>
        <w:drawing>
          <wp:inline distT="0" distB="0" distL="114300" distR="114300">
            <wp:extent cx="5755640" cy="6334125"/>
            <wp:effectExtent l="0" t="0" r="16510"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5755640" cy="633412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pPr>
    </w:p>
    <w:p>
      <w:pPr>
        <w:widowControl/>
        <w:numPr>
          <w:ilvl w:val="0"/>
          <w:numId w:val="0"/>
        </w:numPr>
        <w:spacing w:before="0" w:beforeLines="0" w:beforeAutospacing="0" w:after="0" w:afterLines="0" w:afterAutospacing="0" w:line="360" w:lineRule="auto"/>
        <w:jc w:val="left"/>
      </w:pPr>
    </w:p>
    <w:p>
      <w:pPr>
        <w:widowControl/>
        <w:numPr>
          <w:ilvl w:val="0"/>
          <w:numId w:val="0"/>
        </w:numPr>
        <w:spacing w:before="0" w:beforeLines="0" w:beforeAutospacing="0" w:after="0" w:afterLines="0" w:afterAutospacing="0" w:line="360" w:lineRule="auto"/>
        <w:jc w:val="left"/>
      </w:pPr>
    </w:p>
    <w:p>
      <w:pPr>
        <w:widowControl/>
        <w:numPr>
          <w:ilvl w:val="0"/>
          <w:numId w:val="0"/>
        </w:numPr>
        <w:spacing w:before="0" w:beforeLines="0" w:beforeAutospacing="0" w:after="0" w:afterLines="0" w:afterAutospacing="0" w:line="360" w:lineRule="auto"/>
        <w:jc w:val="left"/>
      </w:pPr>
    </w:p>
    <w:p>
      <w:pPr>
        <w:widowControl/>
        <w:numPr>
          <w:ilvl w:val="0"/>
          <w:numId w:val="0"/>
        </w:numPr>
        <w:spacing w:before="0" w:beforeLines="0" w:beforeAutospacing="0" w:after="0" w:afterLines="0" w:afterAutospacing="0" w:line="360" w:lineRule="auto"/>
        <w:jc w:val="left"/>
      </w:pPr>
    </w:p>
    <w:p>
      <w:pPr>
        <w:widowControl/>
        <w:numPr>
          <w:ilvl w:val="0"/>
          <w:numId w:val="0"/>
        </w:numPr>
        <w:spacing w:before="0" w:beforeLines="0" w:beforeAutospacing="0" w:after="0" w:afterLines="0" w:afterAutospacing="0" w:line="360" w:lineRule="auto"/>
        <w:jc w:val="left"/>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numPr>
          <w:ilvl w:val="0"/>
          <w:numId w:val="0"/>
        </w:numPr>
        <w:spacing w:before="0" w:beforeLines="0" w:beforeAutospacing="0" w:after="0" w:afterLines="0" w:afterAutospacing="0" w:line="360" w:lineRule="auto"/>
        <w:jc w:val="left"/>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r>
        <w:drawing>
          <wp:inline distT="0" distB="0" distL="114300" distR="114300">
            <wp:extent cx="5755640" cy="7155180"/>
            <wp:effectExtent l="0" t="0" r="16510" b="762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0"/>
                    <a:stretch>
                      <a:fillRect/>
                    </a:stretch>
                  </pic:blipFill>
                  <pic:spPr>
                    <a:xfrm>
                      <a:off x="0" y="0"/>
                      <a:ext cx="5755640" cy="7155180"/>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r>
        <w:drawing>
          <wp:inline distT="0" distB="0" distL="114300" distR="114300">
            <wp:extent cx="5755640" cy="6678295"/>
            <wp:effectExtent l="0" t="0" r="16510" b="825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21"/>
                    <a:stretch>
                      <a:fillRect/>
                    </a:stretch>
                  </pic:blipFill>
                  <pic:spPr>
                    <a:xfrm>
                      <a:off x="0" y="0"/>
                      <a:ext cx="5755640" cy="667829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r>
        <w:drawing>
          <wp:inline distT="0" distB="0" distL="114300" distR="114300">
            <wp:extent cx="5755640" cy="6334125"/>
            <wp:effectExtent l="0" t="0" r="16510" b="952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22"/>
                    <a:stretch>
                      <a:fillRect/>
                    </a:stretch>
                  </pic:blipFill>
                  <pic:spPr>
                    <a:xfrm>
                      <a:off x="0" y="0"/>
                      <a:ext cx="5755640" cy="633412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r>
        <w:drawing>
          <wp:inline distT="0" distB="0" distL="114300" distR="114300">
            <wp:extent cx="5755640" cy="6803390"/>
            <wp:effectExtent l="0" t="0" r="16510" b="1651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3"/>
                    <a:stretch>
                      <a:fillRect/>
                    </a:stretch>
                  </pic:blipFill>
                  <pic:spPr>
                    <a:xfrm>
                      <a:off x="0" y="0"/>
                      <a:ext cx="5755640" cy="6803390"/>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pPr>
      <w:r>
        <w:drawing>
          <wp:inline distT="0" distB="0" distL="114300" distR="114300">
            <wp:extent cx="5755640" cy="6678295"/>
            <wp:effectExtent l="0" t="0" r="16510" b="825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24"/>
                    <a:stretch>
                      <a:fillRect/>
                    </a:stretch>
                  </pic:blipFill>
                  <pic:spPr>
                    <a:xfrm>
                      <a:off x="0" y="0"/>
                      <a:ext cx="5755640" cy="667829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pPr>
    </w:p>
    <w:p>
      <w:pPr>
        <w:widowControl/>
        <w:numPr>
          <w:ilvl w:val="0"/>
          <w:numId w:val="0"/>
        </w:numPr>
        <w:spacing w:before="0" w:beforeLines="0" w:beforeAutospacing="0" w:after="0" w:afterLines="0" w:afterAutospacing="0" w:line="360" w:lineRule="auto"/>
        <w:jc w:val="left"/>
      </w:pPr>
    </w:p>
    <w:p>
      <w:pPr>
        <w:widowControl/>
        <w:numPr>
          <w:ilvl w:val="0"/>
          <w:numId w:val="0"/>
        </w:numPr>
        <w:spacing w:before="0" w:beforeLines="0" w:beforeAutospacing="0" w:after="0" w:afterLines="0" w:afterAutospacing="0" w:line="360" w:lineRule="auto"/>
        <w:jc w:val="left"/>
      </w:pPr>
    </w:p>
    <w:p>
      <w:pPr>
        <w:widowControl/>
        <w:numPr>
          <w:ilvl w:val="0"/>
          <w:numId w:val="0"/>
        </w:numPr>
        <w:spacing w:before="0" w:beforeLines="0" w:beforeAutospacing="0" w:after="0" w:afterLines="0" w:afterAutospacing="0" w:line="360" w:lineRule="auto"/>
        <w:jc w:val="left"/>
      </w:pPr>
    </w:p>
    <w:p>
      <w:pPr>
        <w:widowControl/>
        <w:spacing w:before="0" w:beforeLines="0" w:beforeAutospacing="0" w:after="0" w:afterLines="0" w:afterAutospacing="0" w:line="360" w:lineRule="auto"/>
        <w:jc w:val="left"/>
        <w:rPr>
          <w:rFonts w:ascii="Times New Roman" w:eastAsia="仿宋_GB2312"/>
          <w:sz w:val="32"/>
          <w:szCs w:val="32"/>
        </w:rPr>
      </w:pP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3EC7932-8030-4CD7-8C15-D3623414EA57}"/>
  </w:font>
  <w:font w:name="黑体">
    <w:panose1 w:val="02010609060101010101"/>
    <w:charset w:val="86"/>
    <w:family w:val="auto"/>
    <w:pitch w:val="default"/>
    <w:sig w:usb0="800002BF" w:usb1="38CF7CFA" w:usb2="00000016" w:usb3="00000000" w:csb0="00040001" w:csb1="00000000"/>
    <w:embedRegular r:id="rId2" w:fontKey="{69B9F042-CAA0-452B-A328-CB4CD488434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19265D35-AF18-469F-94AC-FBA73D6D0B3A}"/>
  </w:font>
  <w:font w:name="仿宋">
    <w:panose1 w:val="02010609060101010101"/>
    <w:charset w:val="86"/>
    <w:family w:val="modern"/>
    <w:pitch w:val="default"/>
    <w:sig w:usb0="800002BF" w:usb1="38CF7CFA" w:usb2="00000016" w:usb3="00000000" w:csb0="00040001" w:csb1="00000000"/>
    <w:embedRegular r:id="rId4" w:fontKey="{ED069343-02D1-4070-A1B5-0410B98D1D32}"/>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42B1FCF0-C840-45B4-A671-B97E5DE0B7E3}"/>
  </w:font>
  <w:font w:name="楷体_GB2312">
    <w:panose1 w:val="02010609030101010101"/>
    <w:charset w:val="86"/>
    <w:family w:val="auto"/>
    <w:pitch w:val="default"/>
    <w:sig w:usb0="00000000" w:usb1="00000000" w:usb2="00000000" w:usb3="00000000" w:csb0="00000000" w:csb1="00000000"/>
    <w:embedRegular r:id="rId6" w:fontKey="{AE247039-0F93-4A02-AEA7-DAC3BF42655F}"/>
  </w:font>
  <w:font w:name="微软雅黑">
    <w:panose1 w:val="020B0503020204020204"/>
    <w:charset w:val="86"/>
    <w:family w:val="auto"/>
    <w:pitch w:val="default"/>
    <w:sig w:usb0="80000287" w:usb1="280F3C52" w:usb2="00000016" w:usb3="00000000" w:csb0="0004001F" w:csb1="00000000"/>
    <w:embedRegular r:id="rId7" w:fontKey="{5E56658C-BE41-48CA-B32D-1E53D31E52AF}"/>
  </w:font>
  <w:font w:name="方正小标宋_GBK">
    <w:panose1 w:val="02000000000000000000"/>
    <w:charset w:val="86"/>
    <w:family w:val="script"/>
    <w:pitch w:val="default"/>
    <w:sig w:usb0="00000000" w:usb1="00000000" w:usb2="00000000" w:usb3="00000000" w:csb0="00000000" w:csb1="00000000"/>
    <w:embedRegular r:id="rId8" w:fontKey="{65C2B5E6-E403-45BA-8F3D-E09B49988CF6}"/>
  </w:font>
  <w:font w:name="仿宋_GB2312">
    <w:panose1 w:val="02010609030101010101"/>
    <w:charset w:val="86"/>
    <w:family w:val="auto"/>
    <w:pitch w:val="default"/>
    <w:sig w:usb0="00000000" w:usb1="00000000" w:usb2="00000000" w:usb3="00000000" w:csb0="00000000" w:csb1="00000000"/>
    <w:embedRegular r:id="rId9" w:fontKey="{B30B0E5D-2D60-4152-A0C1-502BB9F6C2C2}"/>
  </w:font>
  <w:font w:name="ArialUnicodeMS">
    <w:altName w:val="Malgun Gothic"/>
    <w:panose1 w:val="00000000000000000000"/>
    <w:charset w:val="81"/>
    <w:family w:val="auto"/>
    <w:pitch w:val="default"/>
    <w:sig w:usb0="00000000" w:usb1="00000000" w:usb2="00000010" w:usb3="00000000" w:csb0="00080001" w:csb1="00000000"/>
    <w:embedRegular r:id="rId10" w:fontKey="{925F5EC0-2D76-4BCE-8953-682DDA07AADE}"/>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EE50FCF"/>
    <w:multiLevelType w:val="singleLevel"/>
    <w:tmpl w:val="FEE50FCF"/>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500234"/>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A551E"/>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53563"/>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2A31A6"/>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364269"/>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389.05</c:v>
                </c:pt>
                <c:pt idx="1">
                  <c:v>355.53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3890478.25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2972159.89</c:v>
                </c:pt>
                <c:pt idx="1">
                  <c:v>918318.36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355.53</c:v>
                </c:pt>
                <c:pt idx="1">
                  <c:v>355.53</c:v>
                </c:pt>
                <c:pt idx="2">
                  <c:v>355.53</c:v>
                </c:pt>
                <c:pt idx="3">
                  <c:v>355.53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389.05</c:v>
                </c:pt>
                <c:pt idx="1">
                  <c:v>389.05</c:v>
                </c:pt>
                <c:pt idx="2">
                  <c:v>389.05</c:v>
                </c:pt>
                <c:pt idx="3">
                  <c:v>389.05</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414.58</c:v>
                </c:pt>
                <c:pt idx="1">
                  <c:v>414.58</c:v>
                </c:pt>
                <c:pt idx="2">
                  <c:v>414.58</c:v>
                </c:pt>
                <c:pt idx="3">
                  <c:v>414.58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389.05</c:v>
                </c:pt>
                <c:pt idx="1">
                  <c:v>389.05</c:v>
                </c:pt>
                <c:pt idx="2">
                  <c:v>389.05</c:v>
                </c:pt>
                <c:pt idx="3">
                  <c:v>389.05</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0</TotalTime>
  <ScaleCrop>false</ScaleCrop>
  <LinksUpToDate>false</LinksUpToDate>
  <CharactersWithSpaces>6550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2026-09-18T02:30:24Z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