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both"/>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spacing w:line="560" w:lineRule="exact"/>
        <w:jc w:val="both"/>
        <w:rPr>
          <w:rFonts w:ascii="宋体" w:hAnsi="宋体" w:cs="宋体"/>
          <w:b/>
          <w:bCs/>
          <w:sz w:val="44"/>
          <w:szCs w:val="44"/>
        </w:rPr>
      </w:pPr>
    </w:p>
    <w:p>
      <w:pPr>
        <w:spacing w:line="560" w:lineRule="exact"/>
        <w:jc w:val="center"/>
        <w:rPr>
          <w:rFonts w:hint="eastAsia" w:ascii="宋体" w:hAnsi="宋体" w:cs="宋体"/>
          <w:b/>
          <w:bCs/>
          <w:sz w:val="44"/>
          <w:szCs w:val="44"/>
          <w:lang w:eastAsia="zh-CN"/>
        </w:rPr>
      </w:pPr>
      <w:r>
        <w:rPr>
          <w:rFonts w:hint="eastAsia" w:ascii="宋体" w:hAnsi="宋体" w:cs="宋体"/>
          <w:b/>
          <w:bCs/>
          <w:sz w:val="44"/>
          <w:szCs w:val="44"/>
          <w:lang w:eastAsia="zh-CN"/>
        </w:rPr>
        <w:t>中共石家庄市鹿泉区委统一战线工作部</w:t>
      </w:r>
    </w:p>
    <w:p>
      <w:pPr>
        <w:spacing w:line="560" w:lineRule="exact"/>
        <w:jc w:val="center"/>
        <w:rPr>
          <w:rFonts w:ascii="宋体" w:hAnsi="宋体" w:cs="宋体"/>
          <w:b/>
          <w:bCs/>
          <w:sz w:val="44"/>
          <w:szCs w:val="44"/>
        </w:rPr>
      </w:pPr>
      <w:r>
        <w:rPr>
          <w:rFonts w:hint="eastAsia" w:ascii="宋体" w:hAnsi="宋体" w:cs="宋体"/>
          <w:b/>
          <w:bCs/>
          <w:sz w:val="44"/>
          <w:szCs w:val="44"/>
        </w:rPr>
        <w:t>202</w:t>
      </w:r>
      <w:r>
        <w:rPr>
          <w:rFonts w:hint="eastAsia" w:ascii="宋体" w:hAnsi="宋体" w:cs="宋体"/>
          <w:b/>
          <w:bCs/>
          <w:sz w:val="44"/>
          <w:szCs w:val="44"/>
          <w:lang w:val="en-US" w:eastAsia="zh-CN"/>
        </w:rPr>
        <w:t>5</w:t>
      </w:r>
      <w:r>
        <w:rPr>
          <w:rFonts w:hint="eastAsia" w:ascii="宋体" w:hAnsi="宋体" w:cs="宋体"/>
          <w:b/>
          <w:bCs/>
          <w:sz w:val="44"/>
          <w:szCs w:val="44"/>
        </w:rPr>
        <w:t>年度整体支出绩效自评报告</w:t>
      </w:r>
    </w:p>
    <w:p>
      <w:pPr>
        <w:spacing w:line="560" w:lineRule="exact"/>
        <w:jc w:val="both"/>
        <w:rPr>
          <w:rFonts w:ascii="华文楷体" w:eastAsia="华文楷体"/>
          <w:sz w:val="32"/>
          <w:szCs w:val="32"/>
        </w:rPr>
      </w:pPr>
    </w:p>
    <w:p>
      <w:pPr>
        <w:adjustRightInd w:val="0"/>
        <w:snapToGrid w:val="0"/>
        <w:spacing w:line="560" w:lineRule="exact"/>
        <w:ind w:firstLine="640" w:firstLineChars="200"/>
        <w:jc w:val="both"/>
        <w:rPr>
          <w:rFonts w:hint="eastAsia" w:ascii="仿宋" w:hAnsi="仿宋" w:eastAsia="仿宋"/>
          <w:sz w:val="32"/>
          <w:szCs w:val="32"/>
        </w:rPr>
      </w:pPr>
      <w:r>
        <w:rPr>
          <w:rFonts w:hint="eastAsia" w:ascii="仿宋" w:hAnsi="仿宋" w:eastAsia="仿宋"/>
          <w:sz w:val="32"/>
          <w:szCs w:val="32"/>
        </w:rPr>
        <w:t>贯彻落实</w:t>
      </w:r>
      <w:r>
        <w:rPr>
          <w:rFonts w:hint="eastAsia" w:ascii="仿宋_GB2312" w:hAnsi="仿宋_GB2312" w:eastAsia="仿宋_GB2312" w:cs="仿宋_GB2312"/>
          <w:sz w:val="32"/>
          <w:szCs w:val="32"/>
          <w:lang w:eastAsia="zh-CN"/>
        </w:rPr>
        <w:t>石家庄市鹿泉区人民政府《关于全面实施预算绩效管理的实施意见》（鹿发</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8号</w:t>
      </w:r>
      <w:r>
        <w:rPr>
          <w:rFonts w:hint="eastAsia" w:ascii="仿宋_GB2312" w:hAnsi="仿宋_GB2312" w:eastAsia="仿宋_GB2312" w:cs="仿宋_GB2312"/>
          <w:sz w:val="32"/>
          <w:szCs w:val="32"/>
          <w:lang w:eastAsia="zh-CN"/>
        </w:rPr>
        <w:t>）</w:t>
      </w:r>
      <w:r>
        <w:rPr>
          <w:rFonts w:hint="eastAsia" w:ascii="仿宋" w:hAnsi="仿宋" w:eastAsia="仿宋"/>
          <w:sz w:val="32"/>
          <w:szCs w:val="32"/>
        </w:rPr>
        <w:t>文件精神，遵循“科学性、规范性、客观性和公正性”的原则，对</w:t>
      </w:r>
      <w:r>
        <w:rPr>
          <w:rFonts w:hint="eastAsia" w:ascii="仿宋" w:hAnsi="仿宋" w:eastAsia="仿宋"/>
          <w:sz w:val="32"/>
          <w:szCs w:val="32"/>
          <w:lang w:eastAsia="zh-CN"/>
        </w:rPr>
        <w:t>中共石家庄市鹿泉区委统战部</w:t>
      </w: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年整体支出情况实施了财政支出绩效自评价，形成本评价报告。</w:t>
      </w:r>
    </w:p>
    <w:p>
      <w:pPr>
        <w:adjustRightInd w:val="0"/>
        <w:snapToGrid w:val="0"/>
        <w:spacing w:line="560" w:lineRule="exact"/>
        <w:ind w:firstLine="640" w:firstLineChars="200"/>
        <w:jc w:val="both"/>
        <w:rPr>
          <w:rFonts w:ascii="黑体" w:hAnsi="黑体" w:eastAsia="黑体"/>
          <w:b/>
          <w:bCs/>
          <w:sz w:val="32"/>
          <w:szCs w:val="36"/>
        </w:rPr>
      </w:pPr>
      <w:r>
        <w:rPr>
          <w:rFonts w:hint="eastAsia" w:ascii="黑体" w:hAnsi="黑体" w:eastAsia="黑体"/>
          <w:sz w:val="32"/>
          <w:szCs w:val="32"/>
        </w:rPr>
        <w:t>一、部门</w:t>
      </w:r>
      <w:r>
        <w:rPr>
          <w:rFonts w:hint="eastAsia" w:ascii="黑体" w:hAnsi="黑体" w:eastAsia="黑体"/>
          <w:sz w:val="32"/>
          <w:szCs w:val="36"/>
        </w:rPr>
        <w:t>基本情况</w:t>
      </w:r>
    </w:p>
    <w:p>
      <w:pPr>
        <w:adjustRightInd w:val="0"/>
        <w:snapToGrid w:val="0"/>
        <w:spacing w:line="560" w:lineRule="exact"/>
        <w:ind w:firstLine="640" w:firstLineChars="200"/>
        <w:jc w:val="both"/>
        <w:rPr>
          <w:rFonts w:ascii="楷体" w:hAnsi="楷体" w:eastAsia="楷体" w:cs="楷体_GB2312"/>
          <w:bCs/>
          <w:sz w:val="32"/>
          <w:szCs w:val="32"/>
        </w:rPr>
      </w:pPr>
      <w:r>
        <w:rPr>
          <w:rFonts w:hint="eastAsia" w:ascii="楷体" w:hAnsi="楷体" w:eastAsia="楷体" w:cs="楷体_GB2312"/>
          <w:bCs/>
          <w:sz w:val="32"/>
          <w:szCs w:val="32"/>
        </w:rPr>
        <w:t>（一）部门概况</w:t>
      </w:r>
    </w:p>
    <w:p>
      <w:pPr>
        <w:spacing w:before="0" w:after="0" w:line="240" w:lineRule="auto"/>
        <w:ind w:firstLine="640"/>
        <w:jc w:val="both"/>
        <w:outlineLvl w:val="9"/>
        <w:rPr>
          <w:rFonts w:hint="eastAsia" w:ascii="仿宋" w:hAnsi="仿宋" w:eastAsia="仿宋"/>
          <w:b/>
          <w:bCs/>
          <w:sz w:val="32"/>
          <w:szCs w:val="32"/>
        </w:rPr>
      </w:pPr>
      <w:r>
        <w:rPr>
          <w:rFonts w:hint="eastAsia" w:ascii="仿宋" w:hAnsi="仿宋" w:eastAsia="仿宋"/>
          <w:b/>
          <w:bCs/>
          <w:sz w:val="32"/>
          <w:szCs w:val="32"/>
        </w:rPr>
        <w:t>部门职</w:t>
      </w:r>
      <w:r>
        <w:rPr>
          <w:rFonts w:hint="eastAsia" w:ascii="仿宋" w:hAnsi="仿宋" w:eastAsia="仿宋"/>
          <w:b/>
          <w:bCs/>
          <w:sz w:val="32"/>
          <w:szCs w:val="32"/>
          <w:lang w:val="en-US" w:eastAsia="zh-CN"/>
        </w:rPr>
        <w:t>能</w:t>
      </w:r>
      <w:r>
        <w:rPr>
          <w:rFonts w:hint="eastAsia" w:ascii="仿宋" w:hAnsi="仿宋" w:eastAsia="仿宋"/>
          <w:b/>
          <w:bCs/>
          <w:sz w:val="32"/>
          <w:szCs w:val="32"/>
        </w:rPr>
        <w:t>：</w:t>
      </w:r>
    </w:p>
    <w:p>
      <w:pPr>
        <w:spacing w:before="0" w:after="0" w:line="240" w:lineRule="auto"/>
        <w:ind w:firstLine="640"/>
        <w:jc w:val="both"/>
        <w:outlineLvl w:val="9"/>
        <w:rPr>
          <w:rFonts w:hint="eastAsia" w:ascii="仿宋" w:hAnsi="仿宋" w:eastAsia="仿宋"/>
          <w:b w:val="0"/>
          <w:bCs w:val="0"/>
          <w:sz w:val="32"/>
          <w:szCs w:val="32"/>
        </w:rPr>
      </w:pPr>
      <w:r>
        <w:rPr>
          <w:rFonts w:hint="eastAsia" w:ascii="仿宋" w:hAnsi="仿宋" w:eastAsia="仿宋"/>
          <w:b w:val="0"/>
          <w:bCs w:val="0"/>
          <w:sz w:val="32"/>
          <w:szCs w:val="32"/>
        </w:rPr>
        <w:t>（一）贯彻落实加强党对统一战线工作集中统一领导的要求，了解情况、掌握政策、协调关系、安排人事、增进共识、加强团结，协调统一战线各方面关系，落实中央、省委、市委、区委关于统一战线工作重大决策部署，巩固壮大最广泛的统一战线。</w:t>
      </w:r>
    </w:p>
    <w:p>
      <w:pPr>
        <w:spacing w:before="0" w:after="0" w:line="240" w:lineRule="auto"/>
        <w:ind w:firstLine="640"/>
        <w:jc w:val="both"/>
        <w:outlineLvl w:val="9"/>
        <w:rPr>
          <w:rFonts w:hint="eastAsia" w:ascii="仿宋" w:hAnsi="仿宋" w:eastAsia="仿宋"/>
          <w:b w:val="0"/>
          <w:bCs w:val="0"/>
          <w:sz w:val="32"/>
          <w:szCs w:val="32"/>
        </w:rPr>
      </w:pPr>
      <w:r>
        <w:rPr>
          <w:rFonts w:hint="eastAsia" w:ascii="仿宋" w:hAnsi="仿宋" w:eastAsia="仿宋"/>
          <w:b w:val="0"/>
          <w:bCs w:val="0"/>
          <w:sz w:val="32"/>
          <w:szCs w:val="32"/>
        </w:rPr>
        <w:t>（二）开展统一战线理论研究，贯彻落实统一战线工作的政策、地方性法规等，深入调查研究，及时向区委报告统一战线工作情况并提出建议，统筹协调和指导各乡镇（区）各部门各单位统一战线工作。</w:t>
      </w:r>
    </w:p>
    <w:p>
      <w:pPr>
        <w:spacing w:before="0" w:after="0" w:line="240" w:lineRule="auto"/>
        <w:ind w:firstLine="640"/>
        <w:jc w:val="both"/>
        <w:outlineLvl w:val="9"/>
        <w:rPr>
          <w:rFonts w:hint="eastAsia" w:ascii="仿宋" w:hAnsi="仿宋" w:eastAsia="仿宋"/>
          <w:b w:val="0"/>
          <w:bCs w:val="0"/>
          <w:sz w:val="32"/>
          <w:szCs w:val="32"/>
        </w:rPr>
      </w:pPr>
      <w:r>
        <w:rPr>
          <w:rFonts w:hint="eastAsia" w:ascii="仿宋" w:hAnsi="仿宋" w:eastAsia="仿宋"/>
          <w:b w:val="0"/>
          <w:bCs w:val="0"/>
          <w:sz w:val="32"/>
          <w:szCs w:val="32"/>
        </w:rPr>
        <w:t>（三）负责发现、培养党外代表人士，负责党外人士的政治安排，会同有关部门做好安排党外人士担任政府和司法机关等领导职务的工作，协助区工商联做好干部管理工作，反映和协调解决党外代表人士工作生活中的实际困难。</w:t>
      </w:r>
    </w:p>
    <w:p>
      <w:pPr>
        <w:spacing w:before="0" w:after="0" w:line="240" w:lineRule="auto"/>
        <w:ind w:firstLine="640"/>
        <w:jc w:val="both"/>
        <w:outlineLvl w:val="9"/>
        <w:rPr>
          <w:rFonts w:hint="eastAsia" w:ascii="仿宋" w:hAnsi="仿宋" w:eastAsia="仿宋"/>
          <w:b w:val="0"/>
          <w:bCs w:val="0"/>
          <w:sz w:val="32"/>
          <w:szCs w:val="32"/>
          <w:lang w:val="en-US" w:eastAsia="zh-CN"/>
        </w:rPr>
      </w:pPr>
      <w:r>
        <w:rPr>
          <w:rFonts w:hint="eastAsia" w:ascii="仿宋" w:hAnsi="仿宋" w:eastAsia="仿宋"/>
          <w:b w:val="0"/>
          <w:bCs w:val="0"/>
          <w:sz w:val="32"/>
          <w:szCs w:val="32"/>
        </w:rPr>
        <w:t>（四）贯彻落实党的宣传工作方针，统筹推进全区统一战线宣传工作，拟订全区统一战线宣传工作规划并组织实施，研判涉及统一战线的舆情并协调有关部门应对处置</w:t>
      </w:r>
      <w:r>
        <w:rPr>
          <w:rFonts w:hint="eastAsia" w:ascii="仿宋" w:hAnsi="仿宋" w:eastAsia="仿宋"/>
          <w:b w:val="0"/>
          <w:bCs w:val="0"/>
          <w:sz w:val="32"/>
          <w:szCs w:val="32"/>
          <w:lang w:eastAsia="zh-CN"/>
        </w:rPr>
        <w:t>。</w:t>
      </w:r>
    </w:p>
    <w:p>
      <w:pPr>
        <w:spacing w:before="0" w:after="0" w:line="240" w:lineRule="auto"/>
        <w:ind w:firstLine="640"/>
        <w:jc w:val="both"/>
        <w:outlineLvl w:val="9"/>
        <w:rPr>
          <w:rFonts w:hint="eastAsia" w:ascii="仿宋" w:hAnsi="仿宋" w:eastAsia="仿宋"/>
          <w:b w:val="0"/>
          <w:bCs w:val="0"/>
          <w:sz w:val="32"/>
          <w:szCs w:val="32"/>
        </w:rPr>
      </w:pPr>
      <w:r>
        <w:rPr>
          <w:rFonts w:hint="eastAsia" w:ascii="仿宋" w:hAnsi="仿宋" w:eastAsia="仿宋"/>
          <w:b w:val="0"/>
          <w:bCs w:val="0"/>
          <w:sz w:val="32"/>
          <w:szCs w:val="32"/>
        </w:rPr>
        <w:t>（五）负责联系各民主党派，通报情况、反映意见，贯彻落实中国共产党领导的多党合作和政治协商制度以及对民主党派的方针政策，支持、帮助民主党派加强自身建设，做好支持民主党派履行职责、发挥作用的工作。</w:t>
      </w:r>
    </w:p>
    <w:p>
      <w:pPr>
        <w:spacing w:before="0" w:after="0" w:line="240" w:lineRule="auto"/>
        <w:ind w:firstLine="640"/>
        <w:jc w:val="both"/>
        <w:outlineLvl w:val="9"/>
        <w:rPr>
          <w:rFonts w:hint="eastAsia" w:ascii="仿宋" w:hAnsi="仿宋" w:eastAsia="仿宋"/>
          <w:b w:val="0"/>
          <w:bCs w:val="0"/>
          <w:sz w:val="32"/>
          <w:szCs w:val="32"/>
        </w:rPr>
      </w:pPr>
      <w:r>
        <w:rPr>
          <w:rFonts w:hint="eastAsia" w:ascii="仿宋" w:hAnsi="仿宋" w:eastAsia="仿宋"/>
          <w:b w:val="0"/>
          <w:bCs w:val="0"/>
          <w:sz w:val="32"/>
          <w:szCs w:val="32"/>
        </w:rPr>
        <w:t>（六）统一领导民族宗教工作，贯彻落实党的民族宗教工作方针，研究拟订民族宗教工作的政策措施并督促落实，协调处理民族宗教工作中的重大问题，领导区民族宗教事务局依法管理民族宗教事务，全面促进民族宗教事业发展，维护全区民族宗教领域和谐稳定。</w:t>
      </w:r>
    </w:p>
    <w:p>
      <w:pPr>
        <w:spacing w:before="0" w:after="0" w:line="240" w:lineRule="auto"/>
        <w:ind w:firstLine="640"/>
        <w:jc w:val="both"/>
        <w:outlineLvl w:val="9"/>
        <w:rPr>
          <w:rFonts w:hint="eastAsia" w:ascii="仿宋" w:hAnsi="仿宋" w:eastAsia="仿宋"/>
          <w:b w:val="0"/>
          <w:bCs w:val="0"/>
          <w:sz w:val="32"/>
          <w:szCs w:val="32"/>
        </w:rPr>
      </w:pPr>
      <w:r>
        <w:rPr>
          <w:rFonts w:hint="eastAsia" w:ascii="仿宋" w:hAnsi="仿宋" w:eastAsia="仿宋"/>
          <w:b w:val="0"/>
          <w:bCs w:val="0"/>
          <w:sz w:val="32"/>
          <w:szCs w:val="32"/>
        </w:rPr>
        <w:t>（七）负责联系、培养无党派代表人士，支持、帮助无党派人士发挥作用，调查研究党外知识分子和新的社会阶层</w:t>
      </w:r>
      <w:r>
        <w:rPr>
          <w:rFonts w:hint="eastAsia" w:ascii="仿宋" w:hAnsi="仿宋" w:eastAsia="仿宋"/>
          <w:b w:val="0"/>
          <w:bCs w:val="0"/>
          <w:sz w:val="32"/>
          <w:szCs w:val="32"/>
          <w:lang w:val="en-US" w:eastAsia="zh-CN"/>
        </w:rPr>
        <w:t>人</w:t>
      </w:r>
      <w:r>
        <w:rPr>
          <w:rFonts w:hint="eastAsia" w:ascii="仿宋" w:hAnsi="仿宋" w:eastAsia="仿宋"/>
          <w:b w:val="0"/>
          <w:bCs w:val="0"/>
          <w:sz w:val="32"/>
          <w:szCs w:val="32"/>
        </w:rPr>
        <w:t>士情况并提出政策建议，联系、培养党外知识分子和新的社会阶层代表人士，开展思想政治工作，指导企业和社会组织开展党外知识分子和新的社会阶层人士统战工作。</w:t>
      </w:r>
    </w:p>
    <w:p>
      <w:pPr>
        <w:spacing w:before="0" w:after="0" w:line="240" w:lineRule="auto"/>
        <w:ind w:firstLine="640"/>
        <w:jc w:val="both"/>
        <w:outlineLvl w:val="9"/>
        <w:rPr>
          <w:rFonts w:hint="eastAsia" w:ascii="仿宋" w:hAnsi="仿宋" w:eastAsia="仿宋"/>
          <w:b w:val="0"/>
          <w:bCs w:val="0"/>
          <w:sz w:val="32"/>
          <w:szCs w:val="32"/>
        </w:rPr>
      </w:pPr>
      <w:r>
        <w:rPr>
          <w:rFonts w:hint="eastAsia" w:ascii="仿宋" w:hAnsi="仿宋" w:eastAsia="仿宋"/>
          <w:b w:val="0"/>
          <w:bCs w:val="0"/>
          <w:sz w:val="32"/>
          <w:szCs w:val="32"/>
        </w:rPr>
        <w:t>（八）参与制定、推动落实、鼓励支持引导非公有制经济发展的政策措施，调查研究非公有制经济人士情况并提出政策建议，了解和反映非公有制经济人士的意见，团结、服务、引导、教育非公有制经济人士，促进非公有制经济健康发展和非公有制经济人</w:t>
      </w:r>
      <w:r>
        <w:rPr>
          <w:rFonts w:hint="eastAsia" w:ascii="仿宋" w:hAnsi="仿宋" w:eastAsia="仿宋"/>
          <w:b w:val="0"/>
          <w:bCs w:val="0"/>
          <w:sz w:val="32"/>
          <w:szCs w:val="32"/>
          <w:lang w:val="en-US" w:eastAsia="zh-CN"/>
        </w:rPr>
        <w:t>士</w:t>
      </w:r>
      <w:r>
        <w:rPr>
          <w:rFonts w:hint="eastAsia" w:ascii="仿宋" w:hAnsi="仿宋" w:eastAsia="仿宋"/>
          <w:b w:val="0"/>
          <w:bCs w:val="0"/>
          <w:sz w:val="32"/>
          <w:szCs w:val="32"/>
        </w:rPr>
        <w:t>健康成长。</w:t>
      </w:r>
    </w:p>
    <w:p>
      <w:pPr>
        <w:spacing w:before="0" w:after="0" w:line="240" w:lineRule="auto"/>
        <w:ind w:firstLine="640"/>
        <w:jc w:val="both"/>
        <w:outlineLvl w:val="9"/>
        <w:rPr>
          <w:rFonts w:hint="eastAsia" w:ascii="仿宋" w:hAnsi="仿宋" w:eastAsia="仿宋"/>
          <w:b w:val="0"/>
          <w:bCs w:val="0"/>
          <w:sz w:val="32"/>
          <w:szCs w:val="32"/>
        </w:rPr>
      </w:pPr>
      <w:r>
        <w:rPr>
          <w:rFonts w:hint="eastAsia" w:ascii="仿宋" w:hAnsi="仿宋" w:eastAsia="仿宋"/>
          <w:b w:val="0"/>
          <w:bCs w:val="0"/>
          <w:sz w:val="32"/>
          <w:szCs w:val="32"/>
        </w:rPr>
        <w:t>（九）统一领导全区海外统战工作，牵头开展港澳统战工作。贯彻落实党的海外统战工作政策，联系香港、澳门有关党派、团体及代表人士，联系海外有关社团及代表人士。</w:t>
      </w:r>
    </w:p>
    <w:p>
      <w:pPr>
        <w:spacing w:before="0" w:after="0" w:line="240" w:lineRule="auto"/>
        <w:ind w:firstLine="640"/>
        <w:jc w:val="both"/>
        <w:outlineLvl w:val="9"/>
        <w:rPr>
          <w:rFonts w:hint="eastAsia" w:ascii="仿宋" w:hAnsi="仿宋" w:eastAsia="仿宋"/>
          <w:b w:val="0"/>
          <w:bCs w:val="0"/>
          <w:sz w:val="32"/>
          <w:szCs w:val="32"/>
        </w:rPr>
      </w:pPr>
      <w:r>
        <w:rPr>
          <w:rFonts w:hint="eastAsia" w:ascii="仿宋" w:hAnsi="仿宋" w:eastAsia="仿宋"/>
          <w:b w:val="0"/>
          <w:bCs w:val="0"/>
          <w:sz w:val="32"/>
          <w:szCs w:val="32"/>
        </w:rPr>
        <w:t>（十）统一管理全区侨务工作，贯彻落实党的侨务工作方针政策并组织协调、督促检查落实，调查研究侨情和侨务工作情况，管理侨务工作，保护华侨和归侨侨眷在区内的合法权利和利益。</w:t>
      </w:r>
    </w:p>
    <w:p>
      <w:pPr>
        <w:spacing w:before="0" w:after="0" w:line="240" w:lineRule="auto"/>
        <w:ind w:firstLine="640"/>
        <w:jc w:val="both"/>
        <w:outlineLvl w:val="9"/>
        <w:rPr>
          <w:rFonts w:hint="eastAsia" w:ascii="仿宋" w:hAnsi="仿宋" w:eastAsia="仿宋"/>
          <w:b w:val="0"/>
          <w:bCs w:val="0"/>
          <w:sz w:val="32"/>
          <w:szCs w:val="32"/>
        </w:rPr>
      </w:pPr>
      <w:r>
        <w:rPr>
          <w:rFonts w:hint="eastAsia" w:ascii="仿宋" w:hAnsi="仿宋" w:eastAsia="仿宋"/>
          <w:b w:val="0"/>
          <w:bCs w:val="0"/>
          <w:sz w:val="32"/>
          <w:szCs w:val="32"/>
        </w:rPr>
        <w:t>（十一）负责全区涉台工作，贯彻执行党中央、国务院对台工作的方针政策。开展对台工作调查研究并结合我区实际提出对策和建议。协调、指导全区涉台金融、经济、文化等领域的交流与合作及鹿台人员往来工作。负责来我区台胞的接待服务工作。按照中央有关规定，负责全区对台接触的组织实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41"/>
        <w:jc w:val="both"/>
        <w:textAlignment w:val="auto"/>
        <w:outlineLvl w:val="9"/>
        <w:rPr>
          <w:rFonts w:hint="eastAsia" w:ascii="仿宋" w:hAnsi="仿宋" w:eastAsia="仿宋"/>
          <w:b w:val="0"/>
          <w:bCs w:val="0"/>
          <w:sz w:val="32"/>
          <w:szCs w:val="32"/>
        </w:rPr>
      </w:pPr>
      <w:r>
        <w:rPr>
          <w:rFonts w:hint="eastAsia" w:ascii="仿宋" w:hAnsi="仿宋" w:eastAsia="仿宋"/>
          <w:b w:val="0"/>
          <w:bCs w:val="0"/>
          <w:sz w:val="32"/>
          <w:szCs w:val="32"/>
        </w:rPr>
        <w:t>（十二）指导各乡镇（区）党（工）委统一战线工作，负责乡镇（区）统战干部培训工作；协调政府有关部门统一战线工作；受区委委托，领导工商联党组，指导区工商联工作；联系指导区侨联工作，做好统一战线有关单位和团体的管理工作。</w:t>
      </w:r>
    </w:p>
    <w:p>
      <w:pPr>
        <w:spacing w:before="0" w:after="0" w:line="240" w:lineRule="auto"/>
        <w:ind w:firstLine="640"/>
        <w:jc w:val="both"/>
        <w:outlineLvl w:val="9"/>
        <w:rPr>
          <w:rFonts w:hint="eastAsia" w:ascii="仿宋" w:hAnsi="仿宋" w:eastAsia="仿宋"/>
          <w:b/>
          <w:bCs/>
          <w:sz w:val="32"/>
          <w:szCs w:val="32"/>
        </w:rPr>
      </w:pPr>
      <w:r>
        <w:rPr>
          <w:rFonts w:hint="eastAsia" w:ascii="仿宋" w:hAnsi="仿宋" w:eastAsia="仿宋"/>
          <w:b w:val="0"/>
          <w:bCs w:val="0"/>
          <w:sz w:val="32"/>
          <w:szCs w:val="32"/>
        </w:rPr>
        <w:t>（十三）完成区委交办的其他任务。</w:t>
      </w:r>
      <w:r>
        <w:rPr>
          <w:rFonts w:hint="eastAsia" w:ascii="仿宋" w:hAnsi="仿宋" w:eastAsia="仿宋"/>
          <w:b/>
          <w:bCs/>
          <w:sz w:val="32"/>
          <w:szCs w:val="32"/>
        </w:rPr>
        <w:t>　</w:t>
      </w:r>
    </w:p>
    <w:tbl>
      <w:tblPr>
        <w:tblStyle w:val="5"/>
        <w:tblpPr w:leftFromText="180" w:rightFromText="180" w:vertAnchor="text" w:horzAnchor="page" w:tblpX="1673" w:tblpY="590"/>
        <w:tblOverlap w:val="never"/>
        <w:tblW w:w="893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858"/>
        <w:gridCol w:w="1369"/>
        <w:gridCol w:w="1553"/>
        <w:gridCol w:w="215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trPr>
        <w:tc>
          <w:tcPr>
            <w:tcW w:w="3858" w:type="dxa"/>
            <w:vAlign w:val="center"/>
          </w:tcPr>
          <w:p>
            <w:pPr>
              <w:pStyle w:val="10"/>
              <w:jc w:val="both"/>
              <w:rPr>
                <w:rFonts w:hint="eastAsia" w:ascii="仿宋" w:hAnsi="仿宋" w:eastAsia="仿宋" w:cs="黑体"/>
                <w:b/>
                <w:bCs/>
                <w:kern w:val="2"/>
                <w:sz w:val="24"/>
                <w:szCs w:val="24"/>
                <w:lang w:val="en-US" w:eastAsia="zh-CN" w:bidi="ar-SA"/>
              </w:rPr>
            </w:pPr>
            <w:r>
              <w:rPr>
                <w:rFonts w:hint="eastAsia" w:ascii="仿宋" w:hAnsi="仿宋" w:eastAsia="仿宋" w:cs="黑体"/>
                <w:b/>
                <w:bCs/>
                <w:kern w:val="2"/>
                <w:sz w:val="24"/>
                <w:szCs w:val="24"/>
                <w:lang w:val="en-US" w:eastAsia="zh-CN" w:bidi="ar-SA"/>
              </w:rPr>
              <w:t>单位名称</w:t>
            </w:r>
          </w:p>
        </w:tc>
        <w:tc>
          <w:tcPr>
            <w:tcW w:w="1369" w:type="dxa"/>
            <w:vAlign w:val="center"/>
          </w:tcPr>
          <w:p>
            <w:pPr>
              <w:pStyle w:val="10"/>
              <w:jc w:val="both"/>
              <w:rPr>
                <w:rFonts w:hint="eastAsia" w:ascii="仿宋" w:hAnsi="仿宋" w:eastAsia="仿宋" w:cs="黑体"/>
                <w:b/>
                <w:bCs/>
                <w:kern w:val="2"/>
                <w:sz w:val="24"/>
                <w:szCs w:val="24"/>
                <w:lang w:val="en-US" w:eastAsia="zh-CN" w:bidi="ar-SA"/>
              </w:rPr>
            </w:pPr>
            <w:r>
              <w:rPr>
                <w:rFonts w:hint="eastAsia" w:ascii="仿宋" w:hAnsi="仿宋" w:eastAsia="仿宋" w:cs="黑体"/>
                <w:b/>
                <w:bCs/>
                <w:kern w:val="2"/>
                <w:sz w:val="24"/>
                <w:szCs w:val="24"/>
                <w:lang w:val="en-US" w:eastAsia="zh-CN" w:bidi="ar-SA"/>
              </w:rPr>
              <w:t>单位性质</w:t>
            </w:r>
          </w:p>
        </w:tc>
        <w:tc>
          <w:tcPr>
            <w:tcW w:w="1553" w:type="dxa"/>
            <w:vAlign w:val="center"/>
          </w:tcPr>
          <w:p>
            <w:pPr>
              <w:pStyle w:val="10"/>
              <w:jc w:val="both"/>
              <w:rPr>
                <w:rFonts w:hint="eastAsia" w:ascii="仿宋" w:hAnsi="仿宋" w:eastAsia="仿宋" w:cs="黑体"/>
                <w:b/>
                <w:bCs/>
                <w:kern w:val="2"/>
                <w:sz w:val="24"/>
                <w:szCs w:val="24"/>
                <w:lang w:val="en-US" w:eastAsia="zh-CN" w:bidi="ar-SA"/>
              </w:rPr>
            </w:pPr>
            <w:r>
              <w:rPr>
                <w:rFonts w:hint="eastAsia" w:ascii="仿宋" w:hAnsi="仿宋" w:eastAsia="仿宋" w:cs="黑体"/>
                <w:b/>
                <w:bCs/>
                <w:kern w:val="2"/>
                <w:sz w:val="24"/>
                <w:szCs w:val="24"/>
                <w:lang w:val="en-US" w:eastAsia="zh-CN" w:bidi="ar-SA"/>
              </w:rPr>
              <w:t>单位规格</w:t>
            </w:r>
          </w:p>
        </w:tc>
        <w:tc>
          <w:tcPr>
            <w:tcW w:w="2159" w:type="dxa"/>
            <w:vAlign w:val="center"/>
          </w:tcPr>
          <w:p>
            <w:pPr>
              <w:pStyle w:val="10"/>
              <w:jc w:val="both"/>
              <w:rPr>
                <w:rFonts w:hint="eastAsia" w:ascii="仿宋" w:hAnsi="仿宋" w:eastAsia="仿宋" w:cs="黑体"/>
                <w:b/>
                <w:bCs/>
                <w:kern w:val="2"/>
                <w:sz w:val="24"/>
                <w:szCs w:val="24"/>
                <w:lang w:val="en-US" w:eastAsia="zh-CN" w:bidi="ar-SA"/>
              </w:rPr>
            </w:pPr>
            <w:r>
              <w:rPr>
                <w:rFonts w:hint="eastAsia" w:ascii="仿宋" w:hAnsi="仿宋" w:eastAsia="仿宋" w:cs="黑体"/>
                <w:b/>
                <w:bCs/>
                <w:kern w:val="2"/>
                <w:sz w:val="24"/>
                <w:szCs w:val="24"/>
                <w:lang w:val="en-US" w:eastAsia="zh-CN" w:bidi="ar-SA"/>
              </w:rP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3858" w:type="dxa"/>
            <w:vAlign w:val="center"/>
          </w:tcPr>
          <w:p>
            <w:pPr>
              <w:pStyle w:val="11"/>
              <w:jc w:val="both"/>
              <w:rPr>
                <w:rFonts w:hint="eastAsia" w:ascii="仿宋" w:hAnsi="仿宋" w:eastAsia="仿宋" w:cs="黑体"/>
                <w:b w:val="0"/>
                <w:kern w:val="2"/>
                <w:sz w:val="24"/>
                <w:szCs w:val="24"/>
                <w:lang w:val="en-US" w:eastAsia="zh-CN" w:bidi="ar-SA"/>
              </w:rPr>
            </w:pPr>
            <w:r>
              <w:rPr>
                <w:rFonts w:hint="eastAsia" w:ascii="仿宋" w:hAnsi="仿宋" w:eastAsia="仿宋" w:cs="黑体"/>
                <w:b w:val="0"/>
                <w:kern w:val="2"/>
                <w:sz w:val="24"/>
                <w:szCs w:val="24"/>
                <w:lang w:val="en-US" w:eastAsia="zh-CN" w:bidi="ar-SA"/>
              </w:rPr>
              <w:t>中共石家庄市鹿泉区委统一战线工作部</w:t>
            </w:r>
          </w:p>
        </w:tc>
        <w:tc>
          <w:tcPr>
            <w:tcW w:w="1369" w:type="dxa"/>
            <w:vAlign w:val="center"/>
          </w:tcPr>
          <w:p>
            <w:pPr>
              <w:pStyle w:val="12"/>
              <w:jc w:val="both"/>
              <w:rPr>
                <w:rFonts w:hint="eastAsia" w:ascii="仿宋" w:hAnsi="仿宋" w:eastAsia="仿宋" w:cs="黑体"/>
                <w:b w:val="0"/>
                <w:kern w:val="2"/>
                <w:sz w:val="24"/>
                <w:szCs w:val="24"/>
                <w:lang w:val="en-US" w:eastAsia="zh-CN" w:bidi="ar-SA"/>
              </w:rPr>
            </w:pPr>
            <w:r>
              <w:rPr>
                <w:rFonts w:hint="eastAsia" w:ascii="仿宋" w:hAnsi="仿宋" w:eastAsia="仿宋" w:cs="黑体"/>
                <w:b w:val="0"/>
                <w:kern w:val="2"/>
                <w:sz w:val="24"/>
                <w:szCs w:val="24"/>
                <w:lang w:val="en-US" w:eastAsia="zh-CN" w:bidi="ar-SA"/>
              </w:rPr>
              <w:t>行政</w:t>
            </w:r>
          </w:p>
        </w:tc>
        <w:tc>
          <w:tcPr>
            <w:tcW w:w="1553" w:type="dxa"/>
            <w:vAlign w:val="center"/>
          </w:tcPr>
          <w:p>
            <w:pPr>
              <w:pStyle w:val="12"/>
              <w:jc w:val="both"/>
              <w:rPr>
                <w:rFonts w:hint="eastAsia" w:ascii="仿宋" w:hAnsi="仿宋" w:eastAsia="仿宋" w:cs="黑体"/>
                <w:b w:val="0"/>
                <w:kern w:val="2"/>
                <w:sz w:val="24"/>
                <w:szCs w:val="24"/>
                <w:lang w:val="en-US" w:eastAsia="zh-CN" w:bidi="ar-SA"/>
              </w:rPr>
            </w:pPr>
            <w:r>
              <w:rPr>
                <w:rFonts w:hint="eastAsia" w:ascii="仿宋" w:hAnsi="仿宋" w:eastAsia="仿宋" w:cs="黑体"/>
                <w:b w:val="0"/>
                <w:kern w:val="2"/>
                <w:sz w:val="24"/>
                <w:szCs w:val="24"/>
                <w:lang w:val="en-US" w:eastAsia="zh-CN" w:bidi="ar-SA"/>
              </w:rPr>
              <w:t>正科级</w:t>
            </w:r>
          </w:p>
        </w:tc>
        <w:tc>
          <w:tcPr>
            <w:tcW w:w="2159" w:type="dxa"/>
            <w:vAlign w:val="center"/>
          </w:tcPr>
          <w:p>
            <w:pPr>
              <w:pStyle w:val="12"/>
              <w:jc w:val="both"/>
              <w:rPr>
                <w:rFonts w:hint="eastAsia" w:ascii="仿宋" w:hAnsi="仿宋" w:eastAsia="仿宋" w:cs="黑体"/>
                <w:b w:val="0"/>
                <w:kern w:val="2"/>
                <w:sz w:val="24"/>
                <w:szCs w:val="24"/>
                <w:lang w:val="en-US" w:eastAsia="zh-CN" w:bidi="ar-SA"/>
              </w:rPr>
            </w:pPr>
            <w:r>
              <w:rPr>
                <w:rFonts w:hint="eastAsia" w:ascii="仿宋" w:hAnsi="仿宋" w:eastAsia="仿宋" w:cs="黑体"/>
                <w:b w:val="0"/>
                <w:kern w:val="2"/>
                <w:sz w:val="24"/>
                <w:szCs w:val="24"/>
                <w:lang w:val="en-US" w:eastAsia="zh-CN" w:bidi="ar-SA"/>
              </w:rPr>
              <w:t>财政拨款</w:t>
            </w:r>
          </w:p>
        </w:tc>
      </w:tr>
    </w:tbl>
    <w:p>
      <w:pPr>
        <w:adjustRightInd w:val="0"/>
        <w:snapToGrid w:val="0"/>
        <w:spacing w:line="560" w:lineRule="exact"/>
        <w:ind w:firstLine="643" w:firstLineChars="200"/>
        <w:jc w:val="both"/>
        <w:rPr>
          <w:rFonts w:hint="eastAsia" w:ascii="仿宋" w:hAnsi="仿宋" w:eastAsia="仿宋"/>
          <w:b/>
          <w:bCs/>
          <w:sz w:val="32"/>
          <w:szCs w:val="32"/>
          <w:lang w:eastAsia="zh-CN"/>
        </w:rPr>
      </w:pPr>
      <w:r>
        <w:rPr>
          <w:rFonts w:hint="eastAsia" w:ascii="仿宋" w:hAnsi="仿宋" w:eastAsia="仿宋"/>
          <w:b/>
          <w:bCs/>
          <w:sz w:val="32"/>
          <w:szCs w:val="32"/>
        </w:rPr>
        <w:t>部门机构设置情况</w:t>
      </w:r>
      <w:r>
        <w:rPr>
          <w:rFonts w:hint="eastAsia" w:ascii="仿宋" w:hAnsi="仿宋" w:eastAsia="仿宋"/>
          <w:b/>
          <w:bCs/>
          <w:sz w:val="32"/>
          <w:szCs w:val="32"/>
          <w:lang w:eastAsia="zh-CN"/>
        </w:rPr>
        <w:t>：</w:t>
      </w:r>
    </w:p>
    <w:p>
      <w:pPr>
        <w:numPr>
          <w:ilvl w:val="0"/>
          <w:numId w:val="1"/>
        </w:numPr>
        <w:adjustRightInd w:val="0"/>
        <w:snapToGrid w:val="0"/>
        <w:spacing w:line="560" w:lineRule="exact"/>
        <w:ind w:firstLine="640" w:firstLineChars="200"/>
        <w:jc w:val="both"/>
        <w:rPr>
          <w:rFonts w:hint="eastAsia" w:ascii="楷体" w:hAnsi="楷体" w:eastAsia="楷体" w:cs="楷体_GB2312"/>
          <w:bCs/>
          <w:sz w:val="32"/>
          <w:szCs w:val="32"/>
        </w:rPr>
      </w:pPr>
      <w:r>
        <w:rPr>
          <w:rFonts w:hint="eastAsia" w:ascii="楷体" w:hAnsi="楷体" w:eastAsia="楷体" w:cs="楷体_GB2312"/>
          <w:bCs/>
          <w:sz w:val="32"/>
          <w:szCs w:val="32"/>
        </w:rPr>
        <w:t>部门收支预决算情况</w:t>
      </w:r>
    </w:p>
    <w:p>
      <w:pPr>
        <w:pStyle w:val="13"/>
        <w:keepNext w:val="0"/>
        <w:keepLines w:val="0"/>
        <w:pageBreakBefore w:val="0"/>
        <w:widowControl w:val="0"/>
        <w:kinsoku/>
        <w:wordWrap/>
        <w:overflowPunct/>
        <w:topLinePunct w:val="0"/>
        <w:autoSpaceDE/>
        <w:autoSpaceDN/>
        <w:bidi w:val="0"/>
        <w:adjustRightInd/>
        <w:snapToGrid/>
        <w:spacing w:line="240" w:lineRule="auto"/>
        <w:ind w:firstLine="561"/>
        <w:jc w:val="both"/>
        <w:textAlignment w:val="auto"/>
        <w:rPr>
          <w:rFonts w:hint="eastAsia" w:ascii="仿宋" w:hAnsi="仿宋" w:eastAsia="仿宋" w:cs="黑体"/>
          <w:b w:val="0"/>
          <w:bCs w:val="0"/>
          <w:kern w:val="2"/>
          <w:sz w:val="32"/>
          <w:szCs w:val="32"/>
          <w:lang w:val="en-US" w:eastAsia="zh-CN" w:bidi="ar-SA"/>
        </w:rPr>
      </w:pPr>
      <w:r>
        <w:rPr>
          <w:rFonts w:hint="eastAsia" w:ascii="仿宋" w:hAnsi="仿宋" w:eastAsia="仿宋" w:cs="黑体"/>
          <w:b w:val="0"/>
          <w:bCs w:val="0"/>
          <w:kern w:val="2"/>
          <w:sz w:val="32"/>
          <w:szCs w:val="32"/>
          <w:lang w:val="en-US" w:eastAsia="zh-CN" w:bidi="ar-SA"/>
        </w:rPr>
        <w:t>1、收入说明</w:t>
      </w:r>
    </w:p>
    <w:p>
      <w:pPr>
        <w:pStyle w:val="13"/>
        <w:keepNext w:val="0"/>
        <w:keepLines w:val="0"/>
        <w:pageBreakBefore w:val="0"/>
        <w:widowControl w:val="0"/>
        <w:kinsoku/>
        <w:wordWrap/>
        <w:overflowPunct/>
        <w:topLinePunct w:val="0"/>
        <w:autoSpaceDE/>
        <w:autoSpaceDN/>
        <w:bidi w:val="0"/>
        <w:adjustRightInd/>
        <w:snapToGrid/>
        <w:spacing w:line="240" w:lineRule="auto"/>
        <w:ind w:firstLine="561"/>
        <w:jc w:val="both"/>
        <w:textAlignment w:val="auto"/>
        <w:rPr>
          <w:rFonts w:hint="eastAsia" w:ascii="仿宋" w:hAnsi="仿宋" w:eastAsia="仿宋" w:cs="黑体"/>
          <w:b w:val="0"/>
          <w:bCs w:val="0"/>
          <w:kern w:val="2"/>
          <w:sz w:val="32"/>
          <w:szCs w:val="32"/>
          <w:lang w:val="en-US" w:eastAsia="zh-CN" w:bidi="ar-SA"/>
        </w:rPr>
      </w:pPr>
      <w:r>
        <w:rPr>
          <w:rFonts w:hint="eastAsia" w:ascii="仿宋" w:hAnsi="仿宋" w:eastAsia="仿宋" w:cs="黑体"/>
          <w:b w:val="0"/>
          <w:bCs w:val="0"/>
          <w:kern w:val="2"/>
          <w:sz w:val="32"/>
          <w:szCs w:val="32"/>
          <w:lang w:val="en-US" w:eastAsia="uk-UA" w:bidi="ar-SA"/>
        </w:rPr>
        <w:t>202</w:t>
      </w:r>
      <w:r>
        <w:rPr>
          <w:rFonts w:hint="eastAsia" w:ascii="仿宋" w:hAnsi="仿宋" w:eastAsia="仿宋" w:cs="黑体"/>
          <w:b w:val="0"/>
          <w:bCs w:val="0"/>
          <w:kern w:val="2"/>
          <w:sz w:val="32"/>
          <w:szCs w:val="32"/>
          <w:lang w:val="en-US" w:eastAsia="zh-CN" w:bidi="ar-SA"/>
        </w:rPr>
        <w:t>5</w:t>
      </w:r>
      <w:r>
        <w:rPr>
          <w:rFonts w:hint="eastAsia" w:ascii="仿宋" w:hAnsi="仿宋" w:eastAsia="仿宋" w:cs="黑体"/>
          <w:b w:val="0"/>
          <w:bCs w:val="0"/>
          <w:kern w:val="2"/>
          <w:sz w:val="32"/>
          <w:szCs w:val="32"/>
          <w:lang w:val="en-US" w:eastAsia="uk-UA" w:bidi="ar-SA"/>
        </w:rPr>
        <w:t>年预算收入</w:t>
      </w:r>
      <w:r>
        <w:rPr>
          <w:rFonts w:hint="eastAsia" w:ascii="仿宋" w:hAnsi="仿宋" w:eastAsia="仿宋" w:cs="黑体"/>
          <w:b w:val="0"/>
          <w:bCs w:val="0"/>
          <w:kern w:val="2"/>
          <w:sz w:val="32"/>
          <w:szCs w:val="32"/>
          <w:lang w:val="en-US" w:eastAsia="zh-CN" w:bidi="ar-SA"/>
        </w:rPr>
        <w:t>420万元，其中:一般公共预算财政拨款收入420万元。</w:t>
      </w:r>
    </w:p>
    <w:p>
      <w:pPr>
        <w:pStyle w:val="13"/>
        <w:keepNext w:val="0"/>
        <w:keepLines w:val="0"/>
        <w:pageBreakBefore w:val="0"/>
        <w:widowControl w:val="0"/>
        <w:kinsoku/>
        <w:wordWrap/>
        <w:overflowPunct/>
        <w:topLinePunct w:val="0"/>
        <w:autoSpaceDE/>
        <w:autoSpaceDN/>
        <w:bidi w:val="0"/>
        <w:adjustRightInd/>
        <w:snapToGrid/>
        <w:spacing w:line="240" w:lineRule="auto"/>
        <w:ind w:firstLine="561"/>
        <w:jc w:val="both"/>
        <w:textAlignment w:val="auto"/>
        <w:rPr>
          <w:rFonts w:hint="default" w:ascii="仿宋" w:hAnsi="仿宋" w:eastAsia="仿宋" w:cs="黑体"/>
          <w:b w:val="0"/>
          <w:bCs w:val="0"/>
          <w:kern w:val="2"/>
          <w:sz w:val="32"/>
          <w:szCs w:val="32"/>
          <w:lang w:val="en-US" w:eastAsia="zh-CN" w:bidi="ar-SA"/>
        </w:rPr>
      </w:pPr>
      <w:r>
        <w:rPr>
          <w:rFonts w:hint="eastAsia" w:ascii="仿宋" w:hAnsi="仿宋" w:eastAsia="仿宋" w:cs="黑体"/>
          <w:b w:val="0"/>
          <w:bCs w:val="0"/>
          <w:kern w:val="2"/>
          <w:sz w:val="32"/>
          <w:szCs w:val="32"/>
          <w:lang w:val="en-US" w:eastAsia="zh-CN" w:bidi="ar-SA"/>
        </w:rPr>
        <w:t>2025年决算收入437.30万元，其中：一般公共预算收入428.10万元。其他收入9.20万元。</w:t>
      </w:r>
    </w:p>
    <w:p>
      <w:pPr>
        <w:pStyle w:val="13"/>
        <w:keepNext w:val="0"/>
        <w:keepLines w:val="0"/>
        <w:pageBreakBefore w:val="0"/>
        <w:widowControl w:val="0"/>
        <w:kinsoku/>
        <w:wordWrap/>
        <w:overflowPunct/>
        <w:topLinePunct w:val="0"/>
        <w:autoSpaceDE/>
        <w:autoSpaceDN/>
        <w:bidi w:val="0"/>
        <w:adjustRightInd/>
        <w:snapToGrid/>
        <w:spacing w:line="240" w:lineRule="auto"/>
        <w:ind w:firstLine="561"/>
        <w:jc w:val="both"/>
        <w:textAlignment w:val="auto"/>
        <w:rPr>
          <w:rFonts w:hint="eastAsia" w:ascii="仿宋" w:hAnsi="仿宋" w:eastAsia="仿宋" w:cs="黑体"/>
          <w:b w:val="0"/>
          <w:bCs w:val="0"/>
          <w:kern w:val="2"/>
          <w:sz w:val="32"/>
          <w:szCs w:val="32"/>
          <w:lang w:val="en-US" w:eastAsia="zh-CN" w:bidi="ar-SA"/>
        </w:rPr>
      </w:pPr>
      <w:r>
        <w:rPr>
          <w:rFonts w:hint="eastAsia" w:ascii="仿宋" w:hAnsi="仿宋" w:eastAsia="仿宋" w:cs="黑体"/>
          <w:b w:val="0"/>
          <w:bCs w:val="0"/>
          <w:kern w:val="2"/>
          <w:sz w:val="32"/>
          <w:szCs w:val="32"/>
          <w:lang w:val="en-US" w:eastAsia="zh-CN" w:bidi="ar-SA"/>
        </w:rPr>
        <w:t>2、支出说明</w:t>
      </w:r>
    </w:p>
    <w:p>
      <w:pPr>
        <w:pStyle w:val="13"/>
        <w:keepNext w:val="0"/>
        <w:keepLines w:val="0"/>
        <w:pageBreakBefore w:val="0"/>
        <w:widowControl w:val="0"/>
        <w:kinsoku/>
        <w:wordWrap/>
        <w:overflowPunct/>
        <w:topLinePunct w:val="0"/>
        <w:autoSpaceDE/>
        <w:autoSpaceDN/>
        <w:bidi w:val="0"/>
        <w:adjustRightInd/>
        <w:snapToGrid/>
        <w:spacing w:line="240" w:lineRule="auto"/>
        <w:ind w:firstLine="561"/>
        <w:jc w:val="both"/>
        <w:textAlignment w:val="auto"/>
        <w:rPr>
          <w:rFonts w:hint="eastAsia" w:ascii="仿宋" w:hAnsi="仿宋" w:eastAsia="仿宋" w:cs="黑体"/>
          <w:kern w:val="2"/>
          <w:sz w:val="32"/>
          <w:szCs w:val="32"/>
          <w:highlight w:val="none"/>
          <w:lang w:val="en-US" w:eastAsia="zh-CN" w:bidi="ar-SA"/>
        </w:rPr>
      </w:pPr>
      <w:r>
        <w:rPr>
          <w:rFonts w:hint="eastAsia" w:ascii="仿宋" w:hAnsi="仿宋" w:eastAsia="仿宋" w:cs="黑体"/>
          <w:kern w:val="2"/>
          <w:sz w:val="32"/>
          <w:szCs w:val="32"/>
          <w:highlight w:val="none"/>
          <w:lang w:val="en-US" w:eastAsia="zh-CN" w:bidi="ar-SA"/>
        </w:rPr>
        <w:t>2025年支出预算420万元，其中：基本支出362.26万元，包括人员经费325.68万元和日常公用经费36.58万元；项目支出57.73万元，主要为统战工作协调机制专项经费、台侨工作经费、民族宗教工作专项经费、民主党派工作经费、</w:t>
      </w:r>
      <w:bookmarkStart w:id="0" w:name="OLE_LINK1"/>
      <w:r>
        <w:rPr>
          <w:rFonts w:hint="eastAsia" w:ascii="仿宋" w:hAnsi="仿宋" w:eastAsia="仿宋" w:cs="黑体"/>
          <w:kern w:val="2"/>
          <w:sz w:val="32"/>
          <w:szCs w:val="32"/>
          <w:highlight w:val="none"/>
          <w:lang w:val="en-US" w:eastAsia="zh-CN" w:bidi="ar-SA"/>
        </w:rPr>
        <w:t>党外知识分子工作经费、数字统战平台建设费等</w:t>
      </w:r>
      <w:bookmarkEnd w:id="0"/>
      <w:r>
        <w:rPr>
          <w:rFonts w:hint="eastAsia" w:ascii="仿宋" w:hAnsi="仿宋" w:eastAsia="仿宋" w:cs="黑体"/>
          <w:kern w:val="2"/>
          <w:sz w:val="32"/>
          <w:szCs w:val="32"/>
          <w:highlight w:val="none"/>
          <w:lang w:val="en-US" w:eastAsia="zh-CN" w:bidi="ar-SA"/>
        </w:rPr>
        <w:t>；</w:t>
      </w:r>
    </w:p>
    <w:p>
      <w:pPr>
        <w:pStyle w:val="13"/>
        <w:keepNext w:val="0"/>
        <w:keepLines w:val="0"/>
        <w:pageBreakBefore w:val="0"/>
        <w:widowControl w:val="0"/>
        <w:kinsoku/>
        <w:wordWrap/>
        <w:overflowPunct/>
        <w:topLinePunct w:val="0"/>
        <w:autoSpaceDE/>
        <w:autoSpaceDN/>
        <w:bidi w:val="0"/>
        <w:adjustRightInd/>
        <w:snapToGrid/>
        <w:spacing w:line="240" w:lineRule="auto"/>
        <w:ind w:firstLine="561"/>
        <w:jc w:val="both"/>
        <w:textAlignment w:val="auto"/>
        <w:rPr>
          <w:rFonts w:hint="eastAsia" w:ascii="仿宋" w:hAnsi="仿宋" w:eastAsia="仿宋" w:cs="黑体"/>
          <w:kern w:val="2"/>
          <w:sz w:val="32"/>
          <w:szCs w:val="32"/>
          <w:highlight w:val="none"/>
          <w:lang w:val="en-US" w:eastAsia="zh-CN" w:bidi="ar-SA"/>
        </w:rPr>
      </w:pPr>
      <w:r>
        <w:rPr>
          <w:rFonts w:hint="eastAsia" w:ascii="仿宋" w:hAnsi="仿宋" w:eastAsia="仿宋" w:cs="黑体"/>
          <w:kern w:val="2"/>
          <w:sz w:val="32"/>
          <w:szCs w:val="32"/>
          <w:highlight w:val="none"/>
          <w:lang w:val="en-US" w:eastAsia="zh-CN" w:bidi="ar-SA"/>
        </w:rPr>
        <w:t>2025年支出决算437.30万元，其中：基本支出396.12万元，包括人员经费361.31万元和日常公用经费34.81万元；项目34.48万元，其中</w:t>
      </w:r>
      <w:bookmarkStart w:id="7" w:name="_GoBack"/>
      <w:bookmarkEnd w:id="7"/>
      <w:r>
        <w:rPr>
          <w:rFonts w:hint="eastAsia" w:ascii="仿宋" w:hAnsi="仿宋" w:eastAsia="仿宋" w:cs="黑体"/>
          <w:kern w:val="2"/>
          <w:sz w:val="32"/>
          <w:szCs w:val="32"/>
          <w:highlight w:val="none"/>
          <w:lang w:val="en-US" w:eastAsia="zh-CN" w:bidi="ar-SA"/>
        </w:rPr>
        <w:t>一般公共预算财政拔款项目支出为31.98万元主要为统战工作协调机制专项经费、台侨工作经费、民族宗教工作专项经费、民主党派工作经费、党外知识分子工作经费，数字统战平台建设费等；结转资金6.7万元。</w:t>
      </w:r>
    </w:p>
    <w:p>
      <w:pPr>
        <w:adjustRightInd w:val="0"/>
        <w:snapToGrid w:val="0"/>
        <w:spacing w:line="560" w:lineRule="exact"/>
        <w:ind w:firstLine="640" w:firstLineChars="200"/>
        <w:jc w:val="both"/>
        <w:rPr>
          <w:rFonts w:ascii="楷体" w:hAnsi="楷体" w:eastAsia="楷体" w:cs="楷体_GB2312"/>
          <w:bCs/>
          <w:sz w:val="32"/>
          <w:szCs w:val="32"/>
        </w:rPr>
      </w:pPr>
      <w:r>
        <w:rPr>
          <w:rFonts w:hint="eastAsia" w:ascii="楷体" w:hAnsi="楷体" w:eastAsia="楷体" w:cs="楷体_GB2312"/>
          <w:bCs/>
          <w:sz w:val="32"/>
          <w:szCs w:val="32"/>
        </w:rPr>
        <w:t>（三）部门整体支出绩效目标、指标</w:t>
      </w:r>
    </w:p>
    <w:p>
      <w:pPr>
        <w:pStyle w:val="8"/>
        <w:ind w:firstLine="640" w:firstLineChars="200"/>
        <w:jc w:val="both"/>
        <w:rPr>
          <w:rFonts w:hint="eastAsia" w:ascii="仿宋" w:hAnsi="仿宋" w:eastAsia="仿宋" w:cs="黑体"/>
          <w:kern w:val="2"/>
          <w:sz w:val="32"/>
          <w:szCs w:val="32"/>
          <w:highlight w:val="none"/>
          <w:lang w:val="en-US" w:eastAsia="zh-CN" w:bidi="ar-SA"/>
        </w:rPr>
      </w:pPr>
      <w:r>
        <w:rPr>
          <w:rFonts w:hint="eastAsia" w:ascii="仿宋" w:hAnsi="仿宋" w:eastAsia="仿宋" w:cs="黑体"/>
          <w:kern w:val="2"/>
          <w:sz w:val="32"/>
          <w:szCs w:val="32"/>
          <w:highlight w:val="none"/>
          <w:lang w:val="en-US" w:eastAsia="zh-CN" w:bidi="ar-SA"/>
        </w:rPr>
        <w:t>贯彻落实加强党对统一战线工作集中统一领导的要求，了解情况、掌握政策、协调关系、安排人事、增进共识、加强团结，协调统一战线各方面关系，落实中央、省委、市委、区委关于统一战线工作重大决策部署，巩固壮大最广泛的统一战线。2025年，区委统战部将根据省市和区委的新要求新部署，提高政治站位，增强责任担当，以凝聚统战成员的思想共识为首要任务，以加强党外代表人士培养锻炼和宗教领域系统治理为重点，提高我区统战工作科学化制度化水平。</w:t>
      </w:r>
    </w:p>
    <w:p>
      <w:pPr>
        <w:pStyle w:val="15"/>
        <w:keepNext w:val="0"/>
        <w:keepLines w:val="0"/>
        <w:pageBreakBefore w:val="0"/>
        <w:widowControl w:val="0"/>
        <w:kinsoku/>
        <w:wordWrap/>
        <w:overflowPunct/>
        <w:topLinePunct w:val="0"/>
        <w:autoSpaceDE/>
        <w:autoSpaceDN/>
        <w:bidi w:val="0"/>
        <w:adjustRightInd/>
        <w:snapToGrid/>
        <w:spacing w:line="240" w:lineRule="auto"/>
        <w:ind w:firstLine="561"/>
        <w:textAlignment w:val="auto"/>
        <w:rPr>
          <w:rFonts w:hint="eastAsia" w:ascii="仿宋" w:hAnsi="仿宋" w:eastAsia="仿宋" w:cs="黑体"/>
          <w:kern w:val="2"/>
          <w:sz w:val="32"/>
          <w:szCs w:val="32"/>
          <w:highlight w:val="none"/>
          <w:lang w:val="en-US" w:eastAsia="zh-CN" w:bidi="ar-SA"/>
        </w:rPr>
      </w:pPr>
      <w:r>
        <w:rPr>
          <w:rFonts w:hint="eastAsia" w:ascii="仿宋" w:hAnsi="仿宋" w:eastAsia="仿宋" w:cs="仿宋"/>
          <w:sz w:val="32"/>
          <w:szCs w:val="32"/>
        </w:rPr>
        <w:t>（一）</w:t>
      </w:r>
      <w:r>
        <w:rPr>
          <w:rFonts w:hint="eastAsia" w:ascii="仿宋" w:hAnsi="仿宋" w:eastAsia="仿宋" w:cs="黑体"/>
          <w:kern w:val="2"/>
          <w:sz w:val="32"/>
          <w:szCs w:val="32"/>
          <w:highlight w:val="none"/>
          <w:lang w:val="en-US" w:eastAsia="zh-CN" w:bidi="ar-SA"/>
        </w:rPr>
        <w:t>加强学习培训，着力提升统一战线各界人士的思想政治素质。以学习宣传贯彻习近平新时代中国特色社会主义思想和党的二十大精神为主要内容，加强统战成员的教育培训，深刻感悟“两个确立”的决定性意义，着力提升广大统战干部和统战成员的思想政治素质，贯彻落实党的二十大精神。</w:t>
      </w:r>
    </w:p>
    <w:p>
      <w:pPr>
        <w:pStyle w:val="15"/>
        <w:keepNext w:val="0"/>
        <w:keepLines w:val="0"/>
        <w:pageBreakBefore w:val="0"/>
        <w:widowControl w:val="0"/>
        <w:kinsoku/>
        <w:wordWrap/>
        <w:overflowPunct/>
        <w:topLinePunct w:val="0"/>
        <w:autoSpaceDE/>
        <w:autoSpaceDN/>
        <w:bidi w:val="0"/>
        <w:adjustRightInd/>
        <w:snapToGrid/>
        <w:spacing w:line="240" w:lineRule="auto"/>
        <w:ind w:firstLine="561"/>
        <w:textAlignment w:val="auto"/>
        <w:rPr>
          <w:rFonts w:hint="eastAsia" w:ascii="仿宋" w:hAnsi="仿宋" w:eastAsia="仿宋" w:cs="仿宋"/>
          <w:sz w:val="32"/>
          <w:szCs w:val="32"/>
        </w:rPr>
      </w:pPr>
      <w:r>
        <w:rPr>
          <w:rFonts w:hint="eastAsia" w:ascii="仿宋" w:hAnsi="仿宋" w:eastAsia="仿宋" w:cs="仿宋"/>
          <w:sz w:val="32"/>
          <w:szCs w:val="32"/>
        </w:rPr>
        <w:t>（二）强化系统治理，切实维护宗教领域的和谐稳定。巩固宗教领域专项整治成果，防范各类非法宗教活动的反弹。深入开展“双创四进”，深入开展宗教领域系统治理，坚持宗教中国化方向。</w:t>
      </w:r>
    </w:p>
    <w:p>
      <w:pPr>
        <w:pStyle w:val="15"/>
        <w:keepNext w:val="0"/>
        <w:keepLines w:val="0"/>
        <w:pageBreakBefore w:val="0"/>
        <w:widowControl w:val="0"/>
        <w:kinsoku/>
        <w:wordWrap/>
        <w:overflowPunct/>
        <w:topLinePunct w:val="0"/>
        <w:autoSpaceDE/>
        <w:autoSpaceDN/>
        <w:bidi w:val="0"/>
        <w:adjustRightInd/>
        <w:snapToGrid/>
        <w:spacing w:line="240" w:lineRule="auto"/>
        <w:ind w:firstLine="561"/>
        <w:textAlignment w:val="auto"/>
        <w:rPr>
          <w:rFonts w:hint="eastAsia" w:ascii="仿宋" w:hAnsi="仿宋" w:eastAsia="仿宋" w:cs="仿宋"/>
          <w:sz w:val="32"/>
          <w:szCs w:val="32"/>
        </w:rPr>
      </w:pPr>
      <w:r>
        <w:rPr>
          <w:rFonts w:hint="eastAsia" w:ascii="仿宋" w:hAnsi="仿宋" w:eastAsia="仿宋" w:cs="仿宋"/>
          <w:sz w:val="32"/>
          <w:szCs w:val="32"/>
        </w:rPr>
        <w:t>（三）健全工作机制，提升党外代表人士工作水平。加强党外后备人才数据库动态管理，做好党外干部的储备和推荐使用工作。支持民主党派通过政党协商、主题调研等形式发挥积极作用。发挥党外知识分子和新的社会阶层人</w:t>
      </w:r>
      <w:r>
        <w:rPr>
          <w:rFonts w:hint="eastAsia" w:ascii="仿宋" w:hAnsi="仿宋" w:eastAsia="仿宋" w:cs="仿宋"/>
          <w:sz w:val="32"/>
          <w:szCs w:val="32"/>
          <w:lang w:val="en-US" w:eastAsia="zh-CN"/>
        </w:rPr>
        <w:t>士</w:t>
      </w:r>
      <w:r>
        <w:rPr>
          <w:rFonts w:hint="eastAsia" w:ascii="仿宋" w:hAnsi="仿宋" w:eastAsia="仿宋" w:cs="仿宋"/>
          <w:sz w:val="32"/>
          <w:szCs w:val="32"/>
        </w:rPr>
        <w:t>的优势，开展服务群众活动。持续做好新时代民营经济统战工作和侨务工作，不断提升统战工作的科学化水平。</w:t>
      </w:r>
    </w:p>
    <w:p>
      <w:pPr>
        <w:pStyle w:val="15"/>
        <w:keepNext w:val="0"/>
        <w:keepLines w:val="0"/>
        <w:pageBreakBefore w:val="0"/>
        <w:widowControl w:val="0"/>
        <w:kinsoku/>
        <w:wordWrap/>
        <w:overflowPunct/>
        <w:topLinePunct w:val="0"/>
        <w:autoSpaceDE/>
        <w:autoSpaceDN/>
        <w:bidi w:val="0"/>
        <w:adjustRightInd/>
        <w:snapToGrid/>
        <w:spacing w:line="240" w:lineRule="auto"/>
        <w:ind w:firstLine="561"/>
        <w:textAlignment w:val="auto"/>
        <w:rPr>
          <w:rFonts w:hint="eastAsia" w:ascii="仿宋" w:hAnsi="仿宋" w:eastAsia="仿宋" w:cs="仿宋"/>
          <w:sz w:val="32"/>
          <w:szCs w:val="32"/>
        </w:rPr>
      </w:pPr>
      <w:r>
        <w:rPr>
          <w:rFonts w:hint="eastAsia" w:ascii="仿宋" w:hAnsi="仿宋" w:eastAsia="仿宋" w:cs="仿宋"/>
          <w:sz w:val="32"/>
          <w:szCs w:val="32"/>
        </w:rPr>
        <w:t>（四）加强自身建设，提升统战干部队伍能力素质。领导班子落实主体责任，全面从严治党，班子成员落实一岗双责，严格落实党内生活，教育督促党员干部不断加强党员的党性意识和党性修养，不断提高业务能力和素质。继续深入开展“查问题、转作风、鼓干劲、争上游”行动，不断改进工作作风。</w:t>
      </w:r>
    </w:p>
    <w:p>
      <w:pPr>
        <w:adjustRightInd w:val="0"/>
        <w:snapToGrid w:val="0"/>
        <w:spacing w:line="560" w:lineRule="exact"/>
        <w:ind w:firstLine="640" w:firstLineChars="200"/>
        <w:jc w:val="both"/>
        <w:rPr>
          <w:rFonts w:ascii="黑体" w:hAnsi="黑体" w:eastAsia="黑体"/>
          <w:sz w:val="32"/>
          <w:szCs w:val="32"/>
        </w:rPr>
      </w:pPr>
      <w:r>
        <w:rPr>
          <w:rFonts w:hint="eastAsia" w:ascii="黑体" w:hAnsi="黑体" w:eastAsia="黑体"/>
          <w:sz w:val="32"/>
          <w:szCs w:val="32"/>
        </w:rPr>
        <w:t>二、自评工作开展情况</w:t>
      </w:r>
    </w:p>
    <w:p>
      <w:pPr>
        <w:spacing w:line="560" w:lineRule="exact"/>
        <w:ind w:firstLine="640" w:firstLineChars="200"/>
        <w:jc w:val="both"/>
        <w:rPr>
          <w:rFonts w:ascii="楷体" w:hAnsi="楷体" w:eastAsia="楷体" w:cs="楷体_GB2312"/>
          <w:sz w:val="32"/>
          <w:szCs w:val="32"/>
        </w:rPr>
      </w:pPr>
      <w:r>
        <w:rPr>
          <w:rFonts w:hint="eastAsia" w:ascii="楷体" w:hAnsi="楷体" w:eastAsia="楷体" w:cs="楷体_GB2312"/>
          <w:bCs/>
          <w:sz w:val="32"/>
          <w:szCs w:val="32"/>
        </w:rPr>
        <w:t>（一）自评的组织工作</w:t>
      </w:r>
    </w:p>
    <w:p>
      <w:pPr>
        <w:pStyle w:val="4"/>
        <w:keepNext w:val="0"/>
        <w:keepLines w:val="0"/>
        <w:pageBreakBefore w:val="0"/>
        <w:widowControl/>
        <w:suppressLineNumbers w:val="0"/>
        <w:kinsoku/>
        <w:wordWrap/>
        <w:overflowPunct/>
        <w:topLinePunct w:val="0"/>
        <w:autoSpaceDE/>
        <w:autoSpaceDN/>
        <w:bidi w:val="0"/>
        <w:spacing w:beforeAutospacing="0" w:afterAutospacing="0" w:line="578" w:lineRule="exact"/>
        <w:ind w:firstLine="640" w:firstLineChars="200"/>
        <w:jc w:val="both"/>
        <w:textAlignment w:val="auto"/>
        <w:rPr>
          <w:rFonts w:ascii="仿宋" w:hAnsi="仿宋" w:eastAsia="仿宋"/>
          <w:sz w:val="32"/>
          <w:szCs w:val="32"/>
        </w:rPr>
      </w:pPr>
      <w:r>
        <w:rPr>
          <w:rFonts w:hint="eastAsia" w:ascii="仿宋" w:hAnsi="仿宋" w:eastAsia="仿宋" w:cs="黑体"/>
          <w:kern w:val="2"/>
          <w:sz w:val="32"/>
          <w:szCs w:val="32"/>
          <w:lang w:val="en-US" w:eastAsia="zh-CN" w:bidi="ar-SA"/>
        </w:rPr>
        <w:t>项目结束后，我单位成立项目评价工作小组，结合绩效评价的要求和预算项目的指标，对项目开展全面的综合评价工作。</w:t>
      </w:r>
    </w:p>
    <w:p>
      <w:pPr>
        <w:numPr>
          <w:ilvl w:val="0"/>
          <w:numId w:val="2"/>
        </w:numPr>
        <w:spacing w:line="560" w:lineRule="exact"/>
        <w:jc w:val="both"/>
        <w:rPr>
          <w:rFonts w:ascii="楷体" w:hAnsi="楷体" w:eastAsia="楷体" w:cs="楷体_GB2312"/>
          <w:bCs/>
          <w:sz w:val="32"/>
          <w:szCs w:val="32"/>
        </w:rPr>
      </w:pPr>
      <w:r>
        <w:rPr>
          <w:rFonts w:hint="eastAsia" w:ascii="楷体" w:hAnsi="楷体" w:eastAsia="楷体" w:cs="楷体_GB2312"/>
          <w:bCs/>
          <w:sz w:val="32"/>
          <w:szCs w:val="32"/>
        </w:rPr>
        <w:t>自评的方法和过程</w:t>
      </w:r>
    </w:p>
    <w:p>
      <w:pPr>
        <w:numPr>
          <w:ilvl w:val="0"/>
          <w:numId w:val="0"/>
        </w:numPr>
        <w:spacing w:line="560" w:lineRule="exact"/>
        <w:ind w:left="0" w:leftChars="0" w:firstLine="640" w:firstLineChars="200"/>
        <w:jc w:val="both"/>
        <w:rPr>
          <w:rFonts w:ascii="楷体" w:hAnsi="楷体" w:eastAsia="楷体" w:cs="楷体_GB2312"/>
          <w:bCs/>
          <w:sz w:val="32"/>
          <w:szCs w:val="32"/>
        </w:rPr>
      </w:pPr>
      <w:r>
        <w:rPr>
          <w:rFonts w:hint="eastAsia" w:ascii="仿宋" w:hAnsi="仿宋" w:eastAsia="仿宋" w:cs="黑体"/>
          <w:kern w:val="2"/>
          <w:sz w:val="32"/>
          <w:szCs w:val="32"/>
          <w:lang w:val="en-US" w:eastAsia="zh-CN" w:bidi="ar-SA"/>
        </w:rPr>
        <w:t>通过项目评价工作小组评估，对各项绩效评价内容完成情况进行打分，并根据分值评价绩效目标完成情况。</w:t>
      </w:r>
    </w:p>
    <w:p>
      <w:pPr>
        <w:spacing w:line="560" w:lineRule="exact"/>
        <w:ind w:firstLine="640" w:firstLineChars="200"/>
        <w:jc w:val="both"/>
        <w:rPr>
          <w:rFonts w:ascii="黑体" w:hAnsi="黑体" w:eastAsia="黑体"/>
          <w:b/>
          <w:bCs/>
          <w:sz w:val="32"/>
          <w:szCs w:val="32"/>
        </w:rPr>
      </w:pPr>
      <w:r>
        <w:rPr>
          <w:rFonts w:hint="eastAsia" w:ascii="黑体" w:hAnsi="黑体" w:eastAsia="黑体"/>
          <w:sz w:val="32"/>
          <w:szCs w:val="32"/>
        </w:rPr>
        <w:t>三、部门整体支出绩效目标实现情况及指标分析</w:t>
      </w:r>
    </w:p>
    <w:p>
      <w:pPr>
        <w:numPr>
          <w:ilvl w:val="0"/>
          <w:numId w:val="3"/>
        </w:numPr>
        <w:spacing w:line="560" w:lineRule="exact"/>
        <w:ind w:firstLine="640" w:firstLineChars="200"/>
        <w:jc w:val="both"/>
        <w:rPr>
          <w:rFonts w:ascii="楷体" w:hAnsi="楷体" w:eastAsia="楷体" w:cs="楷体_GB2312"/>
          <w:bCs/>
          <w:sz w:val="32"/>
          <w:szCs w:val="32"/>
        </w:rPr>
      </w:pPr>
      <w:r>
        <w:rPr>
          <w:rFonts w:hint="eastAsia" w:ascii="楷体" w:hAnsi="楷体" w:eastAsia="楷体" w:cs="楷体_GB2312"/>
          <w:bCs/>
          <w:sz w:val="32"/>
          <w:szCs w:val="32"/>
        </w:rPr>
        <w:t>总体绩效目标实现情况</w:t>
      </w:r>
    </w:p>
    <w:p>
      <w:pPr>
        <w:spacing w:line="560" w:lineRule="exact"/>
        <w:ind w:firstLine="800" w:firstLineChars="250"/>
        <w:jc w:val="both"/>
        <w:rPr>
          <w:rFonts w:hint="eastAsia"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本年度专项工作经费管理规范，按计划基本完成，确保了</w:t>
      </w:r>
    </w:p>
    <w:p>
      <w:pPr>
        <w:spacing w:line="560" w:lineRule="exact"/>
        <w:jc w:val="both"/>
        <w:rPr>
          <w:rFonts w:hint="eastAsia" w:ascii="仿宋" w:hAnsi="仿宋" w:eastAsia="仿宋" w:cs="黑体"/>
          <w:kern w:val="2"/>
          <w:sz w:val="32"/>
          <w:szCs w:val="32"/>
          <w:highlight w:val="none"/>
          <w:lang w:val="en-US" w:eastAsia="zh-CN" w:bidi="ar-SA"/>
        </w:rPr>
      </w:pPr>
      <w:r>
        <w:rPr>
          <w:rFonts w:hint="eastAsia" w:ascii="仿宋" w:hAnsi="仿宋" w:eastAsia="仿宋" w:cs="黑体"/>
          <w:kern w:val="2"/>
          <w:sz w:val="32"/>
          <w:szCs w:val="32"/>
          <w:lang w:val="en-US" w:eastAsia="zh-CN" w:bidi="ar-SA"/>
        </w:rPr>
        <w:t>各项工作正常运转和圆满完成，各股室对该项工作总体较为满意。对各项职能指标完成情况进行了自检自查,各项工作均已基本完成，</w:t>
      </w:r>
      <w:r>
        <w:rPr>
          <w:rFonts w:hint="eastAsia" w:ascii="仿宋" w:hAnsi="仿宋" w:eastAsia="仿宋" w:cs="黑体"/>
          <w:kern w:val="2"/>
          <w:sz w:val="32"/>
          <w:szCs w:val="32"/>
          <w:highlight w:val="none"/>
          <w:lang w:val="en-US" w:eastAsia="zh-CN" w:bidi="ar-SA"/>
        </w:rPr>
        <w:t>8个项目绩效评价均为优秀。</w:t>
      </w:r>
    </w:p>
    <w:p>
      <w:pPr>
        <w:spacing w:line="560" w:lineRule="exact"/>
        <w:ind w:firstLine="640" w:firstLineChars="200"/>
        <w:jc w:val="both"/>
        <w:rPr>
          <w:rFonts w:ascii="楷体" w:hAnsi="楷体" w:eastAsia="楷体"/>
          <w:bCs/>
          <w:sz w:val="32"/>
          <w:szCs w:val="32"/>
        </w:rPr>
      </w:pPr>
      <w:r>
        <w:rPr>
          <w:rFonts w:hint="eastAsia" w:ascii="楷体" w:hAnsi="楷体" w:eastAsia="楷体" w:cs="楷体_GB2312"/>
          <w:bCs/>
          <w:sz w:val="32"/>
          <w:szCs w:val="32"/>
        </w:rPr>
        <w:t>（二）分项绩效目标实现情况及指标分析</w:t>
      </w:r>
    </w:p>
    <w:p>
      <w:pPr>
        <w:pStyle w:val="15"/>
        <w:jc w:val="both"/>
        <w:rPr>
          <w:rFonts w:hint="default" w:ascii="仿宋" w:hAnsi="仿宋" w:eastAsia="仿宋"/>
          <w:sz w:val="32"/>
          <w:szCs w:val="32"/>
          <w:lang w:val="en-US" w:eastAsia="zh-CN"/>
        </w:rPr>
      </w:pPr>
      <w:r>
        <w:rPr>
          <w:rFonts w:hint="eastAsia" w:ascii="仿宋" w:hAnsi="仿宋" w:eastAsia="仿宋" w:cs="黑体"/>
          <w:kern w:val="2"/>
          <w:sz w:val="32"/>
          <w:szCs w:val="32"/>
          <w:highlight w:val="none"/>
          <w:lang w:val="en-US" w:eastAsia="zh-CN" w:bidi="ar-SA"/>
        </w:rPr>
        <w:t>1、</w:t>
      </w:r>
      <w:r>
        <w:rPr>
          <w:rFonts w:hint="eastAsia" w:ascii="仿宋" w:hAnsi="仿宋" w:eastAsia="仿宋"/>
          <w:sz w:val="32"/>
          <w:szCs w:val="32"/>
          <w:lang w:val="en-US" w:eastAsia="zh-CN"/>
        </w:rPr>
        <w:t>协调抓总体，</w:t>
      </w:r>
      <w:r>
        <w:rPr>
          <w:rFonts w:hint="eastAsia" w:ascii="仿宋" w:hAnsi="仿宋" w:eastAsia="仿宋" w:cs="黑体"/>
          <w:kern w:val="2"/>
          <w:sz w:val="32"/>
          <w:szCs w:val="32"/>
          <w:highlight w:val="none"/>
          <w:lang w:val="en-US" w:eastAsia="zh-CN" w:bidi="ar-SA"/>
        </w:rPr>
        <w:t>保证</w:t>
      </w:r>
      <w:r>
        <w:rPr>
          <w:rFonts w:hint="eastAsia" w:ascii="仿宋" w:hAnsi="仿宋" w:eastAsia="仿宋"/>
          <w:sz w:val="32"/>
          <w:szCs w:val="32"/>
          <w:lang w:val="en-US" w:eastAsia="zh-CN"/>
        </w:rPr>
        <w:t>统战工作协调机制运转</w:t>
      </w:r>
    </w:p>
    <w:p>
      <w:pPr>
        <w:keepNext w:val="0"/>
        <w:keepLines w:val="0"/>
        <w:pageBreakBefore w:val="0"/>
        <w:kinsoku/>
        <w:wordWrap/>
        <w:overflowPunct/>
        <w:topLinePunct w:val="0"/>
        <w:autoSpaceDE/>
        <w:autoSpaceDN/>
        <w:bidi w:val="0"/>
        <w:adjustRightInd w:val="0"/>
        <w:snapToGrid w:val="0"/>
        <w:spacing w:beforeAutospacing="0" w:afterAutospacing="0" w:line="578"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rPr>
        <w:t>绩效目标</w:t>
      </w:r>
      <w:r>
        <w:rPr>
          <w:rFonts w:hint="eastAsia" w:ascii="仿宋" w:hAnsi="仿宋" w:eastAsia="仿宋"/>
          <w:sz w:val="32"/>
          <w:szCs w:val="32"/>
          <w:lang w:eastAsia="zh-CN"/>
        </w:rPr>
        <w:t>：</w:t>
      </w:r>
      <w:r>
        <w:rPr>
          <w:rFonts w:hint="eastAsia" w:ascii="仿宋" w:hAnsi="仿宋" w:eastAsia="仿宋"/>
          <w:sz w:val="32"/>
          <w:szCs w:val="32"/>
          <w:lang w:val="en-US" w:eastAsia="zh-CN"/>
        </w:rPr>
        <w:t>落实协调联席会机制，协调机制会议、专题会议，观摩交流，运转协调等，保证党委领导，政府支持，统战部协调抓总体，各部门协调配合，全社会参与统战工作的新机制进一步完善，保证统战工作协调机制运行。</w:t>
      </w:r>
    </w:p>
    <w:p>
      <w:pPr>
        <w:keepNext w:val="0"/>
        <w:keepLines w:val="0"/>
        <w:pageBreakBefore w:val="0"/>
        <w:kinsoku/>
        <w:wordWrap/>
        <w:overflowPunct/>
        <w:topLinePunct w:val="0"/>
        <w:autoSpaceDE/>
        <w:autoSpaceDN/>
        <w:bidi w:val="0"/>
        <w:adjustRightInd w:val="0"/>
        <w:snapToGrid w:val="0"/>
        <w:spacing w:beforeAutospacing="0" w:afterAutospacing="0" w:line="578"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eastAsia="zh-CN"/>
        </w:rPr>
        <w:t>绩效指标：召开</w:t>
      </w:r>
      <w:r>
        <w:rPr>
          <w:rFonts w:hint="eastAsia" w:ascii="仿宋" w:hAnsi="仿宋" w:eastAsia="仿宋"/>
          <w:sz w:val="32"/>
          <w:szCs w:val="32"/>
          <w:lang w:val="en-US" w:eastAsia="zh-CN"/>
        </w:rPr>
        <w:t>观摩交流会2</w:t>
      </w:r>
      <w:r>
        <w:rPr>
          <w:rFonts w:hint="eastAsia" w:ascii="仿宋" w:hAnsi="仿宋" w:eastAsia="仿宋"/>
          <w:sz w:val="32"/>
          <w:szCs w:val="32"/>
          <w:lang w:eastAsia="zh-CN"/>
        </w:rPr>
        <w:t>次，协调机制会议</w:t>
      </w:r>
      <w:r>
        <w:rPr>
          <w:rFonts w:hint="eastAsia" w:ascii="仿宋" w:hAnsi="仿宋" w:eastAsia="仿宋"/>
          <w:sz w:val="32"/>
          <w:szCs w:val="32"/>
          <w:lang w:val="en-US" w:eastAsia="zh-CN"/>
        </w:rPr>
        <w:t>6</w:t>
      </w:r>
      <w:r>
        <w:rPr>
          <w:rFonts w:hint="eastAsia" w:ascii="仿宋" w:hAnsi="仿宋" w:eastAsia="仿宋"/>
          <w:sz w:val="32"/>
          <w:szCs w:val="32"/>
          <w:lang w:eastAsia="zh-CN"/>
        </w:rPr>
        <w:t>次，解决有关事项</w:t>
      </w:r>
      <w:r>
        <w:rPr>
          <w:rFonts w:hint="eastAsia" w:ascii="仿宋" w:hAnsi="仿宋" w:eastAsia="仿宋"/>
          <w:sz w:val="32"/>
          <w:szCs w:val="32"/>
          <w:lang w:val="en-US" w:eastAsia="zh-CN"/>
        </w:rPr>
        <w:t>4</w:t>
      </w:r>
      <w:r>
        <w:rPr>
          <w:rFonts w:hint="eastAsia" w:ascii="仿宋" w:hAnsi="仿宋" w:eastAsia="仿宋"/>
          <w:sz w:val="32"/>
          <w:szCs w:val="32"/>
          <w:lang w:eastAsia="zh-CN"/>
        </w:rPr>
        <w:t>次，</w:t>
      </w:r>
      <w:r>
        <w:rPr>
          <w:rFonts w:hint="eastAsia" w:ascii="仿宋" w:hAnsi="仿宋" w:eastAsia="仿宋"/>
          <w:sz w:val="32"/>
          <w:szCs w:val="32"/>
          <w:lang w:val="en-US" w:eastAsia="zh-CN"/>
        </w:rPr>
        <w:t>专题会议7</w:t>
      </w:r>
      <w:r>
        <w:rPr>
          <w:rFonts w:hint="eastAsia" w:ascii="仿宋" w:hAnsi="仿宋" w:eastAsia="仿宋"/>
          <w:sz w:val="32"/>
          <w:szCs w:val="32"/>
          <w:lang w:eastAsia="zh-CN"/>
        </w:rPr>
        <w:t>次，</w:t>
      </w:r>
      <w:r>
        <w:rPr>
          <w:rFonts w:hint="eastAsia" w:ascii="仿宋" w:hAnsi="仿宋" w:eastAsia="仿宋"/>
          <w:sz w:val="32"/>
          <w:szCs w:val="32"/>
          <w:lang w:val="en-US" w:eastAsia="zh-CN"/>
        </w:rPr>
        <w:t>活动完成率达到100%。</w:t>
      </w:r>
    </w:p>
    <w:p>
      <w:pPr>
        <w:keepNext w:val="0"/>
        <w:keepLines w:val="0"/>
        <w:pageBreakBefore w:val="0"/>
        <w:kinsoku/>
        <w:wordWrap/>
        <w:overflowPunct/>
        <w:topLinePunct w:val="0"/>
        <w:autoSpaceDE/>
        <w:autoSpaceDN/>
        <w:bidi w:val="0"/>
        <w:adjustRightInd w:val="0"/>
        <w:snapToGrid w:val="0"/>
        <w:spacing w:beforeAutospacing="0" w:afterAutospacing="0" w:line="578" w:lineRule="exact"/>
        <w:ind w:firstLine="640" w:firstLineChars="200"/>
        <w:textAlignment w:val="auto"/>
        <w:rPr>
          <w:rFonts w:hint="default" w:ascii="仿宋" w:hAnsi="仿宋" w:eastAsia="仿宋"/>
          <w:sz w:val="32"/>
          <w:szCs w:val="32"/>
          <w:lang w:val="en-US" w:eastAsia="zh-CN"/>
        </w:rPr>
      </w:pPr>
      <w:bookmarkStart w:id="1" w:name="OLE_LINK3"/>
      <w:r>
        <w:rPr>
          <w:rFonts w:hint="eastAsia" w:ascii="仿宋" w:hAnsi="仿宋" w:eastAsia="仿宋"/>
          <w:sz w:val="32"/>
          <w:szCs w:val="32"/>
          <w:lang w:val="en-US" w:eastAsia="zh-CN"/>
        </w:rPr>
        <w:t>该</w:t>
      </w:r>
      <w:r>
        <w:rPr>
          <w:rFonts w:hint="eastAsia" w:ascii="仿宋" w:hAnsi="仿宋" w:eastAsia="仿宋"/>
          <w:sz w:val="32"/>
          <w:szCs w:val="32"/>
          <w:lang w:eastAsia="zh-CN"/>
        </w:rPr>
        <w:t>项目预算</w:t>
      </w:r>
      <w:r>
        <w:rPr>
          <w:rFonts w:hint="eastAsia" w:ascii="仿宋" w:hAnsi="仿宋" w:eastAsia="仿宋"/>
          <w:sz w:val="32"/>
          <w:szCs w:val="32"/>
          <w:lang w:val="en-US" w:eastAsia="zh-CN"/>
        </w:rPr>
        <w:t>1.44936万元，区财政拨付1.44936万元，使用资金1.44936万元</w:t>
      </w:r>
      <w:r>
        <w:rPr>
          <w:rFonts w:hint="eastAsia" w:ascii="仿宋" w:hAnsi="仿宋" w:eastAsia="仿宋"/>
          <w:sz w:val="32"/>
          <w:szCs w:val="32"/>
        </w:rPr>
        <w:t>。</w:t>
      </w:r>
    </w:p>
    <w:bookmarkEnd w:id="1"/>
    <w:p>
      <w:pPr>
        <w:pStyle w:val="15"/>
        <w:numPr>
          <w:ilvl w:val="0"/>
          <w:numId w:val="4"/>
        </w:numPr>
        <w:jc w:val="both"/>
        <w:rPr>
          <w:rFonts w:hint="eastAsia" w:ascii="仿宋" w:hAnsi="仿宋" w:eastAsia="仿宋"/>
          <w:sz w:val="32"/>
          <w:szCs w:val="32"/>
          <w:lang w:val="en-US" w:eastAsia="zh-CN"/>
        </w:rPr>
      </w:pPr>
      <w:r>
        <w:rPr>
          <w:rFonts w:hint="eastAsia" w:ascii="仿宋" w:hAnsi="仿宋" w:eastAsia="仿宋"/>
          <w:sz w:val="32"/>
          <w:szCs w:val="32"/>
          <w:lang w:val="en-US" w:eastAsia="zh-CN"/>
        </w:rPr>
        <w:t>加强对台和对海外的统战政策宣传工作</w:t>
      </w:r>
    </w:p>
    <w:p>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rPr>
        <w:t>绩效目标</w:t>
      </w:r>
      <w:r>
        <w:rPr>
          <w:rFonts w:hint="eastAsia" w:ascii="仿宋" w:hAnsi="仿宋" w:eastAsia="仿宋"/>
          <w:sz w:val="32"/>
          <w:szCs w:val="32"/>
          <w:lang w:eastAsia="zh-CN"/>
        </w:rPr>
        <w:t>：</w:t>
      </w:r>
      <w:r>
        <w:rPr>
          <w:rFonts w:hint="eastAsia" w:ascii="仿宋" w:hAnsi="仿宋" w:eastAsia="仿宋"/>
          <w:sz w:val="32"/>
          <w:szCs w:val="32"/>
        </w:rPr>
        <w:t>通过印制发放宣传资料和联系宣传文化媒体等方式，加强对台和对海外的统战政策宣传工作；走访慰问台侨侨眷；举办台侨相关培训班，进行思想政治引导，掌握工作政策法规，加强为台侨服务意识。及时掌握台侨界人士思想动态，适时引领。</w:t>
      </w:r>
    </w:p>
    <w:p>
      <w:pPr>
        <w:adjustRightInd w:val="0"/>
        <w:snapToGrid w:val="0"/>
        <w:spacing w:line="560" w:lineRule="exact"/>
        <w:ind w:firstLine="800" w:firstLineChars="250"/>
        <w:rPr>
          <w:rFonts w:ascii="仿宋" w:hAnsi="仿宋" w:eastAsia="仿宋"/>
          <w:sz w:val="32"/>
          <w:szCs w:val="32"/>
        </w:rPr>
      </w:pPr>
      <w:r>
        <w:rPr>
          <w:rFonts w:hint="eastAsia" w:ascii="仿宋" w:hAnsi="仿宋" w:eastAsia="仿宋"/>
          <w:sz w:val="32"/>
          <w:szCs w:val="32"/>
          <w:lang w:eastAsia="zh-CN"/>
        </w:rPr>
        <w:t>绩效指标：进行教育学习培训</w:t>
      </w:r>
      <w:r>
        <w:rPr>
          <w:rFonts w:hint="eastAsia" w:ascii="仿宋" w:hAnsi="仿宋" w:eastAsia="仿宋"/>
          <w:sz w:val="32"/>
          <w:szCs w:val="32"/>
          <w:lang w:val="en-US" w:eastAsia="zh-CN"/>
        </w:rPr>
        <w:t>2次，</w:t>
      </w:r>
      <w:r>
        <w:rPr>
          <w:rFonts w:hint="eastAsia" w:ascii="仿宋" w:hAnsi="仿宋" w:eastAsia="仿宋"/>
          <w:sz w:val="32"/>
          <w:szCs w:val="32"/>
          <w:lang w:eastAsia="zh-CN"/>
        </w:rPr>
        <w:t>开展</w:t>
      </w:r>
      <w:r>
        <w:rPr>
          <w:rFonts w:hint="eastAsia" w:ascii="仿宋" w:hAnsi="仿宋" w:eastAsia="仿宋"/>
          <w:sz w:val="32"/>
          <w:szCs w:val="32"/>
        </w:rPr>
        <w:t>为台侨服务</w:t>
      </w:r>
      <w:r>
        <w:rPr>
          <w:rFonts w:hint="eastAsia" w:ascii="仿宋" w:hAnsi="仿宋" w:eastAsia="仿宋"/>
          <w:sz w:val="32"/>
          <w:szCs w:val="32"/>
          <w:lang w:eastAsia="zh-CN"/>
        </w:rPr>
        <w:t>工作，慰问侨界困难群众</w:t>
      </w:r>
      <w:r>
        <w:rPr>
          <w:rFonts w:hint="eastAsia" w:ascii="仿宋" w:hAnsi="仿宋" w:eastAsia="仿宋"/>
          <w:sz w:val="32"/>
          <w:szCs w:val="32"/>
          <w:lang w:val="en-US" w:eastAsia="zh-CN"/>
        </w:rPr>
        <w:t>2次3人次，对2个侨胞之家进行建设，组织开展界联谊会1次，召开侨界代表大会1次，开展普法活动1次，</w:t>
      </w:r>
      <w:r>
        <w:rPr>
          <w:rFonts w:hint="eastAsia" w:ascii="仿宋" w:hAnsi="仿宋" w:eastAsia="仿宋"/>
          <w:sz w:val="32"/>
          <w:szCs w:val="32"/>
          <w:lang w:eastAsia="zh-CN"/>
        </w:rPr>
        <w:t>做好台侨统战</w:t>
      </w:r>
      <w:r>
        <w:rPr>
          <w:rFonts w:hint="eastAsia" w:ascii="仿宋" w:hAnsi="仿宋" w:eastAsia="仿宋"/>
          <w:sz w:val="32"/>
          <w:szCs w:val="32"/>
          <w:lang w:val="en-US" w:eastAsia="zh-CN"/>
        </w:rPr>
        <w:t>各项</w:t>
      </w:r>
      <w:r>
        <w:rPr>
          <w:rFonts w:hint="eastAsia" w:ascii="仿宋" w:hAnsi="仿宋" w:eastAsia="仿宋"/>
          <w:sz w:val="32"/>
          <w:szCs w:val="32"/>
          <w:lang w:eastAsia="zh-CN"/>
        </w:rPr>
        <w:t>工作。</w:t>
      </w:r>
    </w:p>
    <w:p>
      <w:pPr>
        <w:keepNext w:val="0"/>
        <w:keepLines w:val="0"/>
        <w:pageBreakBefore w:val="0"/>
        <w:kinsoku/>
        <w:wordWrap/>
        <w:overflowPunct/>
        <w:topLinePunct w:val="0"/>
        <w:autoSpaceDE/>
        <w:autoSpaceDN/>
        <w:bidi w:val="0"/>
        <w:adjustRightInd w:val="0"/>
        <w:snapToGrid w:val="0"/>
        <w:spacing w:beforeAutospacing="0" w:afterAutospacing="0" w:line="578" w:lineRule="exact"/>
        <w:ind w:firstLine="640" w:firstLineChars="200"/>
        <w:textAlignment w:val="auto"/>
        <w:rPr>
          <w:rFonts w:hint="eastAsia" w:ascii="仿宋" w:hAnsi="仿宋" w:eastAsia="仿宋"/>
          <w:sz w:val="32"/>
          <w:szCs w:val="32"/>
          <w:lang w:val="en-US" w:eastAsia="zh-CN"/>
        </w:rPr>
      </w:pPr>
      <w:bookmarkStart w:id="2" w:name="OLE_LINK4"/>
      <w:r>
        <w:rPr>
          <w:rFonts w:hint="eastAsia" w:ascii="仿宋" w:hAnsi="仿宋" w:eastAsia="仿宋"/>
          <w:sz w:val="32"/>
          <w:szCs w:val="32"/>
          <w:lang w:val="en-US" w:eastAsia="zh-CN"/>
        </w:rPr>
        <w:t>该</w:t>
      </w:r>
      <w:r>
        <w:rPr>
          <w:rFonts w:hint="eastAsia" w:ascii="仿宋" w:hAnsi="仿宋" w:eastAsia="仿宋"/>
          <w:sz w:val="32"/>
          <w:szCs w:val="32"/>
          <w:lang w:eastAsia="zh-CN"/>
        </w:rPr>
        <w:t>项目预算</w:t>
      </w:r>
      <w:r>
        <w:rPr>
          <w:rFonts w:hint="eastAsia" w:ascii="仿宋" w:hAnsi="仿宋" w:eastAsia="仿宋"/>
          <w:sz w:val="32"/>
          <w:szCs w:val="32"/>
          <w:lang w:val="en-US" w:eastAsia="zh-CN"/>
        </w:rPr>
        <w:t>0.4005万元，区财政拨付0.4005万元，使用资金0.4005万元</w:t>
      </w:r>
      <w:r>
        <w:rPr>
          <w:rFonts w:hint="eastAsia" w:ascii="仿宋" w:hAnsi="仿宋" w:eastAsia="仿宋"/>
          <w:sz w:val="32"/>
          <w:szCs w:val="32"/>
        </w:rPr>
        <w:t>。</w:t>
      </w:r>
    </w:p>
    <w:bookmarkEnd w:id="2"/>
    <w:p>
      <w:pPr>
        <w:pStyle w:val="15"/>
        <w:jc w:val="both"/>
        <w:rPr>
          <w:rFonts w:hint="eastAsia" w:ascii="仿宋" w:hAnsi="仿宋" w:eastAsia="仿宋" w:cs="黑体"/>
          <w:kern w:val="2"/>
          <w:sz w:val="32"/>
          <w:szCs w:val="32"/>
          <w:highlight w:val="none"/>
          <w:lang w:val="en-US" w:eastAsia="zh-CN" w:bidi="ar-SA"/>
        </w:rPr>
      </w:pPr>
      <w:bookmarkStart w:id="3" w:name="OLE_LINK7"/>
      <w:r>
        <w:rPr>
          <w:rFonts w:hint="eastAsia" w:ascii="仿宋" w:hAnsi="仿宋" w:eastAsia="仿宋" w:cs="黑体"/>
          <w:kern w:val="2"/>
          <w:sz w:val="32"/>
          <w:szCs w:val="32"/>
          <w:highlight w:val="none"/>
          <w:lang w:val="en-US" w:eastAsia="zh-CN" w:bidi="ar-SA"/>
        </w:rPr>
        <w:t>3、</w:t>
      </w:r>
      <w:r>
        <w:rPr>
          <w:rFonts w:hint="eastAsia" w:ascii="仿宋" w:hAnsi="仿宋" w:eastAsia="仿宋"/>
          <w:sz w:val="32"/>
          <w:szCs w:val="32"/>
          <w:highlight w:val="none"/>
          <w:lang w:val="en-US" w:eastAsia="zh-CN"/>
        </w:rPr>
        <w:t>坚持我国宗教中国化方向，切实维护宗教领域的和谐稳定。</w:t>
      </w:r>
    </w:p>
    <w:p>
      <w:pPr>
        <w:keepNext w:val="0"/>
        <w:keepLines w:val="0"/>
        <w:pageBreakBefore w:val="0"/>
        <w:kinsoku/>
        <w:wordWrap/>
        <w:overflowPunct/>
        <w:topLinePunct w:val="0"/>
        <w:autoSpaceDE/>
        <w:autoSpaceDN/>
        <w:bidi w:val="0"/>
        <w:adjustRightInd w:val="0"/>
        <w:snapToGrid w:val="0"/>
        <w:spacing w:beforeAutospacing="0" w:afterAutospacing="0" w:line="578" w:lineRule="exact"/>
        <w:ind w:firstLine="800" w:firstLineChars="250"/>
        <w:textAlignment w:val="auto"/>
        <w:rPr>
          <w:rFonts w:hint="eastAsia" w:ascii="仿宋" w:hAnsi="仿宋" w:eastAsia="仿宋"/>
          <w:sz w:val="32"/>
          <w:szCs w:val="32"/>
          <w:highlight w:val="none"/>
          <w:lang w:val="en-US" w:eastAsia="zh-CN"/>
        </w:rPr>
      </w:pPr>
      <w:r>
        <w:rPr>
          <w:rFonts w:hint="eastAsia" w:ascii="仿宋" w:hAnsi="仿宋" w:eastAsia="仿宋"/>
          <w:sz w:val="32"/>
          <w:szCs w:val="32"/>
          <w:highlight w:val="none"/>
        </w:rPr>
        <w:t>绩效目标</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全区宗教示范场所创建，召开我国宗教中国化方向座谈会，开展观摩学习活动；开展全区宗教干部培训班，提高工作水平；组织宗教界人士培训班和爱国主义教育；开展宗教场所走访慰问10个以上，发放宗教教职人员生活补贴；打造民族团结进步示范点位；开展民族团结进步宣传月活动；开展民族工作观摩学习。</w:t>
      </w:r>
    </w:p>
    <w:p>
      <w:pPr>
        <w:keepNext w:val="0"/>
        <w:keepLines w:val="0"/>
        <w:pageBreakBefore w:val="0"/>
        <w:kinsoku/>
        <w:wordWrap/>
        <w:overflowPunct/>
        <w:topLinePunct w:val="0"/>
        <w:autoSpaceDE/>
        <w:autoSpaceDN/>
        <w:bidi w:val="0"/>
        <w:adjustRightInd w:val="0"/>
        <w:snapToGrid w:val="0"/>
        <w:spacing w:beforeAutospacing="0" w:afterAutospacing="0" w:line="578" w:lineRule="exact"/>
        <w:ind w:firstLine="640" w:firstLineChars="200"/>
        <w:textAlignment w:val="auto"/>
        <w:rPr>
          <w:rFonts w:hint="eastAsia" w:ascii="仿宋" w:hAnsi="仿宋" w:eastAsia="仿宋"/>
          <w:sz w:val="32"/>
          <w:szCs w:val="32"/>
          <w:highlight w:val="none"/>
          <w:vertAlign w:val="baseline"/>
          <w:lang w:val="en-US" w:eastAsia="zh-CN"/>
        </w:rPr>
      </w:pPr>
      <w:r>
        <w:rPr>
          <w:rFonts w:hint="eastAsia" w:ascii="仿宋" w:hAnsi="仿宋" w:eastAsia="仿宋"/>
          <w:sz w:val="32"/>
          <w:szCs w:val="32"/>
          <w:highlight w:val="none"/>
          <w:lang w:eastAsia="zh-CN"/>
        </w:rPr>
        <w:t>绩效指标：</w:t>
      </w:r>
      <w:r>
        <w:rPr>
          <w:rFonts w:hint="eastAsia" w:ascii="仿宋" w:hAnsi="仿宋" w:eastAsia="仿宋"/>
          <w:sz w:val="32"/>
          <w:szCs w:val="32"/>
          <w:highlight w:val="none"/>
          <w:vertAlign w:val="baseline"/>
          <w:lang w:val="en-US" w:eastAsia="zh-CN"/>
        </w:rPr>
        <w:t>深入开展宗教界“学守重树”教育活动，组织开展6期宗教界人士培训班、2次宗教界人士座谈会；开展“宗教政策发给学习月”系列活动，发放“四进”书籍100余本；为全区39个场所统一制作制度展牌、信息公示牌400余个，对宗教场所进行提档升级；常态化开展年度财务审计，持续规范宗教活动场所财务管理；对石井乡岸下村、石榴红了主题公园、北薛庄村3个点位进行提升。积极开展我区第十六个民族团结进步宣传月活动，组织7所学校300余名师生拍摄“再唱山歌给党听”主题宣传视频；走访慰问21个宗教团体宗教场所。</w:t>
      </w:r>
    </w:p>
    <w:p>
      <w:pPr>
        <w:keepNext w:val="0"/>
        <w:keepLines w:val="0"/>
        <w:pageBreakBefore w:val="0"/>
        <w:kinsoku/>
        <w:wordWrap/>
        <w:overflowPunct/>
        <w:topLinePunct w:val="0"/>
        <w:autoSpaceDE/>
        <w:autoSpaceDN/>
        <w:bidi w:val="0"/>
        <w:adjustRightInd w:val="0"/>
        <w:snapToGrid w:val="0"/>
        <w:spacing w:beforeAutospacing="0" w:afterAutospacing="0" w:line="578"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该</w:t>
      </w:r>
      <w:r>
        <w:rPr>
          <w:rFonts w:hint="eastAsia" w:ascii="仿宋" w:hAnsi="仿宋" w:eastAsia="仿宋"/>
          <w:sz w:val="32"/>
          <w:szCs w:val="32"/>
          <w:lang w:eastAsia="zh-CN"/>
        </w:rPr>
        <w:t>项目预算</w:t>
      </w:r>
      <w:r>
        <w:rPr>
          <w:rFonts w:hint="eastAsia" w:ascii="仿宋" w:hAnsi="仿宋" w:eastAsia="仿宋"/>
          <w:sz w:val="32"/>
          <w:szCs w:val="32"/>
          <w:lang w:val="en-US" w:eastAsia="zh-CN"/>
        </w:rPr>
        <w:t>1.513352万元，区财政拨付1.513352万元，使用资金1.513352万元</w:t>
      </w:r>
      <w:r>
        <w:rPr>
          <w:rFonts w:hint="eastAsia" w:ascii="仿宋" w:hAnsi="仿宋" w:eastAsia="仿宋"/>
          <w:sz w:val="32"/>
          <w:szCs w:val="32"/>
        </w:rPr>
        <w:t>。</w:t>
      </w:r>
    </w:p>
    <w:bookmarkEnd w:id="3"/>
    <w:p>
      <w:pPr>
        <w:keepNext w:val="0"/>
        <w:keepLines w:val="0"/>
        <w:pageBreakBefore w:val="0"/>
        <w:kinsoku/>
        <w:wordWrap/>
        <w:overflowPunct/>
        <w:topLinePunct w:val="0"/>
        <w:autoSpaceDE/>
        <w:autoSpaceDN/>
        <w:bidi w:val="0"/>
        <w:adjustRightInd w:val="0"/>
        <w:snapToGrid w:val="0"/>
        <w:spacing w:beforeAutospacing="0" w:afterAutospacing="0" w:line="578" w:lineRule="exact"/>
        <w:ind w:firstLine="800" w:firstLineChars="250"/>
        <w:textAlignment w:val="auto"/>
        <w:rPr>
          <w:rFonts w:hint="eastAsia" w:ascii="仿宋" w:hAnsi="仿宋" w:eastAsia="仿宋" w:cs="黑体"/>
          <w:kern w:val="2"/>
          <w:sz w:val="32"/>
          <w:szCs w:val="32"/>
          <w:highlight w:val="none"/>
          <w:lang w:val="en-US" w:eastAsia="zh-CN" w:bidi="ar-SA"/>
        </w:rPr>
      </w:pPr>
      <w:r>
        <w:rPr>
          <w:rFonts w:hint="eastAsia" w:ascii="仿宋" w:hAnsi="仿宋" w:eastAsia="仿宋" w:cs="黑体"/>
          <w:kern w:val="2"/>
          <w:sz w:val="32"/>
          <w:szCs w:val="32"/>
          <w:highlight w:val="none"/>
          <w:lang w:val="en-US" w:eastAsia="zh-CN" w:bidi="ar-SA"/>
        </w:rPr>
        <w:t>4、</w:t>
      </w:r>
      <w:r>
        <w:rPr>
          <w:rFonts w:hint="eastAsia" w:ascii="仿宋" w:hAnsi="仿宋" w:eastAsia="仿宋"/>
          <w:sz w:val="32"/>
          <w:szCs w:val="32"/>
          <w:highlight w:val="none"/>
          <w:lang w:val="en-US" w:eastAsia="zh-CN"/>
        </w:rPr>
        <w:t>进一步加强党外知识分子的思想政治引领</w:t>
      </w:r>
    </w:p>
    <w:p>
      <w:pPr>
        <w:keepNext w:val="0"/>
        <w:keepLines w:val="0"/>
        <w:pageBreakBefore w:val="0"/>
        <w:kinsoku/>
        <w:wordWrap/>
        <w:overflowPunct/>
        <w:topLinePunct w:val="0"/>
        <w:autoSpaceDE/>
        <w:autoSpaceDN/>
        <w:bidi w:val="0"/>
        <w:adjustRightInd w:val="0"/>
        <w:snapToGrid w:val="0"/>
        <w:spacing w:beforeAutospacing="0" w:afterAutospacing="0" w:line="578" w:lineRule="exact"/>
        <w:ind w:firstLine="800" w:firstLineChars="250"/>
        <w:textAlignment w:val="auto"/>
        <w:rPr>
          <w:rFonts w:hint="eastAsia" w:ascii="仿宋" w:hAnsi="仿宋" w:eastAsia="仿宋"/>
          <w:sz w:val="32"/>
          <w:szCs w:val="32"/>
          <w:lang w:val="en-US" w:eastAsia="zh-CN"/>
        </w:rPr>
      </w:pPr>
      <w:r>
        <w:rPr>
          <w:rFonts w:hint="eastAsia" w:ascii="仿宋" w:hAnsi="仿宋" w:eastAsia="仿宋"/>
          <w:sz w:val="32"/>
          <w:szCs w:val="32"/>
          <w:highlight w:val="none"/>
        </w:rPr>
        <w:t>绩效目标</w:t>
      </w:r>
      <w:r>
        <w:rPr>
          <w:rFonts w:hint="eastAsia" w:ascii="仿宋" w:hAnsi="仿宋" w:eastAsia="仿宋"/>
          <w:sz w:val="32"/>
          <w:szCs w:val="32"/>
          <w:highlight w:val="none"/>
          <w:lang w:eastAsia="zh-CN"/>
        </w:rPr>
        <w:t>：</w:t>
      </w:r>
      <w:r>
        <w:rPr>
          <w:rFonts w:hint="eastAsia" w:ascii="仿宋" w:hAnsi="仿宋" w:eastAsia="仿宋"/>
          <w:sz w:val="32"/>
          <w:szCs w:val="32"/>
          <w:lang w:val="en-US" w:eastAsia="zh-CN"/>
        </w:rPr>
        <w:t>组织党外知识分子和新的社会阶层人士开展党的政策理论宣讲和专题培训，召开座谈、调研，开展社会服务活动，开展“寻美鹿泉”写生活动，举办书画展，进一步加强党外知识分子和新的社会阶层人士的思想政治引领。</w:t>
      </w:r>
    </w:p>
    <w:p>
      <w:pPr>
        <w:keepNext w:val="0"/>
        <w:keepLines w:val="0"/>
        <w:pageBreakBefore w:val="0"/>
        <w:kinsoku/>
        <w:wordWrap/>
        <w:overflowPunct/>
        <w:topLinePunct w:val="0"/>
        <w:autoSpaceDE/>
        <w:autoSpaceDN/>
        <w:bidi w:val="0"/>
        <w:adjustRightInd w:val="0"/>
        <w:snapToGrid w:val="0"/>
        <w:spacing w:beforeAutospacing="0" w:afterAutospacing="0" w:line="578" w:lineRule="exact"/>
        <w:ind w:firstLine="800" w:firstLineChars="250"/>
        <w:textAlignment w:val="auto"/>
        <w:rPr>
          <w:rFonts w:hint="eastAsia" w:ascii="仿宋" w:hAnsi="仿宋" w:eastAsia="仿宋" w:cs="黑体"/>
          <w:kern w:val="2"/>
          <w:sz w:val="32"/>
          <w:szCs w:val="32"/>
          <w:highlight w:val="none"/>
          <w:lang w:val="en-US" w:eastAsia="zh-CN" w:bidi="ar-SA"/>
        </w:rPr>
      </w:pPr>
      <w:r>
        <w:rPr>
          <w:rFonts w:hint="eastAsia" w:ascii="仿宋" w:hAnsi="仿宋" w:eastAsia="仿宋"/>
          <w:sz w:val="32"/>
          <w:szCs w:val="32"/>
          <w:highlight w:val="none"/>
          <w:lang w:eastAsia="zh-CN"/>
        </w:rPr>
        <w:t>绩效指标：</w:t>
      </w:r>
      <w:r>
        <w:rPr>
          <w:rFonts w:hint="eastAsia" w:ascii="仿宋" w:hAnsi="仿宋" w:eastAsia="仿宋"/>
          <w:sz w:val="32"/>
          <w:szCs w:val="32"/>
          <w:lang w:val="en-US" w:eastAsia="zh-CN"/>
        </w:rPr>
        <w:t>组织党外知识分子和新的社会阶层人士开展党的政策理论宣讲和专题培训2次，召开座谈、调研4次，开展社会服务3次，开展“寻美鹿泉”写生活动3次，书画展实际未如期开展。</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黑体"/>
          <w:kern w:val="2"/>
          <w:sz w:val="32"/>
          <w:szCs w:val="32"/>
          <w:highlight w:val="none"/>
          <w:lang w:val="en-US" w:eastAsia="zh-CN" w:bidi="ar-SA"/>
        </w:rPr>
      </w:pPr>
      <w:bookmarkStart w:id="4" w:name="OLE_LINK9"/>
      <w:r>
        <w:rPr>
          <w:rFonts w:hint="eastAsia" w:ascii="仿宋" w:hAnsi="仿宋" w:eastAsia="仿宋" w:cs="黑体"/>
          <w:kern w:val="2"/>
          <w:sz w:val="32"/>
          <w:szCs w:val="32"/>
          <w:highlight w:val="none"/>
          <w:lang w:val="en-US" w:eastAsia="zh-CN" w:bidi="ar-SA"/>
        </w:rPr>
        <w:t>5、加强宗教工作队伍建设及宗教领域排查整治工作，维护宗教领域和谐稳定。</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黑体"/>
          <w:kern w:val="2"/>
          <w:sz w:val="32"/>
          <w:szCs w:val="32"/>
          <w:highlight w:val="none"/>
          <w:lang w:val="en-US" w:eastAsia="zh-CN" w:bidi="ar-SA"/>
        </w:rPr>
      </w:pPr>
      <w:r>
        <w:rPr>
          <w:rFonts w:hint="eastAsia" w:ascii="仿宋" w:hAnsi="仿宋" w:eastAsia="仿宋" w:cs="黑体"/>
          <w:kern w:val="2"/>
          <w:sz w:val="32"/>
          <w:szCs w:val="32"/>
          <w:highlight w:val="none"/>
          <w:lang w:val="en-US" w:eastAsia="zh-CN" w:bidi="ar-SA"/>
        </w:rPr>
        <w:t>绩效目标：加强宗教工作队伍建设及宗教领域排查整治工作，维护宗教领域和谐稳定，资金主要用于宗教培训班，计划开展两期培训班，对我区宗教干部及教职人员开展政策技能培训；对宗教活动场所“双创四进”提档升级。</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黑体"/>
          <w:kern w:val="2"/>
          <w:sz w:val="32"/>
          <w:szCs w:val="32"/>
          <w:highlight w:val="none"/>
          <w:lang w:val="en-US" w:eastAsia="zh-CN" w:bidi="ar-SA"/>
        </w:rPr>
      </w:pPr>
      <w:r>
        <w:rPr>
          <w:rFonts w:hint="eastAsia" w:ascii="仿宋" w:hAnsi="仿宋" w:eastAsia="仿宋" w:cs="黑体"/>
          <w:kern w:val="2"/>
          <w:sz w:val="32"/>
          <w:szCs w:val="32"/>
          <w:highlight w:val="none"/>
          <w:lang w:val="en-US" w:eastAsia="zh-CN" w:bidi="ar-SA"/>
        </w:rPr>
        <w:t>绩效指标：深入开展宗教界“学守重树”教育活动，组织开展6期宗教界人士培训班、2次宗教界人士座谈会，开展“宗教政策发给学习月”系列活动；发放“四进”书籍和学习资料300余份，以多种形式教育引导宗教界人士提升法治思想认识和管理水平；为全区39个场所统一制作制度展牌、信息公示牌400余个，促进宗教场所提档升级。</w:t>
      </w:r>
    </w:p>
    <w:p>
      <w:pPr>
        <w:keepNext w:val="0"/>
        <w:keepLines w:val="0"/>
        <w:pageBreakBefore w:val="0"/>
        <w:kinsoku/>
        <w:wordWrap/>
        <w:overflowPunct/>
        <w:topLinePunct w:val="0"/>
        <w:autoSpaceDE/>
        <w:autoSpaceDN/>
        <w:bidi w:val="0"/>
        <w:adjustRightInd w:val="0"/>
        <w:snapToGrid w:val="0"/>
        <w:spacing w:beforeAutospacing="0" w:afterAutospacing="0" w:line="578"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该</w:t>
      </w:r>
      <w:r>
        <w:rPr>
          <w:rFonts w:hint="eastAsia" w:ascii="仿宋" w:hAnsi="仿宋" w:eastAsia="仿宋"/>
          <w:sz w:val="32"/>
          <w:szCs w:val="32"/>
          <w:lang w:eastAsia="zh-CN"/>
        </w:rPr>
        <w:t>项目预算</w:t>
      </w:r>
      <w:r>
        <w:rPr>
          <w:rFonts w:hint="eastAsia" w:ascii="仿宋" w:hAnsi="仿宋" w:eastAsia="仿宋"/>
          <w:sz w:val="32"/>
          <w:szCs w:val="32"/>
          <w:lang w:val="en-US" w:eastAsia="zh-CN"/>
        </w:rPr>
        <w:t>2万元，区财政拨付2万元，使用资金0.3650万元</w:t>
      </w:r>
      <w:r>
        <w:rPr>
          <w:rFonts w:hint="eastAsia" w:ascii="仿宋" w:hAnsi="仿宋" w:eastAsia="仿宋"/>
          <w:sz w:val="32"/>
          <w:szCs w:val="32"/>
        </w:rPr>
        <w:t>。</w:t>
      </w:r>
    </w:p>
    <w:bookmarkEnd w:id="4"/>
    <w:p>
      <w:pPr>
        <w:spacing w:line="560" w:lineRule="exact"/>
        <w:ind w:firstLine="640" w:firstLineChars="200"/>
        <w:jc w:val="both"/>
        <w:rPr>
          <w:rFonts w:ascii="黑体" w:hAnsi="黑体" w:eastAsia="黑体"/>
          <w:sz w:val="32"/>
          <w:szCs w:val="32"/>
        </w:rPr>
      </w:pPr>
      <w:r>
        <w:rPr>
          <w:rFonts w:hint="eastAsia" w:ascii="黑体" w:hAnsi="黑体" w:eastAsia="黑体"/>
          <w:sz w:val="32"/>
          <w:szCs w:val="32"/>
        </w:rPr>
        <w:t>四、评价结论和评价等级</w:t>
      </w:r>
    </w:p>
    <w:p>
      <w:pPr>
        <w:spacing w:line="560" w:lineRule="exact"/>
        <w:ind w:firstLine="640" w:firstLineChars="200"/>
        <w:jc w:val="both"/>
        <w:rPr>
          <w:rFonts w:hint="eastAsia" w:ascii="仿宋" w:hAnsi="仿宋" w:eastAsia="仿宋"/>
          <w:sz w:val="32"/>
          <w:szCs w:val="32"/>
        </w:rPr>
      </w:pPr>
      <w:r>
        <w:rPr>
          <w:rFonts w:hint="eastAsia" w:ascii="仿宋" w:hAnsi="仿宋" w:eastAsia="仿宋"/>
          <w:sz w:val="32"/>
          <w:szCs w:val="32"/>
        </w:rPr>
        <w:t>根据部门职责定位和各项工作履职情况进行综合评价，给出总得分，满分100分，得出综合绩效评价等级。部门整体支出综合绩效评价分为4个等级：得分</w:t>
      </w:r>
      <w:r>
        <w:rPr>
          <w:rFonts w:ascii="仿宋" w:hAnsi="仿宋" w:eastAsia="仿宋" w:cs="Arial"/>
          <w:sz w:val="32"/>
          <w:szCs w:val="32"/>
        </w:rPr>
        <w:t>≥</w:t>
      </w:r>
      <w:r>
        <w:rPr>
          <w:rFonts w:hint="eastAsia" w:ascii="仿宋" w:hAnsi="仿宋" w:eastAsia="仿宋"/>
          <w:sz w:val="32"/>
          <w:szCs w:val="32"/>
        </w:rPr>
        <w:t>85分为优秀；75</w:t>
      </w:r>
      <w:r>
        <w:rPr>
          <w:rFonts w:ascii="仿宋" w:hAnsi="仿宋" w:eastAsia="仿宋" w:cs="Arial"/>
          <w:sz w:val="32"/>
          <w:szCs w:val="32"/>
        </w:rPr>
        <w:t>≤</w:t>
      </w:r>
      <w:r>
        <w:rPr>
          <w:rFonts w:hint="eastAsia" w:ascii="仿宋" w:hAnsi="仿宋" w:eastAsia="仿宋"/>
          <w:sz w:val="32"/>
          <w:szCs w:val="32"/>
        </w:rPr>
        <w:t>得分＜85分为良好；60</w:t>
      </w:r>
      <w:r>
        <w:rPr>
          <w:rFonts w:ascii="仿宋" w:hAnsi="仿宋" w:eastAsia="仿宋" w:cs="Arial"/>
          <w:sz w:val="32"/>
          <w:szCs w:val="32"/>
        </w:rPr>
        <w:t>≤</w:t>
      </w:r>
      <w:r>
        <w:rPr>
          <w:rFonts w:hint="eastAsia" w:ascii="仿宋" w:hAnsi="仿宋" w:eastAsia="仿宋"/>
          <w:sz w:val="32"/>
          <w:szCs w:val="32"/>
        </w:rPr>
        <w:t>得分＜75分为一般；得分＜60分为较差。</w:t>
      </w:r>
    </w:p>
    <w:tbl>
      <w:tblPr>
        <w:tblStyle w:val="6"/>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9"/>
        <w:gridCol w:w="2415"/>
        <w:gridCol w:w="20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9" w:type="dxa"/>
            <w:vAlign w:val="center"/>
          </w:tcPr>
          <w:p>
            <w:pPr>
              <w:pStyle w:val="8"/>
              <w:jc w:val="both"/>
              <w:rPr>
                <w:highlight w:val="none"/>
                <w:vertAlign w:val="baseline"/>
              </w:rPr>
            </w:pPr>
            <w:r>
              <w:rPr>
                <w:rFonts w:hint="eastAsia"/>
                <w:highlight w:val="none"/>
                <w:vertAlign w:val="baseline"/>
              </w:rPr>
              <w:t>项目名称</w:t>
            </w:r>
          </w:p>
        </w:tc>
        <w:tc>
          <w:tcPr>
            <w:tcW w:w="2415" w:type="dxa"/>
            <w:vAlign w:val="center"/>
          </w:tcPr>
          <w:p>
            <w:pPr>
              <w:pStyle w:val="8"/>
              <w:jc w:val="both"/>
              <w:rPr>
                <w:highlight w:val="none"/>
                <w:vertAlign w:val="baseline"/>
              </w:rPr>
            </w:pPr>
            <w:r>
              <w:rPr>
                <w:rFonts w:hint="eastAsia"/>
                <w:highlight w:val="none"/>
                <w:vertAlign w:val="baseline"/>
              </w:rPr>
              <w:t>自评得分</w:t>
            </w:r>
          </w:p>
        </w:tc>
        <w:tc>
          <w:tcPr>
            <w:tcW w:w="2097" w:type="dxa"/>
            <w:vAlign w:val="center"/>
          </w:tcPr>
          <w:p>
            <w:pPr>
              <w:pStyle w:val="8"/>
              <w:jc w:val="both"/>
              <w:rPr>
                <w:highlight w:val="none"/>
                <w:vertAlign w:val="baseline"/>
              </w:rPr>
            </w:pPr>
            <w:r>
              <w:rPr>
                <w:rFonts w:hint="eastAsia"/>
                <w:highlight w:val="none"/>
                <w:vertAlign w:val="baseline"/>
              </w:rPr>
              <w:t>评价等级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4549" w:type="dxa"/>
            <w:vAlign w:val="center"/>
          </w:tcPr>
          <w:p>
            <w:pPr>
              <w:pStyle w:val="8"/>
              <w:jc w:val="both"/>
              <w:rPr>
                <w:rFonts w:hint="eastAsia" w:ascii="仿宋" w:hAnsi="仿宋" w:eastAsia="仿宋" w:cs="仿宋"/>
                <w:i w:val="0"/>
                <w:color w:val="000000"/>
                <w:kern w:val="0"/>
                <w:sz w:val="20"/>
                <w:szCs w:val="20"/>
                <w:highlight w:val="none"/>
                <w:u w:val="none"/>
                <w:lang w:val="en-US" w:eastAsia="zh-CN" w:bidi="ar"/>
              </w:rPr>
            </w:pPr>
            <w:r>
              <w:rPr>
                <w:rFonts w:hint="eastAsia" w:ascii="仿宋" w:hAnsi="仿宋" w:eastAsia="仿宋" w:cs="仿宋"/>
                <w:i w:val="0"/>
                <w:color w:val="000000"/>
                <w:kern w:val="0"/>
                <w:sz w:val="32"/>
                <w:szCs w:val="32"/>
                <w:highlight w:val="none"/>
                <w:u w:val="none"/>
                <w:lang w:val="en-US" w:eastAsia="zh-CN" w:bidi="ar"/>
              </w:rPr>
              <w:t>统战工作协调机制专项经费</w:t>
            </w:r>
          </w:p>
        </w:tc>
        <w:tc>
          <w:tcPr>
            <w:tcW w:w="2415" w:type="dxa"/>
            <w:vAlign w:val="center"/>
          </w:tcPr>
          <w:p>
            <w:pPr>
              <w:pStyle w:val="8"/>
              <w:jc w:val="both"/>
              <w:rPr>
                <w:rFonts w:hint="default" w:ascii="仿宋" w:hAnsi="仿宋" w:eastAsia="仿宋" w:cs="仿宋"/>
                <w:highlight w:val="none"/>
                <w:vertAlign w:val="baseline"/>
                <w:lang w:val="en-US" w:eastAsia="zh-CN"/>
              </w:rPr>
            </w:pPr>
            <w:r>
              <w:rPr>
                <w:rFonts w:hint="eastAsia" w:ascii="仿宋" w:hAnsi="仿宋" w:eastAsia="仿宋" w:cs="仿宋"/>
                <w:highlight w:val="none"/>
                <w:vertAlign w:val="baseline"/>
                <w:lang w:val="en-US" w:eastAsia="zh-CN"/>
              </w:rPr>
              <w:t>100</w:t>
            </w:r>
          </w:p>
        </w:tc>
        <w:tc>
          <w:tcPr>
            <w:tcW w:w="2097" w:type="dxa"/>
            <w:vAlign w:val="center"/>
          </w:tcPr>
          <w:p>
            <w:pPr>
              <w:pStyle w:val="8"/>
              <w:jc w:val="both"/>
              <w:rPr>
                <w:rFonts w:hint="eastAsia" w:ascii="仿宋" w:hAnsi="仿宋" w:eastAsia="仿宋" w:cs="仿宋"/>
                <w:highlight w:val="none"/>
                <w:vertAlign w:val="baseline"/>
                <w:lang w:eastAsia="zh-CN"/>
              </w:rPr>
            </w:pPr>
            <w:r>
              <w:rPr>
                <w:rFonts w:hint="eastAsia" w:ascii="仿宋" w:hAnsi="仿宋" w:eastAsia="仿宋" w:cs="仿宋"/>
                <w:highlight w:val="none"/>
                <w:vertAlign w:val="baseline"/>
                <w:lang w:eastAsia="zh-CN"/>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4549" w:type="dxa"/>
            <w:vAlign w:val="center"/>
          </w:tcPr>
          <w:p>
            <w:pPr>
              <w:pStyle w:val="8"/>
              <w:jc w:val="both"/>
              <w:rPr>
                <w:rFonts w:hint="eastAsia" w:ascii="仿宋" w:hAnsi="仿宋" w:eastAsia="仿宋" w:cs="仿宋"/>
                <w:i w:val="0"/>
                <w:color w:val="000000"/>
                <w:kern w:val="0"/>
                <w:sz w:val="20"/>
                <w:szCs w:val="20"/>
                <w:highlight w:val="yellow"/>
                <w:u w:val="none"/>
                <w:lang w:val="en-US" w:eastAsia="zh-CN" w:bidi="ar"/>
              </w:rPr>
            </w:pPr>
            <w:r>
              <w:rPr>
                <w:rFonts w:hint="eastAsia" w:ascii="仿宋" w:hAnsi="仿宋" w:eastAsia="仿宋" w:cs="仿宋"/>
                <w:i w:val="0"/>
                <w:color w:val="000000"/>
                <w:kern w:val="0"/>
                <w:sz w:val="32"/>
                <w:szCs w:val="32"/>
                <w:highlight w:val="none"/>
                <w:u w:val="none"/>
                <w:lang w:val="en-US" w:eastAsia="zh-CN" w:bidi="ar"/>
              </w:rPr>
              <w:t>台侨工作经费</w:t>
            </w:r>
          </w:p>
        </w:tc>
        <w:tc>
          <w:tcPr>
            <w:tcW w:w="2415" w:type="dxa"/>
            <w:vAlign w:val="center"/>
          </w:tcPr>
          <w:p>
            <w:pPr>
              <w:pStyle w:val="8"/>
              <w:jc w:val="both"/>
              <w:rPr>
                <w:rFonts w:hint="default" w:ascii="仿宋" w:hAnsi="仿宋" w:eastAsia="仿宋" w:cs="仿宋"/>
                <w:highlight w:val="none"/>
                <w:vertAlign w:val="baseline"/>
                <w:lang w:val="en-US" w:eastAsia="zh-CN"/>
              </w:rPr>
            </w:pPr>
            <w:r>
              <w:rPr>
                <w:rFonts w:hint="eastAsia" w:ascii="仿宋" w:hAnsi="仿宋" w:eastAsia="仿宋" w:cs="仿宋"/>
                <w:highlight w:val="none"/>
                <w:vertAlign w:val="baseline"/>
                <w:lang w:val="en-US" w:eastAsia="zh-CN"/>
              </w:rPr>
              <w:t>86</w:t>
            </w:r>
          </w:p>
        </w:tc>
        <w:tc>
          <w:tcPr>
            <w:tcW w:w="2097" w:type="dxa"/>
            <w:vAlign w:val="center"/>
          </w:tcPr>
          <w:p>
            <w:pPr>
              <w:pStyle w:val="8"/>
              <w:jc w:val="both"/>
              <w:rPr>
                <w:rFonts w:hint="eastAsia" w:ascii="仿宋" w:hAnsi="仿宋" w:eastAsia="仿宋" w:cs="仿宋"/>
                <w:highlight w:val="none"/>
                <w:vertAlign w:val="baseline"/>
              </w:rPr>
            </w:pPr>
            <w:r>
              <w:rPr>
                <w:rFonts w:hint="eastAsia" w:ascii="仿宋" w:hAnsi="仿宋" w:eastAsia="仿宋" w:cs="仿宋"/>
                <w:highlight w:val="none"/>
                <w:vertAlign w:val="baseline"/>
                <w:lang w:eastAsia="zh-CN"/>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9" w:type="dxa"/>
            <w:vAlign w:val="center"/>
          </w:tcPr>
          <w:p>
            <w:pPr>
              <w:pStyle w:val="8"/>
              <w:jc w:val="both"/>
              <w:rPr>
                <w:rFonts w:hint="default" w:ascii="仿宋" w:hAnsi="仿宋" w:eastAsia="仿宋" w:cs="仿宋"/>
                <w:i w:val="0"/>
                <w:color w:val="000000"/>
                <w:kern w:val="0"/>
                <w:sz w:val="32"/>
                <w:szCs w:val="32"/>
                <w:highlight w:val="none"/>
                <w:u w:val="none"/>
                <w:lang w:val="en-US" w:eastAsia="zh-CN" w:bidi="ar"/>
              </w:rPr>
            </w:pPr>
            <w:r>
              <w:rPr>
                <w:rFonts w:hint="eastAsia" w:ascii="仿宋" w:hAnsi="仿宋" w:eastAsia="仿宋" w:cs="仿宋"/>
                <w:i w:val="0"/>
                <w:color w:val="000000"/>
                <w:kern w:val="0"/>
                <w:sz w:val="32"/>
                <w:szCs w:val="32"/>
                <w:highlight w:val="none"/>
                <w:u w:val="none"/>
                <w:lang w:val="en-US" w:eastAsia="zh-CN" w:bidi="ar"/>
              </w:rPr>
              <w:t>数字统战平台建设费</w:t>
            </w:r>
          </w:p>
        </w:tc>
        <w:tc>
          <w:tcPr>
            <w:tcW w:w="2415" w:type="dxa"/>
            <w:vAlign w:val="center"/>
          </w:tcPr>
          <w:p>
            <w:pPr>
              <w:pStyle w:val="8"/>
              <w:jc w:val="both"/>
              <w:rPr>
                <w:rFonts w:hint="default" w:ascii="仿宋" w:hAnsi="仿宋" w:eastAsia="仿宋" w:cs="仿宋"/>
                <w:highlight w:val="none"/>
                <w:vertAlign w:val="baseline"/>
                <w:lang w:val="en-US" w:eastAsia="zh-CN"/>
              </w:rPr>
            </w:pPr>
            <w:r>
              <w:rPr>
                <w:rFonts w:hint="eastAsia" w:ascii="仿宋" w:hAnsi="仿宋" w:eastAsia="仿宋" w:cs="仿宋"/>
                <w:highlight w:val="none"/>
                <w:vertAlign w:val="baseline"/>
                <w:lang w:val="en-US" w:eastAsia="zh-CN"/>
              </w:rPr>
              <w:t>95</w:t>
            </w:r>
          </w:p>
        </w:tc>
        <w:tc>
          <w:tcPr>
            <w:tcW w:w="2097" w:type="dxa"/>
            <w:vAlign w:val="center"/>
          </w:tcPr>
          <w:p>
            <w:pPr>
              <w:pStyle w:val="8"/>
              <w:jc w:val="both"/>
              <w:rPr>
                <w:rFonts w:hint="default" w:ascii="仿宋" w:hAnsi="仿宋" w:eastAsia="仿宋" w:cs="仿宋"/>
                <w:highlight w:val="none"/>
                <w:vertAlign w:val="baseline"/>
                <w:lang w:val="en-US" w:eastAsia="zh-CN"/>
              </w:rPr>
            </w:pPr>
            <w:r>
              <w:rPr>
                <w:rFonts w:hint="eastAsia" w:ascii="仿宋" w:hAnsi="仿宋" w:eastAsia="仿宋" w:cs="仿宋"/>
                <w:highlight w:val="none"/>
                <w:vertAlign w:val="baseline"/>
                <w:lang w:val="en-US" w:eastAsia="zh-CN"/>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9" w:type="dxa"/>
            <w:vAlign w:val="center"/>
          </w:tcPr>
          <w:p>
            <w:pPr>
              <w:pStyle w:val="8"/>
              <w:jc w:val="both"/>
              <w:rPr>
                <w:rFonts w:hint="eastAsia" w:ascii="仿宋" w:hAnsi="仿宋" w:eastAsia="仿宋" w:cs="仿宋"/>
                <w:i w:val="0"/>
                <w:color w:val="000000"/>
                <w:kern w:val="0"/>
                <w:sz w:val="20"/>
                <w:szCs w:val="20"/>
                <w:highlight w:val="yellow"/>
                <w:u w:val="none"/>
                <w:lang w:val="en-US" w:eastAsia="zh-CN" w:bidi="ar"/>
              </w:rPr>
            </w:pPr>
            <w:r>
              <w:rPr>
                <w:rFonts w:hint="eastAsia" w:ascii="仿宋" w:hAnsi="仿宋" w:eastAsia="仿宋" w:cs="仿宋"/>
                <w:i w:val="0"/>
                <w:color w:val="000000"/>
                <w:kern w:val="0"/>
                <w:sz w:val="32"/>
                <w:szCs w:val="32"/>
                <w:highlight w:val="none"/>
                <w:u w:val="none"/>
                <w:lang w:val="en-US" w:eastAsia="zh-CN" w:bidi="ar"/>
              </w:rPr>
              <w:t>民族宗教工作专项经费</w:t>
            </w:r>
          </w:p>
        </w:tc>
        <w:tc>
          <w:tcPr>
            <w:tcW w:w="2415" w:type="dxa"/>
            <w:vAlign w:val="center"/>
          </w:tcPr>
          <w:p>
            <w:pPr>
              <w:pStyle w:val="8"/>
              <w:jc w:val="both"/>
              <w:rPr>
                <w:rFonts w:hint="default" w:ascii="仿宋" w:hAnsi="仿宋" w:eastAsia="仿宋" w:cs="仿宋"/>
                <w:highlight w:val="none"/>
                <w:vertAlign w:val="baseline"/>
                <w:lang w:val="en-US" w:eastAsia="zh-CN"/>
              </w:rPr>
            </w:pPr>
            <w:r>
              <w:rPr>
                <w:rFonts w:hint="eastAsia" w:ascii="仿宋" w:hAnsi="仿宋" w:eastAsia="仿宋" w:cs="仿宋"/>
                <w:highlight w:val="none"/>
                <w:vertAlign w:val="baseline"/>
                <w:lang w:val="en-US" w:eastAsia="zh-CN"/>
              </w:rPr>
              <w:t>96</w:t>
            </w:r>
          </w:p>
        </w:tc>
        <w:tc>
          <w:tcPr>
            <w:tcW w:w="2097" w:type="dxa"/>
            <w:vAlign w:val="center"/>
          </w:tcPr>
          <w:p>
            <w:pPr>
              <w:pStyle w:val="8"/>
              <w:jc w:val="both"/>
              <w:rPr>
                <w:rFonts w:hint="eastAsia" w:ascii="仿宋" w:hAnsi="仿宋" w:eastAsia="仿宋" w:cs="仿宋"/>
                <w:highlight w:val="none"/>
                <w:vertAlign w:val="baseline"/>
              </w:rPr>
            </w:pPr>
            <w:r>
              <w:rPr>
                <w:rFonts w:hint="eastAsia" w:ascii="仿宋" w:hAnsi="仿宋" w:eastAsia="仿宋" w:cs="仿宋"/>
                <w:highlight w:val="none"/>
                <w:vertAlign w:val="baseline"/>
                <w:lang w:eastAsia="zh-CN"/>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9" w:type="dxa"/>
            <w:vAlign w:val="center"/>
          </w:tcPr>
          <w:p>
            <w:pPr>
              <w:pStyle w:val="8"/>
              <w:jc w:val="both"/>
              <w:rPr>
                <w:rFonts w:hint="eastAsia" w:ascii="仿宋" w:hAnsi="仿宋" w:eastAsia="仿宋" w:cs="仿宋"/>
                <w:i w:val="0"/>
                <w:color w:val="000000"/>
                <w:kern w:val="0"/>
                <w:sz w:val="32"/>
                <w:szCs w:val="32"/>
                <w:highlight w:val="none"/>
                <w:u w:val="none"/>
                <w:lang w:val="en-US" w:eastAsia="zh-CN" w:bidi="ar"/>
              </w:rPr>
            </w:pPr>
            <w:r>
              <w:rPr>
                <w:rFonts w:hint="eastAsia" w:ascii="仿宋" w:hAnsi="仿宋" w:eastAsia="仿宋" w:cs="仿宋"/>
                <w:i w:val="0"/>
                <w:color w:val="000000"/>
                <w:kern w:val="0"/>
                <w:sz w:val="32"/>
                <w:szCs w:val="32"/>
                <w:highlight w:val="none"/>
                <w:u w:val="none"/>
                <w:lang w:val="en-US" w:eastAsia="zh-CN" w:bidi="ar"/>
              </w:rPr>
              <w:t>民主党派工作经费</w:t>
            </w:r>
          </w:p>
        </w:tc>
        <w:tc>
          <w:tcPr>
            <w:tcW w:w="2415" w:type="dxa"/>
            <w:vAlign w:val="center"/>
          </w:tcPr>
          <w:p>
            <w:pPr>
              <w:pStyle w:val="8"/>
              <w:jc w:val="both"/>
              <w:rPr>
                <w:rFonts w:hint="default" w:ascii="仿宋" w:hAnsi="仿宋" w:eastAsia="仿宋" w:cs="仿宋"/>
                <w:highlight w:val="none"/>
                <w:vertAlign w:val="baseline"/>
                <w:lang w:val="en-US" w:eastAsia="zh-CN"/>
              </w:rPr>
            </w:pPr>
            <w:r>
              <w:rPr>
                <w:rFonts w:hint="eastAsia" w:ascii="仿宋" w:hAnsi="仿宋" w:eastAsia="仿宋" w:cs="仿宋"/>
                <w:highlight w:val="none"/>
                <w:vertAlign w:val="baseline"/>
                <w:lang w:val="en-US" w:eastAsia="zh-CN"/>
              </w:rPr>
              <w:t>93</w:t>
            </w:r>
          </w:p>
        </w:tc>
        <w:tc>
          <w:tcPr>
            <w:tcW w:w="2097" w:type="dxa"/>
            <w:vAlign w:val="center"/>
          </w:tcPr>
          <w:p>
            <w:pPr>
              <w:pStyle w:val="8"/>
              <w:jc w:val="both"/>
              <w:rPr>
                <w:rFonts w:hint="eastAsia" w:ascii="仿宋" w:hAnsi="仿宋" w:eastAsia="仿宋" w:cs="仿宋"/>
                <w:highlight w:val="none"/>
                <w:vertAlign w:val="baseline"/>
              </w:rPr>
            </w:pPr>
            <w:r>
              <w:rPr>
                <w:rFonts w:hint="eastAsia" w:ascii="仿宋" w:hAnsi="仿宋" w:eastAsia="仿宋" w:cs="仿宋"/>
                <w:highlight w:val="none"/>
                <w:vertAlign w:val="baseline"/>
                <w:lang w:eastAsia="zh-CN"/>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9" w:type="dxa"/>
            <w:vAlign w:val="center"/>
          </w:tcPr>
          <w:p>
            <w:pPr>
              <w:pStyle w:val="8"/>
              <w:jc w:val="both"/>
              <w:rPr>
                <w:rFonts w:hint="eastAsia" w:ascii="仿宋" w:hAnsi="仿宋" w:eastAsia="仿宋" w:cs="仿宋"/>
                <w:i w:val="0"/>
                <w:color w:val="000000"/>
                <w:kern w:val="0"/>
                <w:sz w:val="32"/>
                <w:szCs w:val="32"/>
                <w:highlight w:val="none"/>
                <w:u w:val="none"/>
                <w:lang w:val="en-US" w:eastAsia="zh-CN" w:bidi="ar"/>
              </w:rPr>
            </w:pPr>
            <w:r>
              <w:rPr>
                <w:rFonts w:hint="eastAsia" w:ascii="仿宋" w:hAnsi="仿宋" w:eastAsia="仿宋" w:cs="仿宋"/>
                <w:i w:val="0"/>
                <w:color w:val="000000"/>
                <w:kern w:val="0"/>
                <w:sz w:val="32"/>
                <w:szCs w:val="32"/>
                <w:highlight w:val="none"/>
                <w:u w:val="none"/>
                <w:lang w:val="en-US" w:eastAsia="zh-CN" w:bidi="ar"/>
              </w:rPr>
              <w:t>退役军人公益岗工资</w:t>
            </w:r>
          </w:p>
        </w:tc>
        <w:tc>
          <w:tcPr>
            <w:tcW w:w="2415" w:type="dxa"/>
            <w:vAlign w:val="center"/>
          </w:tcPr>
          <w:p>
            <w:pPr>
              <w:pStyle w:val="8"/>
              <w:jc w:val="both"/>
              <w:rPr>
                <w:rFonts w:hint="default" w:ascii="仿宋" w:hAnsi="仿宋" w:eastAsia="仿宋" w:cs="仿宋"/>
                <w:highlight w:val="none"/>
                <w:vertAlign w:val="baseline"/>
                <w:lang w:val="en-US" w:eastAsia="zh-CN"/>
              </w:rPr>
            </w:pPr>
            <w:r>
              <w:rPr>
                <w:rFonts w:hint="eastAsia" w:ascii="仿宋" w:hAnsi="仿宋" w:eastAsia="仿宋" w:cs="仿宋"/>
                <w:highlight w:val="none"/>
                <w:vertAlign w:val="baseline"/>
                <w:lang w:val="en-US" w:eastAsia="zh-CN"/>
              </w:rPr>
              <w:t>100</w:t>
            </w:r>
          </w:p>
        </w:tc>
        <w:tc>
          <w:tcPr>
            <w:tcW w:w="2097" w:type="dxa"/>
            <w:vAlign w:val="center"/>
          </w:tcPr>
          <w:p>
            <w:pPr>
              <w:pStyle w:val="8"/>
              <w:jc w:val="both"/>
              <w:rPr>
                <w:rFonts w:hint="eastAsia" w:ascii="仿宋" w:hAnsi="仿宋" w:eastAsia="仿宋" w:cs="仿宋"/>
                <w:highlight w:val="none"/>
                <w:vertAlign w:val="baseline"/>
              </w:rPr>
            </w:pPr>
            <w:r>
              <w:rPr>
                <w:rFonts w:hint="eastAsia" w:ascii="仿宋" w:hAnsi="仿宋" w:eastAsia="仿宋" w:cs="仿宋"/>
                <w:highlight w:val="none"/>
                <w:vertAlign w:val="baseline"/>
                <w:lang w:eastAsia="zh-CN"/>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9" w:type="dxa"/>
            <w:vAlign w:val="center"/>
          </w:tcPr>
          <w:p>
            <w:pPr>
              <w:keepNext w:val="0"/>
              <w:keepLines w:val="0"/>
              <w:widowControl/>
              <w:suppressLineNumbers w:val="0"/>
              <w:jc w:val="left"/>
              <w:textAlignment w:val="center"/>
              <w:rPr>
                <w:rFonts w:hint="default" w:ascii="仿宋" w:hAnsi="仿宋" w:eastAsia="仿宋" w:cs="仿宋"/>
                <w:i w:val="0"/>
                <w:color w:val="000000"/>
                <w:kern w:val="0"/>
                <w:sz w:val="32"/>
                <w:szCs w:val="32"/>
                <w:highlight w:val="none"/>
                <w:u w:val="none"/>
                <w:lang w:val="en-US" w:eastAsia="zh-CN" w:bidi="ar"/>
              </w:rPr>
            </w:pPr>
            <w:r>
              <w:rPr>
                <w:rFonts w:hint="eastAsia" w:ascii="仿宋" w:hAnsi="仿宋" w:eastAsia="仿宋" w:cs="仿宋"/>
                <w:i w:val="0"/>
                <w:color w:val="000000"/>
                <w:kern w:val="0"/>
                <w:sz w:val="32"/>
                <w:szCs w:val="32"/>
                <w:highlight w:val="none"/>
                <w:u w:val="none"/>
                <w:lang w:val="en-US" w:eastAsia="zh-CN" w:bidi="ar"/>
              </w:rPr>
              <w:t>党外知识分子和新社会阶层人士统战工作经费</w:t>
            </w:r>
          </w:p>
        </w:tc>
        <w:tc>
          <w:tcPr>
            <w:tcW w:w="2415" w:type="dxa"/>
            <w:vAlign w:val="center"/>
          </w:tcPr>
          <w:p>
            <w:pPr>
              <w:pStyle w:val="8"/>
              <w:jc w:val="both"/>
              <w:rPr>
                <w:rFonts w:hint="default" w:ascii="仿宋" w:hAnsi="仿宋" w:eastAsia="仿宋" w:cs="仿宋"/>
                <w:highlight w:val="none"/>
                <w:vertAlign w:val="baseline"/>
                <w:lang w:val="en-US" w:eastAsia="zh-CN"/>
              </w:rPr>
            </w:pPr>
            <w:r>
              <w:rPr>
                <w:rFonts w:hint="eastAsia" w:ascii="仿宋" w:hAnsi="仿宋" w:eastAsia="仿宋" w:cs="仿宋"/>
                <w:highlight w:val="none"/>
                <w:vertAlign w:val="baseline"/>
                <w:lang w:val="en-US" w:eastAsia="zh-CN"/>
              </w:rPr>
              <w:t>93</w:t>
            </w:r>
          </w:p>
        </w:tc>
        <w:tc>
          <w:tcPr>
            <w:tcW w:w="2097" w:type="dxa"/>
            <w:vAlign w:val="center"/>
          </w:tcPr>
          <w:p>
            <w:pPr>
              <w:pStyle w:val="8"/>
              <w:jc w:val="both"/>
              <w:rPr>
                <w:rFonts w:hint="eastAsia" w:ascii="仿宋" w:hAnsi="仿宋" w:eastAsia="仿宋" w:cs="仿宋"/>
                <w:highlight w:val="none"/>
                <w:vertAlign w:val="baseline"/>
              </w:rPr>
            </w:pPr>
            <w:r>
              <w:rPr>
                <w:rFonts w:hint="eastAsia" w:ascii="仿宋" w:hAnsi="仿宋" w:eastAsia="仿宋" w:cs="仿宋"/>
                <w:highlight w:val="none"/>
                <w:vertAlign w:val="baseline"/>
                <w:lang w:eastAsia="zh-CN"/>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9" w:type="dxa"/>
            <w:vAlign w:val="center"/>
          </w:tcPr>
          <w:p>
            <w:pPr>
              <w:keepNext w:val="0"/>
              <w:keepLines w:val="0"/>
              <w:widowControl/>
              <w:suppressLineNumbers w:val="0"/>
              <w:jc w:val="left"/>
              <w:textAlignment w:val="center"/>
              <w:rPr>
                <w:rFonts w:hint="eastAsia" w:ascii="仿宋" w:hAnsi="仿宋" w:eastAsia="仿宋" w:cs="仿宋"/>
                <w:i w:val="0"/>
                <w:color w:val="000000"/>
                <w:kern w:val="0"/>
                <w:sz w:val="32"/>
                <w:szCs w:val="32"/>
                <w:highlight w:val="none"/>
                <w:u w:val="none"/>
                <w:lang w:val="en-US" w:eastAsia="zh-CN" w:bidi="ar"/>
              </w:rPr>
            </w:pPr>
            <w:r>
              <w:rPr>
                <w:rFonts w:hint="eastAsia" w:ascii="仿宋" w:hAnsi="仿宋" w:eastAsia="仿宋" w:cs="仿宋"/>
                <w:i w:val="0"/>
                <w:color w:val="000000"/>
                <w:kern w:val="0"/>
                <w:sz w:val="28"/>
                <w:szCs w:val="28"/>
                <w:highlight w:val="none"/>
                <w:u w:val="none"/>
                <w:lang w:val="en-US" w:eastAsia="zh-CN" w:bidi="ar"/>
              </w:rPr>
              <w:t>下达2024年市级宗教工作补助经费</w:t>
            </w:r>
          </w:p>
        </w:tc>
        <w:tc>
          <w:tcPr>
            <w:tcW w:w="2415" w:type="dxa"/>
            <w:vAlign w:val="center"/>
          </w:tcPr>
          <w:p>
            <w:pPr>
              <w:pStyle w:val="8"/>
              <w:jc w:val="both"/>
              <w:rPr>
                <w:rFonts w:hint="default" w:ascii="仿宋" w:hAnsi="仿宋" w:eastAsia="仿宋" w:cs="仿宋"/>
                <w:highlight w:val="none"/>
                <w:vertAlign w:val="baseline"/>
                <w:lang w:val="en-US" w:eastAsia="zh-CN"/>
              </w:rPr>
            </w:pPr>
            <w:r>
              <w:rPr>
                <w:rFonts w:hint="eastAsia" w:ascii="仿宋" w:hAnsi="仿宋" w:eastAsia="仿宋" w:cs="仿宋"/>
                <w:highlight w:val="none"/>
                <w:vertAlign w:val="baseline"/>
                <w:lang w:val="en-US" w:eastAsia="zh-CN"/>
              </w:rPr>
              <w:t>90</w:t>
            </w:r>
          </w:p>
        </w:tc>
        <w:tc>
          <w:tcPr>
            <w:tcW w:w="2097" w:type="dxa"/>
            <w:vAlign w:val="center"/>
          </w:tcPr>
          <w:p>
            <w:pPr>
              <w:pStyle w:val="8"/>
              <w:jc w:val="both"/>
              <w:rPr>
                <w:rFonts w:hint="eastAsia" w:ascii="仿宋" w:hAnsi="仿宋" w:eastAsia="仿宋" w:cs="仿宋"/>
                <w:highlight w:val="none"/>
                <w:vertAlign w:val="baseline"/>
              </w:rPr>
            </w:pPr>
            <w:r>
              <w:rPr>
                <w:rFonts w:hint="eastAsia" w:ascii="仿宋" w:hAnsi="仿宋" w:eastAsia="仿宋" w:cs="仿宋"/>
                <w:highlight w:val="none"/>
                <w:vertAlign w:val="baseline"/>
                <w:lang w:eastAsia="zh-CN"/>
              </w:rPr>
              <w:t>优秀</w:t>
            </w:r>
          </w:p>
        </w:tc>
      </w:tr>
    </w:tbl>
    <w:p>
      <w:pPr>
        <w:spacing w:line="560" w:lineRule="exact"/>
        <w:ind w:firstLine="640" w:firstLineChars="200"/>
        <w:jc w:val="both"/>
        <w:rPr>
          <w:rFonts w:hint="default" w:ascii="黑体" w:hAnsi="黑体" w:eastAsia="黑体"/>
          <w:sz w:val="32"/>
          <w:szCs w:val="32"/>
          <w:lang w:val="en-US" w:eastAsia="zh-CN"/>
        </w:rPr>
      </w:pPr>
      <w:r>
        <w:rPr>
          <w:rFonts w:hint="eastAsia" w:ascii="黑体" w:hAnsi="黑体" w:eastAsia="黑体"/>
          <w:sz w:val="32"/>
          <w:szCs w:val="32"/>
          <w:lang w:val="en-US" w:eastAsia="zh-CN"/>
        </w:rPr>
        <w:t>五、存在的问题及改进措施</w:t>
      </w:r>
    </w:p>
    <w:p>
      <w:pPr>
        <w:spacing w:line="560" w:lineRule="exact"/>
        <w:ind w:firstLine="640" w:firstLineChars="200"/>
        <w:jc w:val="both"/>
        <w:rPr>
          <w:rFonts w:hint="eastAsia" w:ascii="楷体" w:hAnsi="楷体" w:eastAsia="楷体"/>
          <w:bCs/>
          <w:sz w:val="32"/>
          <w:szCs w:val="32"/>
        </w:rPr>
      </w:pPr>
      <w:r>
        <w:rPr>
          <w:rFonts w:hint="eastAsia" w:ascii="楷体" w:hAnsi="楷体" w:eastAsia="楷体"/>
          <w:bCs/>
          <w:sz w:val="32"/>
          <w:szCs w:val="32"/>
        </w:rPr>
        <w:t>（一）存在的主要问题</w:t>
      </w:r>
    </w:p>
    <w:p>
      <w:pPr>
        <w:widowControl w:val="0"/>
        <w:wordWrap/>
        <w:adjustRightInd/>
        <w:snapToGrid w:val="0"/>
        <w:spacing w:line="560" w:lineRule="exact"/>
        <w:ind w:left="0" w:leftChars="0" w:right="0" w:firstLine="640" w:firstLineChars="200"/>
        <w:jc w:val="both"/>
        <w:textAlignment w:val="auto"/>
        <w:outlineLvl w:val="9"/>
        <w:rPr>
          <w:rFonts w:hint="eastAsia" w:ascii="仿宋" w:hAnsi="仿宋" w:eastAsia="仿宋" w:cs="仿宋"/>
          <w:sz w:val="32"/>
          <w:szCs w:val="32"/>
          <w:lang w:val="en-US" w:eastAsia="zh-CN"/>
        </w:rPr>
      </w:pPr>
      <w:bookmarkStart w:id="5" w:name="OLE_LINK5"/>
      <w:r>
        <w:rPr>
          <w:rFonts w:hint="eastAsia" w:ascii="仿宋" w:hAnsi="仿宋" w:eastAsia="仿宋" w:cs="仿宋"/>
          <w:sz w:val="32"/>
          <w:szCs w:val="32"/>
          <w:lang w:val="en-US" w:eastAsia="zh-CN"/>
        </w:rPr>
        <w:t>1.个别项目预算执行率未达到100%。</w:t>
      </w:r>
    </w:p>
    <w:p>
      <w:pPr>
        <w:widowControl w:val="0"/>
        <w:wordWrap/>
        <w:adjustRightInd/>
        <w:snapToGrid w:val="0"/>
        <w:spacing w:line="560" w:lineRule="exact"/>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2.工作统筹规划不足，前瞻性不够。</w:t>
      </w:r>
    </w:p>
    <w:p>
      <w:pPr>
        <w:widowControl w:val="0"/>
        <w:wordWrap/>
        <w:adjustRightInd/>
        <w:snapToGrid w:val="0"/>
        <w:spacing w:line="560" w:lineRule="exact"/>
        <w:ind w:left="0" w:leftChars="0" w:right="0" w:firstLine="640" w:firstLineChars="200"/>
        <w:jc w:val="both"/>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3.细节把控不严，部分工作存在粗心疏漏。</w:t>
      </w:r>
    </w:p>
    <w:bookmarkEnd w:id="5"/>
    <w:p>
      <w:pPr>
        <w:spacing w:line="560" w:lineRule="exact"/>
        <w:ind w:firstLine="640" w:firstLineChars="200"/>
        <w:jc w:val="both"/>
        <w:rPr>
          <w:rFonts w:hint="eastAsia" w:ascii="楷体" w:hAnsi="楷体" w:eastAsia="楷体"/>
          <w:bCs/>
          <w:sz w:val="32"/>
          <w:szCs w:val="32"/>
          <w:lang w:val="en-US" w:eastAsia="zh-CN"/>
        </w:rPr>
      </w:pPr>
      <w:r>
        <w:rPr>
          <w:rFonts w:hint="eastAsia" w:ascii="楷体" w:hAnsi="楷体" w:eastAsia="楷体"/>
          <w:bCs/>
          <w:sz w:val="32"/>
          <w:szCs w:val="32"/>
          <w:lang w:val="en-US" w:eastAsia="zh-CN"/>
        </w:rPr>
        <w:t>（二）针对问题提出具体的改进措施或建议</w:t>
      </w:r>
    </w:p>
    <w:p>
      <w:pPr>
        <w:widowControl w:val="0"/>
        <w:wordWrap/>
        <w:adjustRightInd/>
        <w:snapToGrid w:val="0"/>
        <w:spacing w:line="560" w:lineRule="exact"/>
        <w:ind w:left="0" w:leftChars="0" w:right="0" w:firstLine="640" w:firstLineChars="200"/>
        <w:jc w:val="both"/>
        <w:textAlignment w:val="auto"/>
        <w:outlineLvl w:val="9"/>
        <w:rPr>
          <w:rFonts w:ascii="仿宋" w:hAnsi="仿宋" w:eastAsia="仿宋"/>
        </w:rPr>
      </w:pPr>
      <w:bookmarkStart w:id="6" w:name="OLE_LINK6"/>
      <w:r>
        <w:rPr>
          <w:rFonts w:hint="eastAsia" w:ascii="仿宋" w:hAnsi="仿宋" w:eastAsia="仿宋" w:cs="仿宋"/>
          <w:sz w:val="32"/>
          <w:szCs w:val="32"/>
          <w:lang w:val="en-US" w:eastAsia="zh-CN"/>
        </w:rPr>
        <w:t>1.合理制定工作计划，分清轻重缓急，提前梳理工作节点，主动靠前落实，提高财政资金使用效益。</w:t>
      </w:r>
    </w:p>
    <w:p>
      <w:pPr>
        <w:widowControl w:val="0"/>
        <w:wordWrap/>
        <w:adjustRightInd/>
        <w:snapToGrid w:val="0"/>
        <w:spacing w:line="560" w:lineRule="exact"/>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2.进一步加强绩效运行监控，采取项目跟踪、数据核查和汇总分析等方式，动态了解和掌握项目绩效目标实现程度、资金支出进度和项目实施进度。</w:t>
      </w:r>
    </w:p>
    <w:p>
      <w:pPr>
        <w:widowControl w:val="0"/>
        <w:wordWrap/>
        <w:adjustRightInd/>
        <w:snapToGrid w:val="0"/>
        <w:spacing w:line="560" w:lineRule="exact"/>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3.对评价中发现的问题及时整改，确保绩效目标如期保质实现。</w:t>
      </w:r>
    </w:p>
    <w:p>
      <w:pPr>
        <w:widowControl w:val="0"/>
        <w:wordWrap/>
        <w:adjustRightInd/>
        <w:snapToGrid w:val="0"/>
        <w:spacing w:line="560" w:lineRule="exact"/>
        <w:ind w:left="0" w:leftChars="0" w:right="0" w:firstLine="640" w:firstLineChars="200"/>
        <w:jc w:val="both"/>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w:t>
      </w:r>
      <w:bookmarkEnd w:id="6"/>
      <w:r>
        <w:rPr>
          <w:rFonts w:hint="eastAsia" w:ascii="仿宋" w:hAnsi="仿宋" w:eastAsia="仿宋" w:cs="仿宋"/>
          <w:sz w:val="32"/>
          <w:szCs w:val="32"/>
          <w:lang w:val="en-US" w:eastAsia="zh-CN"/>
        </w:rPr>
        <w:t>强化细节管控，做完及时自查复核，常态化复盘反思，杜绝重复犯错。</w:t>
      </w:r>
    </w:p>
    <w:sectPr>
      <w:footerReference r:id="rId3" w:type="default"/>
      <w:pgSz w:w="11906" w:h="16838"/>
      <w:pgMar w:top="1440" w:right="1474" w:bottom="1440"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roman"/>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4098" o:spid="_x0000_s4098" o:spt="202" type="#_x0000_t202" style="position:absolute;left:0pt;margin-top:0pt;height:144pt;width:144pt;mso-position-horizontal:center;mso-position-horizontal-relative:margin;mso-wrap-style:none;z-index:251659264;mso-width-relative:page;mso-height-relative:page;" filled="f" o:preferrelative="t" stroked="f" coordsize="21600,21600">
          <v:path/>
          <v:fill on="f" focussize="0,0"/>
          <v:stroke on="f"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16AA81"/>
    <w:multiLevelType w:val="singleLevel"/>
    <w:tmpl w:val="0516AA81"/>
    <w:lvl w:ilvl="0" w:tentative="0">
      <w:start w:val="2"/>
      <w:numFmt w:val="chineseCounting"/>
      <w:suff w:val="nothing"/>
      <w:lvlText w:val="（%1）"/>
      <w:lvlJc w:val="left"/>
      <w:pPr>
        <w:ind w:left="642" w:firstLine="0"/>
      </w:pPr>
      <w:rPr>
        <w:rFonts w:hint="eastAsia"/>
      </w:rPr>
    </w:lvl>
  </w:abstractNum>
  <w:abstractNum w:abstractNumId="1">
    <w:nsid w:val="075D3313"/>
    <w:multiLevelType w:val="singleLevel"/>
    <w:tmpl w:val="075D3313"/>
    <w:lvl w:ilvl="0" w:tentative="0">
      <w:start w:val="2"/>
      <w:numFmt w:val="chineseCounting"/>
      <w:suff w:val="nothing"/>
      <w:lvlText w:val="（%1）"/>
      <w:lvlJc w:val="left"/>
      <w:rPr>
        <w:rFonts w:hint="eastAsia"/>
      </w:rPr>
    </w:lvl>
  </w:abstractNum>
  <w:abstractNum w:abstractNumId="2">
    <w:nsid w:val="34E301D6"/>
    <w:multiLevelType w:val="singleLevel"/>
    <w:tmpl w:val="34E301D6"/>
    <w:lvl w:ilvl="0" w:tentative="0">
      <w:start w:val="2"/>
      <w:numFmt w:val="decimal"/>
      <w:suff w:val="nothing"/>
      <w:lvlText w:val="%1、"/>
      <w:lvlJc w:val="left"/>
    </w:lvl>
  </w:abstractNum>
  <w:abstractNum w:abstractNumId="3">
    <w:nsid w:val="5E68489B"/>
    <w:multiLevelType w:val="singleLevel"/>
    <w:tmpl w:val="5E68489B"/>
    <w:lvl w:ilvl="0" w:tentative="0">
      <w:start w:val="1"/>
      <w:numFmt w:val="chineseCounting"/>
      <w:suff w:val="nothing"/>
      <w:lvlText w:val="（%1）"/>
      <w:lvlJc w:val="left"/>
      <w:rPr>
        <w:rFonts w:ascii="楷体" w:hAnsi="楷体" w:eastAsia="楷体"/>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DZmM2U0ZmM2OTZmZDE4YTNkNDJmOGNhM2E0YmNiODAifQ=="/>
  </w:docVars>
  <w:rsids>
    <w:rsidRoot w:val="0EBD2122"/>
    <w:rsid w:val="000B0260"/>
    <w:rsid w:val="00566EC5"/>
    <w:rsid w:val="007E6C1F"/>
    <w:rsid w:val="00956A93"/>
    <w:rsid w:val="009E575C"/>
    <w:rsid w:val="00AF167E"/>
    <w:rsid w:val="00AF566A"/>
    <w:rsid w:val="00B478EA"/>
    <w:rsid w:val="00B6553A"/>
    <w:rsid w:val="00BC6576"/>
    <w:rsid w:val="00CE06BA"/>
    <w:rsid w:val="00F441CC"/>
    <w:rsid w:val="013E7870"/>
    <w:rsid w:val="01B104CA"/>
    <w:rsid w:val="02106AB0"/>
    <w:rsid w:val="02B43A28"/>
    <w:rsid w:val="02BA7CF6"/>
    <w:rsid w:val="02E868BB"/>
    <w:rsid w:val="046F331E"/>
    <w:rsid w:val="05EA4BBF"/>
    <w:rsid w:val="060F3D97"/>
    <w:rsid w:val="07956271"/>
    <w:rsid w:val="09721397"/>
    <w:rsid w:val="09F720AC"/>
    <w:rsid w:val="0BA454A2"/>
    <w:rsid w:val="0BB63BED"/>
    <w:rsid w:val="0C9D677C"/>
    <w:rsid w:val="0D857B72"/>
    <w:rsid w:val="0E3619E8"/>
    <w:rsid w:val="0EB97A43"/>
    <w:rsid w:val="0EBD2122"/>
    <w:rsid w:val="0F214EAE"/>
    <w:rsid w:val="0FB878C8"/>
    <w:rsid w:val="0FD057C2"/>
    <w:rsid w:val="106D2640"/>
    <w:rsid w:val="11296BD3"/>
    <w:rsid w:val="11B71E6A"/>
    <w:rsid w:val="11F637F7"/>
    <w:rsid w:val="12B80D06"/>
    <w:rsid w:val="12CE651F"/>
    <w:rsid w:val="12D53866"/>
    <w:rsid w:val="14F12106"/>
    <w:rsid w:val="17D64FA3"/>
    <w:rsid w:val="18BF4F1D"/>
    <w:rsid w:val="18C669A0"/>
    <w:rsid w:val="19694CBC"/>
    <w:rsid w:val="1A440622"/>
    <w:rsid w:val="1AAF0063"/>
    <w:rsid w:val="1B283ED2"/>
    <w:rsid w:val="1BE140DE"/>
    <w:rsid w:val="1D3E0693"/>
    <w:rsid w:val="1DAA14B9"/>
    <w:rsid w:val="1F3507CD"/>
    <w:rsid w:val="20851240"/>
    <w:rsid w:val="20DD7547"/>
    <w:rsid w:val="218B6973"/>
    <w:rsid w:val="22560183"/>
    <w:rsid w:val="248C197D"/>
    <w:rsid w:val="24904E29"/>
    <w:rsid w:val="252959AF"/>
    <w:rsid w:val="25D77FC8"/>
    <w:rsid w:val="27246F92"/>
    <w:rsid w:val="277A6671"/>
    <w:rsid w:val="2826006E"/>
    <w:rsid w:val="292D35B7"/>
    <w:rsid w:val="29BB384C"/>
    <w:rsid w:val="2ACB417F"/>
    <w:rsid w:val="2B204A27"/>
    <w:rsid w:val="2C037EE2"/>
    <w:rsid w:val="2C5719C4"/>
    <w:rsid w:val="2CF03080"/>
    <w:rsid w:val="2F000B4F"/>
    <w:rsid w:val="2F3F5AB6"/>
    <w:rsid w:val="2FC96480"/>
    <w:rsid w:val="311E57A3"/>
    <w:rsid w:val="315058D8"/>
    <w:rsid w:val="31A576C9"/>
    <w:rsid w:val="32817910"/>
    <w:rsid w:val="32E4768D"/>
    <w:rsid w:val="32F816F2"/>
    <w:rsid w:val="337A619E"/>
    <w:rsid w:val="33EB6CFF"/>
    <w:rsid w:val="343B071D"/>
    <w:rsid w:val="35A12947"/>
    <w:rsid w:val="37387040"/>
    <w:rsid w:val="389F139F"/>
    <w:rsid w:val="3A307AF2"/>
    <w:rsid w:val="3B625C0A"/>
    <w:rsid w:val="3C1714A8"/>
    <w:rsid w:val="3CEE1963"/>
    <w:rsid w:val="3D6029C0"/>
    <w:rsid w:val="3DA150C3"/>
    <w:rsid w:val="3DB5660F"/>
    <w:rsid w:val="3E82279D"/>
    <w:rsid w:val="403558E9"/>
    <w:rsid w:val="403769F4"/>
    <w:rsid w:val="42E80B9C"/>
    <w:rsid w:val="436B78D3"/>
    <w:rsid w:val="43CC6427"/>
    <w:rsid w:val="461B60BF"/>
    <w:rsid w:val="485B097E"/>
    <w:rsid w:val="488D3490"/>
    <w:rsid w:val="4AE504B9"/>
    <w:rsid w:val="4B7919E0"/>
    <w:rsid w:val="4C9C27FE"/>
    <w:rsid w:val="4D561B21"/>
    <w:rsid w:val="4D9D4EC7"/>
    <w:rsid w:val="4DCB237A"/>
    <w:rsid w:val="4E120129"/>
    <w:rsid w:val="4EF0512D"/>
    <w:rsid w:val="4F515F9F"/>
    <w:rsid w:val="512260B4"/>
    <w:rsid w:val="513828F7"/>
    <w:rsid w:val="52BD6ACB"/>
    <w:rsid w:val="535B15B5"/>
    <w:rsid w:val="54111A16"/>
    <w:rsid w:val="55385E73"/>
    <w:rsid w:val="55537534"/>
    <w:rsid w:val="561A74F1"/>
    <w:rsid w:val="5661006B"/>
    <w:rsid w:val="56A83229"/>
    <w:rsid w:val="58EC27F2"/>
    <w:rsid w:val="5911133B"/>
    <w:rsid w:val="59145F35"/>
    <w:rsid w:val="597244E8"/>
    <w:rsid w:val="598F2A90"/>
    <w:rsid w:val="5A9346BE"/>
    <w:rsid w:val="5D965719"/>
    <w:rsid w:val="5E6747C3"/>
    <w:rsid w:val="5EB71C30"/>
    <w:rsid w:val="5F5C1187"/>
    <w:rsid w:val="609F3D37"/>
    <w:rsid w:val="6218439E"/>
    <w:rsid w:val="62F56DC5"/>
    <w:rsid w:val="6331344C"/>
    <w:rsid w:val="63781452"/>
    <w:rsid w:val="64C31C21"/>
    <w:rsid w:val="650136CD"/>
    <w:rsid w:val="65F32C4F"/>
    <w:rsid w:val="66AB239D"/>
    <w:rsid w:val="66AF0CE5"/>
    <w:rsid w:val="6841330B"/>
    <w:rsid w:val="690E628B"/>
    <w:rsid w:val="69E653D0"/>
    <w:rsid w:val="6AC537CF"/>
    <w:rsid w:val="6CFC46B8"/>
    <w:rsid w:val="6D011153"/>
    <w:rsid w:val="6D6B1AAA"/>
    <w:rsid w:val="6E5B14A6"/>
    <w:rsid w:val="6FA73DAD"/>
    <w:rsid w:val="6FA851FF"/>
    <w:rsid w:val="711B255E"/>
    <w:rsid w:val="71796D64"/>
    <w:rsid w:val="737C3A67"/>
    <w:rsid w:val="74024A8F"/>
    <w:rsid w:val="75E152A0"/>
    <w:rsid w:val="79F755D4"/>
    <w:rsid w:val="7A097B4B"/>
    <w:rsid w:val="7A1712DC"/>
    <w:rsid w:val="7A4F013F"/>
    <w:rsid w:val="7AD642BD"/>
    <w:rsid w:val="7AE30A5B"/>
    <w:rsid w:val="7B457BB6"/>
    <w:rsid w:val="7BB51E06"/>
    <w:rsid w:val="7C1A3A23"/>
    <w:rsid w:val="7C387F7C"/>
    <w:rsid w:val="7E19381F"/>
    <w:rsid w:val="7E4D74AA"/>
    <w:rsid w:val="7E8A5B15"/>
    <w:rsid w:val="7E9A1DC5"/>
    <w:rsid w:val="7EBD0F17"/>
    <w:rsid w:val="7F974A36"/>
    <w:rsid w:val="7FB63357"/>
    <w:rsid w:val="7FE83423"/>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无间隔1"/>
    <w:basedOn w:val="1"/>
    <w:qFormat/>
    <w:uiPriority w:val="0"/>
    <w:rPr>
      <w:rFonts w:ascii="宋体" w:hAnsi="宋体" w:eastAsia="仿宋_GB2312"/>
      <w:sz w:val="32"/>
      <w:szCs w:val="32"/>
    </w:rPr>
  </w:style>
  <w:style w:type="paragraph" w:customStyle="1" w:styleId="9">
    <w:name w:val="插入文本样式-插入部门职责文件"/>
    <w:basedOn w:val="1"/>
    <w:qFormat/>
    <w:uiPriority w:val="0"/>
    <w:pPr>
      <w:spacing w:line="500" w:lineRule="exact"/>
      <w:ind w:firstLine="560"/>
    </w:pPr>
    <w:rPr>
      <w:rFonts w:eastAsia="方正仿宋_GBK"/>
      <w:sz w:val="28"/>
    </w:rPr>
  </w:style>
  <w:style w:type="paragraph" w:customStyle="1" w:styleId="10">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1">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2">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3">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4">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5">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6">
    <w:name w:val="插入文本样式-插入实现年度发展规划目标的保障措施文件"/>
    <w:basedOn w:val="1"/>
    <w:qFormat/>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100</Words>
  <Characters>570</Characters>
  <Lines>4</Lines>
  <Paragraphs>1</Paragraphs>
  <TotalTime>69</TotalTime>
  <ScaleCrop>false</ScaleCrop>
  <LinksUpToDate>false</LinksUpToDate>
  <CharactersWithSpaces>669</CharactersWithSpaces>
  <Application>WPS Office_11.8.2.12092_F1E327BC-269C-435d-A152-05C5408002CA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2020-02-04T03:46:00Z</dcterms:created>
  <dc:creator>欣欣大人</dc:creator>
  <cp:lastModifiedBy>Lenovo</cp:lastModifiedBy>
  <cp:lastPrinted>2024-04-25T07:53:00Z</cp:lastPrinted>
  <dcterms:modified xsi:type="dcterms:W3CDTF">2026-09-15T02:54:00Z</dcterms:modified>
  <dc:title>附件3：</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2052-11.8.2.12092</vt:lpwstr>
  </property>
  <property fmtid="{D5CDD505-2E9C-101B-9397-08002B2CF9AE}" pid="3" name="ICV">
    <vt:lpwstr>96934721B1514D3FBAA28020338CE855_12</vt:lpwstr>
  </property>
</Properties>
</file>