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黑体" w:hAnsi="黑体" w:eastAsia="黑体"/>
          <w:sz w:val="32"/>
          <w:szCs w:val="32"/>
        </w:rPr>
      </w:pPr>
      <w:r>
        <w:rPr>
          <w:rFonts w:hint="eastAsia" w:ascii="黑体" w:hAnsi="黑体" w:eastAsia="黑体"/>
          <w:sz w:val="32"/>
          <w:szCs w:val="32"/>
        </w:rPr>
        <w:t>附件3</w:t>
      </w:r>
    </w:p>
    <w:p>
      <w:pPr>
        <w:spacing w:line="560" w:lineRule="exact"/>
        <w:jc w:val="center"/>
        <w:rPr>
          <w:rFonts w:ascii="宋体" w:hAnsi="宋体" w:cs="宋体"/>
          <w:b/>
          <w:bCs/>
          <w:sz w:val="44"/>
          <w:szCs w:val="44"/>
        </w:rPr>
      </w:pPr>
    </w:p>
    <w:p>
      <w:pPr>
        <w:spacing w:line="560" w:lineRule="exact"/>
        <w:jc w:val="center"/>
        <w:rPr>
          <w:rFonts w:hint="eastAsia" w:ascii="方正小标宋简体" w:hAnsi="方正小标宋简体" w:eastAsia="方正小标宋简体" w:cs="方正小标宋简体"/>
          <w:b/>
          <w:bCs/>
          <w:color w:val="auto"/>
          <w:sz w:val="44"/>
          <w:szCs w:val="44"/>
        </w:rPr>
      </w:pPr>
      <w:r>
        <w:rPr>
          <w:rFonts w:hint="eastAsia" w:ascii="方正小标宋简体" w:hAnsi="方正小标宋简体" w:eastAsia="方正小标宋简体" w:cs="方正小标宋简体"/>
          <w:b/>
          <w:bCs/>
          <w:color w:val="auto"/>
          <w:kern w:val="0"/>
          <w:sz w:val="44"/>
          <w:szCs w:val="44"/>
          <w:lang w:eastAsia="zh-CN"/>
        </w:rPr>
        <w:t>石家庄市鹿泉区应急管理局</w:t>
      </w:r>
    </w:p>
    <w:p>
      <w:pPr>
        <w:spacing w:line="560" w:lineRule="exact"/>
        <w:jc w:val="center"/>
        <w:rPr>
          <w:rFonts w:ascii="宋体" w:hAnsi="宋体" w:cs="宋体"/>
          <w:b/>
          <w:bCs/>
          <w:sz w:val="44"/>
          <w:szCs w:val="44"/>
        </w:rPr>
      </w:pPr>
      <w:r>
        <w:rPr>
          <w:rFonts w:hint="eastAsia" w:ascii="方正小标宋简体" w:hAnsi="方正小标宋简体" w:eastAsia="方正小标宋简体" w:cs="方正小标宋简体"/>
          <w:b/>
          <w:bCs/>
          <w:sz w:val="44"/>
          <w:szCs w:val="44"/>
        </w:rPr>
        <w:t>202</w:t>
      </w:r>
      <w:r>
        <w:rPr>
          <w:rFonts w:hint="eastAsia" w:ascii="方正小标宋简体" w:hAnsi="方正小标宋简体" w:eastAsia="方正小标宋简体" w:cs="方正小标宋简体"/>
          <w:b/>
          <w:bCs/>
          <w:sz w:val="44"/>
          <w:szCs w:val="44"/>
          <w:lang w:val="en-US" w:eastAsia="zh-CN"/>
        </w:rPr>
        <w:t>5</w:t>
      </w:r>
      <w:r>
        <w:rPr>
          <w:rFonts w:hint="eastAsia" w:ascii="方正小标宋简体" w:hAnsi="方正小标宋简体" w:eastAsia="方正小标宋简体" w:cs="方正小标宋简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贯彻落实石家庄市鹿泉区人民政府《关于全面实施预算绩效管理的实施意见》（鹿发〔2019〕8号）文件精神，遵循“科学性、规范性、客观性和公正性”的原则，对</w:t>
      </w:r>
      <w:r>
        <w:rPr>
          <w:rFonts w:hint="eastAsia" w:ascii="仿宋_GB2312" w:hAnsi="仿宋_GB2312" w:eastAsia="仿宋_GB2312" w:cs="仿宋_GB2312"/>
          <w:color w:val="auto"/>
          <w:kern w:val="2"/>
          <w:sz w:val="32"/>
          <w:szCs w:val="32"/>
          <w:lang w:val="en-US" w:eastAsia="zh-CN" w:bidi="ar"/>
        </w:rPr>
        <w:t>石家庄市鹿泉区应急管理局</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年整体支出情况实施了财政支出绩效自评价，形成本评价报告。</w:t>
      </w:r>
    </w:p>
    <w:p>
      <w:pPr>
        <w:numPr>
          <w:ilvl w:val="0"/>
          <w:numId w:val="1"/>
        </w:numPr>
        <w:adjustRightInd w:val="0"/>
        <w:snapToGrid w:val="0"/>
        <w:spacing w:line="560" w:lineRule="exact"/>
        <w:ind w:left="0" w:leftChars="0"/>
        <w:jc w:val="both"/>
        <w:rPr>
          <w:rFonts w:hint="eastAsia" w:ascii="黑体" w:hAnsi="黑体" w:eastAsia="黑体" w:cs="黑体"/>
          <w:sz w:val="32"/>
          <w:szCs w:val="32"/>
        </w:rPr>
      </w:pPr>
      <w:r>
        <w:rPr>
          <w:rFonts w:hint="eastAsia" w:ascii="黑体" w:hAnsi="黑体" w:eastAsia="黑体" w:cs="黑体"/>
          <w:sz w:val="32"/>
          <w:szCs w:val="32"/>
        </w:rPr>
        <w:t>部门基本情况</w:t>
      </w:r>
    </w:p>
    <w:p>
      <w:pPr>
        <w:numPr>
          <w:numId w:val="0"/>
        </w:numPr>
        <w:adjustRightInd w:val="0"/>
        <w:snapToGrid w:val="0"/>
        <w:spacing w:line="560" w:lineRule="exact"/>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（一）部门概况</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根据《石家庄市鹿泉区应急管理局职能配置、内设机构和人员编制规定》， 石家庄市鹿泉区应急管理局的主要职责是：</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1.负责应急管理工作。指导全区各级各部门应对安全生产类、自然灾害类等突发事件和综合防灾减灾救灾工作；负责安全生产综合监督管理和工矿商贸行业安全生产监督管理工作。</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2.拟订应急管理、安全生产等工作规定，组织编制区应急体系建设、安全生产和综合防灾减灾规划，执行上级地方性法规和政府规章，组织制定相关具体规程并监督实施。</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3.负责应急预案体系建设，落实完善事故灾难和自然灾害分级应对制度，组织编制区总体应急预案和安全生产类、自然灾害类专项预案，综合协调应急预案衔接工作，组织开展预案演练，推动应急避难设施建设。</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4.与国家和省、市系统对接，建立完善全区应急管理信息系统，负责管辖范围内的信息传输渠道的规划和布局；建立监测预警和灾情报告制度，健全自然灾害信息资源获取和共享机制，依法统一发布灾情。</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5.组织协调安全生产类、自然灾害类等突发事件应急救援，综合研判突发事件发展态势并提出应对建议，协助区委、区政府指定的负责同志组织重大灾害应急处置工作。</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6.统一协调指挥各类应急专业队伍，建立应急协调联动机制，推进指挥平台对接，衔接驻鹿部队参与应急救援工作。</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7.统筹应急救援力量建设，负责抗洪抢险、地震和地质灾害救援、生产安全事故救援等专业应急救援力量建设，综合协调应急救援队伍，指导各级及社会应急救援力量建设。</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8.组织协调水旱灾害、地震和地质灾害等防治工作；负责自然灾害综合监测预警工作；会同有关部门做好自然灾害综合风险评估工作。</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9.组织协调灾害救助工作，负责灾情核查、损失评估、救灾捐赠工作，管理、分配救灾款物并监督使用。</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10.依法行使安全生产综合监督管理职权，指导协调、监督检查区有关部门和各乡（镇）政府、区政府派出机构的安全生产工作，组织开展安全生产考核工作。</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11.按照分级、属地原则，依法监督检查工矿商贸生产经营单位贯彻执行安全生产法律法规情况，以及安全生产条件和有关设备（特种设备除外）、材料、劳动防护用品的安全生产管理工作；负责监督管理工矿商贸行业区属企业的安全生产工作，配合上级部门监督管理驻鹿中央企业、省属企业、市属企业的安全生产工作；负责危险化学品安全监督管理综合工作和烟花爆竹安全生产监督管理工作。</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12.依法开展生产安全事故调查处理，监督事故查处和责任追究落实情况；组织开展自然灾害类突发事件的调查评估工作。</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13.制定应急物资储备和应急救援装备规划并组织实施，会同区粮食和物资储备局等部门建立健全应急物资信息平台和调拨制度，在救灾时统一调度。</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14.负责应急管理、安全生产宣传教育和培训工作，负责应急管理、安全生产科技成果推广应用和信息化建设工作。</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15.负责组织协调、指导监督全区安全生产行政执法工作，组织开展对区属企业的执法检查，配合上级部门对驻鹿中央企业、省属企业、市属企业的执法抽查。</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16.组织开展应急管理方面的区域交流与合作。</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17.区森林草原消防大队是以森林草原火灾防治和扑救为主要任务，兼顾其他自然灾害和生产安全事故的专业应急救援力量，依据《中共石家庄市鹿泉区委机构编制委员会关于全区森林草原消防队伍建设及有关机构编制职责等事项调整的通知》（鹿泉编[2021]12号）、《石家庄市鹿泉区森林草原消防专业队伍建设实施方案》（鹿政办函[2021]39号）和《河北省人民政府森林草原防灭火指挥部办公室关于进一步加强森林草原消防专业队伍规范化建设的通知》（冀森防办[2022]16号）文件中关于队伍建设、队伍职责以及规范要求，区森防大队在编人员2名，依据文件规范，队员应满足70名一线扑火队员、4名厨师、2名设备管理员，因此进行专业森林消防队经费，购置制式车辆、装备机具及训练设施费用等保障日常工作运转的项目进行资金申请。</w:t>
      </w:r>
    </w:p>
    <w:p>
      <w:pPr>
        <w:adjustRightInd w:val="0"/>
        <w:snapToGrid w:val="0"/>
        <w:spacing w:line="560" w:lineRule="exact"/>
        <w:jc w:val="both"/>
        <w:rPr>
          <w:rFonts w:hint="eastAsia" w:ascii="仿宋_GB2312" w:hAnsi="仿宋_GB2312" w:eastAsia="仿宋_GB2312" w:cs="仿宋_GB2312"/>
          <w:sz w:val="32"/>
          <w:szCs w:val="32"/>
          <w:lang w:val="en-US" w:eastAsia="zh-CN"/>
        </w:rPr>
      </w:pPr>
      <w:bookmarkStart w:id="0" w:name="OLE_LINK2"/>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机构设置：</w:t>
      </w:r>
      <w:r>
        <w:rPr>
          <w:rFonts w:hint="eastAsia" w:ascii="仿宋_GB2312" w:hAnsi="仿宋_GB2312" w:eastAsia="仿宋_GB2312" w:cs="仿宋_GB2312"/>
          <w:sz w:val="32"/>
          <w:szCs w:val="32"/>
          <w:lang w:val="en-US" w:eastAsia="zh-CN"/>
        </w:rPr>
        <w:t>部门机构设置情况</w:t>
      </w:r>
    </w:p>
    <w:tbl>
      <w:tblPr>
        <w:tblStyle w:val="7"/>
        <w:tblW w:w="93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240"/>
        <w:gridCol w:w="1088"/>
        <w:gridCol w:w="1224"/>
        <w:gridCol w:w="27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240" w:type="dxa"/>
            <w:vMerge w:val="restart"/>
            <w:noWrap w:val="0"/>
            <w:vAlign w:val="center"/>
          </w:tcPr>
          <w:p>
            <w:pPr>
              <w:adjustRightInd w:val="0"/>
              <w:snapToGrid w:val="0"/>
              <w:spacing w:line="560" w:lineRule="exact"/>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单位名称</w:t>
            </w:r>
          </w:p>
        </w:tc>
        <w:tc>
          <w:tcPr>
            <w:tcW w:w="1088" w:type="dxa"/>
            <w:vMerge w:val="restart"/>
            <w:noWrap w:val="0"/>
            <w:vAlign w:val="center"/>
          </w:tcPr>
          <w:p>
            <w:pPr>
              <w:adjustRightInd w:val="0"/>
              <w:snapToGrid w:val="0"/>
              <w:spacing w:line="560" w:lineRule="exact"/>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单位性质</w:t>
            </w:r>
          </w:p>
        </w:tc>
        <w:tc>
          <w:tcPr>
            <w:tcW w:w="1224" w:type="dxa"/>
            <w:vMerge w:val="restart"/>
            <w:noWrap w:val="0"/>
            <w:vAlign w:val="center"/>
          </w:tcPr>
          <w:p>
            <w:pPr>
              <w:adjustRightInd w:val="0"/>
              <w:snapToGrid w:val="0"/>
              <w:spacing w:line="560" w:lineRule="exact"/>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单位规格</w:t>
            </w:r>
          </w:p>
        </w:tc>
        <w:tc>
          <w:tcPr>
            <w:tcW w:w="2785" w:type="dxa"/>
            <w:vMerge w:val="restart"/>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1" w:hRule="atLeast"/>
          <w:tblHeader/>
          <w:jc w:val="center"/>
        </w:trPr>
        <w:tc>
          <w:tcPr>
            <w:tcW w:w="4240" w:type="dxa"/>
            <w:vMerge w:val="continue"/>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p>
        </w:tc>
        <w:tc>
          <w:tcPr>
            <w:tcW w:w="1088" w:type="dxa"/>
            <w:vMerge w:val="continue"/>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p>
        </w:tc>
        <w:tc>
          <w:tcPr>
            <w:tcW w:w="1224" w:type="dxa"/>
            <w:vMerge w:val="continue"/>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p>
        </w:tc>
        <w:tc>
          <w:tcPr>
            <w:tcW w:w="2785" w:type="dxa"/>
            <w:vMerge w:val="continue"/>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4" w:hRule="atLeast"/>
          <w:jc w:val="center"/>
        </w:trPr>
        <w:tc>
          <w:tcPr>
            <w:tcW w:w="4240" w:type="dxa"/>
            <w:noWrap w:val="0"/>
            <w:vAlign w:val="center"/>
          </w:tcPr>
          <w:p>
            <w:pPr>
              <w:adjustRightInd w:val="0"/>
              <w:snapToGrid w:val="0"/>
              <w:spacing w:line="560" w:lineRule="exact"/>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石家庄市鹿泉区应急管理局</w:t>
            </w:r>
          </w:p>
        </w:tc>
        <w:tc>
          <w:tcPr>
            <w:tcW w:w="1088" w:type="dxa"/>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行政</w:t>
            </w:r>
          </w:p>
        </w:tc>
        <w:tc>
          <w:tcPr>
            <w:tcW w:w="1224" w:type="dxa"/>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正科级</w:t>
            </w:r>
          </w:p>
        </w:tc>
        <w:tc>
          <w:tcPr>
            <w:tcW w:w="2785" w:type="dxa"/>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4" w:hRule="atLeast"/>
          <w:jc w:val="center"/>
        </w:trPr>
        <w:tc>
          <w:tcPr>
            <w:tcW w:w="4240" w:type="dxa"/>
            <w:noWrap w:val="0"/>
            <w:vAlign w:val="center"/>
          </w:tcPr>
          <w:p>
            <w:pPr>
              <w:adjustRightInd w:val="0"/>
              <w:snapToGrid w:val="0"/>
              <w:spacing w:line="560" w:lineRule="exact"/>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石家庄市鹿泉区应急管理综合行政执法大队</w:t>
            </w:r>
          </w:p>
        </w:tc>
        <w:tc>
          <w:tcPr>
            <w:tcW w:w="1088" w:type="dxa"/>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事业</w:t>
            </w:r>
          </w:p>
        </w:tc>
        <w:tc>
          <w:tcPr>
            <w:tcW w:w="1224" w:type="dxa"/>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副科级</w:t>
            </w:r>
          </w:p>
        </w:tc>
        <w:tc>
          <w:tcPr>
            <w:tcW w:w="2785" w:type="dxa"/>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4" w:hRule="atLeast"/>
          <w:jc w:val="center"/>
        </w:trPr>
        <w:tc>
          <w:tcPr>
            <w:tcW w:w="4240" w:type="dxa"/>
            <w:noWrap w:val="0"/>
            <w:vAlign w:val="center"/>
          </w:tcPr>
          <w:p>
            <w:pPr>
              <w:adjustRightInd w:val="0"/>
              <w:snapToGrid w:val="0"/>
              <w:spacing w:line="560" w:lineRule="exact"/>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石家庄市鹿泉区应急消防大队</w:t>
            </w:r>
          </w:p>
        </w:tc>
        <w:tc>
          <w:tcPr>
            <w:tcW w:w="1088" w:type="dxa"/>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事业</w:t>
            </w:r>
          </w:p>
        </w:tc>
        <w:tc>
          <w:tcPr>
            <w:tcW w:w="1224" w:type="dxa"/>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股级</w:t>
            </w:r>
          </w:p>
        </w:tc>
        <w:tc>
          <w:tcPr>
            <w:tcW w:w="2785" w:type="dxa"/>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4" w:hRule="atLeast"/>
          <w:jc w:val="center"/>
        </w:trPr>
        <w:tc>
          <w:tcPr>
            <w:tcW w:w="4240" w:type="dxa"/>
            <w:noWrap w:val="0"/>
            <w:vAlign w:val="center"/>
          </w:tcPr>
          <w:p>
            <w:pPr>
              <w:adjustRightInd w:val="0"/>
              <w:snapToGrid w:val="0"/>
              <w:spacing w:line="560" w:lineRule="exact"/>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石家庄市鹿泉区防震减灾服务中心</w:t>
            </w:r>
          </w:p>
        </w:tc>
        <w:tc>
          <w:tcPr>
            <w:tcW w:w="1088" w:type="dxa"/>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事业</w:t>
            </w:r>
          </w:p>
        </w:tc>
        <w:tc>
          <w:tcPr>
            <w:tcW w:w="1224" w:type="dxa"/>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股级</w:t>
            </w:r>
          </w:p>
        </w:tc>
        <w:tc>
          <w:tcPr>
            <w:tcW w:w="2785" w:type="dxa"/>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80" w:hRule="atLeast"/>
          <w:jc w:val="center"/>
        </w:trPr>
        <w:tc>
          <w:tcPr>
            <w:tcW w:w="4240" w:type="dxa"/>
            <w:noWrap w:val="0"/>
            <w:vAlign w:val="center"/>
          </w:tcPr>
          <w:p>
            <w:pPr>
              <w:adjustRightInd w:val="0"/>
              <w:snapToGrid w:val="0"/>
              <w:spacing w:line="560" w:lineRule="exact"/>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石家庄市鹿泉区森林草原消防大队</w:t>
            </w:r>
          </w:p>
        </w:tc>
        <w:tc>
          <w:tcPr>
            <w:tcW w:w="1088" w:type="dxa"/>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事业</w:t>
            </w:r>
          </w:p>
        </w:tc>
        <w:tc>
          <w:tcPr>
            <w:tcW w:w="1224" w:type="dxa"/>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股级</w:t>
            </w:r>
          </w:p>
        </w:tc>
        <w:tc>
          <w:tcPr>
            <w:tcW w:w="2785" w:type="dxa"/>
            <w:noWrap w:val="0"/>
            <w:vAlign w:val="center"/>
          </w:tcPr>
          <w:p>
            <w:pPr>
              <w:adjustRightInd w:val="0"/>
              <w:snapToGrid w:val="0"/>
              <w:spacing w:line="560" w:lineRule="exact"/>
              <w:ind w:left="0" w:leftChars="0" w:firstLine="400" w:firstLineChars="200"/>
              <w:jc w:val="both"/>
              <w:rPr>
                <w:rFonts w:hint="eastAsia" w:ascii="仿宋_GB2312" w:hAnsi="仿宋_GB2312" w:eastAsia="仿宋_GB2312" w:cs="仿宋_GB2312"/>
                <w:sz w:val="20"/>
                <w:szCs w:val="20"/>
                <w:lang w:val="en-US" w:eastAsia="zh-CN"/>
              </w:rPr>
            </w:pPr>
            <w:r>
              <w:rPr>
                <w:rFonts w:hint="eastAsia" w:ascii="仿宋_GB2312" w:hAnsi="仿宋_GB2312" w:eastAsia="仿宋_GB2312" w:cs="仿宋_GB2312"/>
                <w:sz w:val="20"/>
                <w:szCs w:val="20"/>
                <w:lang w:val="en-US" w:eastAsia="zh-CN"/>
              </w:rPr>
              <w:t>财政拨款</w:t>
            </w:r>
          </w:p>
        </w:tc>
      </w:tr>
      <w:bookmarkEnd w:id="0"/>
    </w:tbl>
    <w:p>
      <w:pPr>
        <w:adjustRightInd w:val="0"/>
        <w:snapToGrid w:val="0"/>
        <w:spacing w:line="560" w:lineRule="exact"/>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人员情况</w:t>
      </w:r>
      <w:r>
        <w:rPr>
          <w:rFonts w:hint="eastAsia" w:ascii="仿宋_GB2312" w:hAnsi="仿宋_GB2312" w:eastAsia="仿宋_GB2312" w:cs="仿宋_GB2312"/>
          <w:sz w:val="32"/>
          <w:szCs w:val="32"/>
          <w:lang w:eastAsia="zh-CN"/>
        </w:rPr>
        <w:t>：</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我单位有行政人员18人，比去年增加1人，主要变动情况为调入1名公务员。事业单位人员70人，比去年增加1人，主要变动原因是事业单位新进入5名事业编人员,2024-2025退休4人。</w:t>
      </w:r>
    </w:p>
    <w:p>
      <w:pPr>
        <w:adjustRightInd w:val="0"/>
        <w:snapToGrid w:val="0"/>
        <w:spacing w:line="560" w:lineRule="exact"/>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资产情况</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截止2025年12月31日我局固定资产原值4118.345970万元，其中：房屋及构筑物69.57万元；设备3170.21万元；家具和用具142.99万元；无形资产原值7.77514万元。</w:t>
      </w:r>
    </w:p>
    <w:p>
      <w:pPr>
        <w:adjustRightInd w:val="0"/>
        <w:snapToGrid w:val="0"/>
        <w:spacing w:line="560" w:lineRule="exact"/>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部门收支预决算情况</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按照预算管理有关规定，目前部门预算的编制实行综合预算管理，即全部收入和支出都反映在预算中。石家庄市鹿泉区应急管理局机关及所属事业单位的收支包含在部门预算中。</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1.收入情况</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反映本部门当年全部收入。2025年预算收入3409.49万元，其中：一般公共预算收入3185.06万元，基金预算收入0.00万元，国有资本经营预算收入0.00万元，财政专户核拨收入0.00万元，单位资金收入0.00万元，上年结转结余224.43万元。</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2.支出情况</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2025年支出预算3052.432135万元，其中基本支出2203.310445万元，包括人员经费1564.201384万元和日常公用经费638.109061万元；项目支出850.129701万元。</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（六）部门收支决算情况</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我单位2025年末实际收到的一般公共预算财政拨款收入3052.432135万元，其中：一般公共预算财政拨款收入3052.432135万元；二是我单位2024年基本支出为2203.310445万元，其中：人员经费为1564.201384万元，日常公用经费为638.109061万元；三是我单位2025年项目支出为850.129701万元。</w:t>
      </w:r>
    </w:p>
    <w:p>
      <w:pPr>
        <w:adjustRightInd w:val="0"/>
        <w:snapToGrid w:val="0"/>
        <w:spacing w:line="560" w:lineRule="exact"/>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（七）</w:t>
      </w:r>
      <w:r>
        <w:rPr>
          <w:rFonts w:hint="eastAsia" w:ascii="仿宋_GB2312" w:hAnsi="仿宋_GB2312" w:eastAsia="仿宋_GB2312" w:cs="仿宋_GB2312"/>
          <w:sz w:val="32"/>
          <w:szCs w:val="32"/>
        </w:rPr>
        <w:t>部门整体支出绩效目标、指标</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以习近平新时代中国特色社会主义思想为指导，按照“党政同责、一岗双责”要求，强化红线意识，坚持底线思维，增强忧患意识，提高防控能力，着力防范化解重大风险，以强力推进安全风险分级管控、隐患排查治理双重预防机制建设为抓手，突出安全风险、责任风险警示教育，深入开展安全生产各类专项活动，严格安全生产执法检查，紧盯危险化学品、非煤矿山及人员密集场所等高危行业和区域，切实抓好安全生产各项工作，加强应急管理工作，全面提高预防和处置突发事件的能力，定期开展应急演练，为处置突发事件提供保障，做好防汛抗旱准备工作，以确保安全度汛，做好应急管理和安全生产等各类宣传，努力防范和减少各类事故，坚决遏制较大以上安全生产事故，保持全区安全生产形势持续稳定。</w:t>
      </w:r>
    </w:p>
    <w:p>
      <w:pPr>
        <w:numPr>
          <w:ilvl w:val="0"/>
          <w:numId w:val="2"/>
        </w:numPr>
        <w:adjustRightInd w:val="0"/>
        <w:snapToGrid w:val="0"/>
        <w:spacing w:line="560" w:lineRule="exact"/>
        <w:ind w:left="0" w:leftChars="0"/>
        <w:jc w:val="both"/>
        <w:rPr>
          <w:rFonts w:hint="eastAsia" w:ascii="黑体" w:hAnsi="黑体" w:eastAsia="黑体" w:cs="黑体"/>
          <w:sz w:val="32"/>
          <w:szCs w:val="32"/>
        </w:rPr>
      </w:pPr>
      <w:r>
        <w:rPr>
          <w:rFonts w:hint="eastAsia" w:ascii="黑体" w:hAnsi="黑体" w:eastAsia="黑体" w:cs="黑体"/>
          <w:sz w:val="32"/>
          <w:szCs w:val="32"/>
        </w:rPr>
        <w:t>自评工作开展情况</w:t>
      </w:r>
    </w:p>
    <w:p>
      <w:pPr>
        <w:numPr>
          <w:numId w:val="0"/>
        </w:num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rPr>
        <w:t>（一）自评的组织工作</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工作开展后，首先由办公室负责人事的人员进行自我评价，再由党建组进行复评工作开展是否按时、按质、按量完成，是否达到预期目标，最后提交局党委会进行审核。</w:t>
      </w:r>
    </w:p>
    <w:p>
      <w:pPr>
        <w:numPr>
          <w:ilvl w:val="0"/>
          <w:numId w:val="0"/>
        </w:numPr>
        <w:adjustRightInd w:val="0"/>
        <w:snapToGrid w:val="0"/>
        <w:spacing w:line="560" w:lineRule="exact"/>
        <w:jc w:val="both"/>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（二）</w:t>
      </w:r>
      <w:r>
        <w:rPr>
          <w:rFonts w:hint="eastAsia" w:ascii="楷体_GB2312" w:hAnsi="楷体_GB2312" w:eastAsia="楷体_GB2312" w:cs="楷体_GB2312"/>
          <w:sz w:val="32"/>
          <w:szCs w:val="32"/>
        </w:rPr>
        <w:t>自评的方法和过程</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该项目是专项资金，按照相关专项资金管理办法的</w:t>
      </w:r>
      <w:r>
        <w:rPr>
          <w:rFonts w:hint="eastAsia" w:ascii="仿宋_GB2312" w:hAnsi="仿宋_GB2312" w:eastAsia="仿宋_GB2312" w:cs="仿宋_GB2312"/>
          <w:sz w:val="32"/>
          <w:szCs w:val="32"/>
          <w:lang w:val="en-US" w:eastAsia="zh-CN"/>
        </w:rPr>
        <w:t>规定和财务管理制度</w:t>
      </w:r>
      <w:r>
        <w:rPr>
          <w:rFonts w:hint="eastAsia" w:ascii="仿宋_GB2312" w:hAnsi="仿宋_GB2312" w:eastAsia="仿宋_GB2312" w:cs="仿宋_GB2312"/>
          <w:sz w:val="32"/>
          <w:szCs w:val="32"/>
          <w:lang w:val="en-US" w:eastAsia="zh-CN"/>
        </w:rPr>
        <w:t>，专款专用；资金的拨付</w:t>
      </w:r>
      <w:r>
        <w:rPr>
          <w:rFonts w:hint="eastAsia" w:ascii="仿宋_GB2312" w:hAnsi="仿宋_GB2312" w:eastAsia="仿宋_GB2312" w:cs="仿宋_GB2312"/>
          <w:sz w:val="32"/>
          <w:szCs w:val="32"/>
          <w:lang w:val="en-US" w:eastAsia="zh-CN"/>
        </w:rPr>
        <w:t>有完整的审批程序和手续</w:t>
      </w:r>
      <w:r>
        <w:rPr>
          <w:rFonts w:hint="eastAsia" w:ascii="仿宋_GB2312" w:hAnsi="仿宋_GB2312" w:eastAsia="仿宋_GB2312" w:cs="仿宋_GB2312"/>
          <w:sz w:val="32"/>
          <w:szCs w:val="32"/>
          <w:lang w:val="en-US" w:eastAsia="zh-CN"/>
        </w:rPr>
        <w:t>后，按照时间要求进行发放。</w:t>
      </w:r>
    </w:p>
    <w:p>
      <w:pPr>
        <w:adjustRightInd w:val="0"/>
        <w:snapToGrid w:val="0"/>
        <w:spacing w:line="560" w:lineRule="exact"/>
        <w:jc w:val="both"/>
        <w:rPr>
          <w:rFonts w:hint="eastAsia" w:ascii="黑体" w:hAnsi="黑体" w:eastAsia="黑体" w:cs="黑体"/>
          <w:sz w:val="32"/>
          <w:szCs w:val="32"/>
        </w:rPr>
      </w:pPr>
      <w:r>
        <w:rPr>
          <w:rFonts w:hint="eastAsia" w:ascii="黑体" w:hAnsi="黑体" w:eastAsia="黑体" w:cs="黑体"/>
          <w:sz w:val="32"/>
          <w:szCs w:val="32"/>
        </w:rPr>
        <w:t>三、部门整体支出绩效目标实现情况及指标分析</w:t>
      </w:r>
    </w:p>
    <w:p>
      <w:pPr>
        <w:adjustRightInd w:val="0"/>
        <w:snapToGrid w:val="0"/>
        <w:spacing w:line="560" w:lineRule="exact"/>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总体绩效目标实现情况</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以习近平新时代中国特色社会主义思想为指导，按照“党政同责、一岗双责”要求，强化红线意识，坚持底线思维，增强忧患意识，提高防控能力，着力防范化解重大风险，以强力推进安全风险分级管控、隐患排查治理双重预防机制建设为抓手，突出安全风险、责任风险警示教育，深入开展安全生产各类专项活动，严格安全生产执法检查，紧盯危险化学品、非煤矿山及人员密集场所等高危行业和区域，切实抓好安全生产各项工作，加强应急管理工作，全面提高预防和处置突发事件的能力，定期开展应急演练，为处置突发事件提供保障，做好防汛抗旱准备工作，以确保安全度汛，做好应急管理和安全生产等各类宣传，努力防范和减少各类事故，坚决遏制较大以上安全生产事故，保持全区安全生产形势持续稳定。</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（二）分项绩效目标实现情况及指标分析</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1.执法业务费</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按照年初制定全区执法检查计划和区委、区政府下达的执法工作、企业举报案件、我区安排的联合执法及临时安排的交叉执法对全区安全生产经营单位进行督导检查，全年约检查各类企业100余家次，确保各类企业不发生事故，维护社会稳定。</w:t>
      </w:r>
    </w:p>
    <w:p>
      <w:pPr>
        <w:adjustRightInd w:val="0"/>
        <w:snapToGrid w:val="0"/>
        <w:spacing w:line="56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绩效指标：查出隐患整改率达到100%。</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2.政府购买应急管理服务费</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绩效目标：根据执法计划抽取200家企业，聘请第三方机构，对全区生产经营单位的安全检查，对安全执法检查中能够及时发现安全隐患，有效遏制事故的发生，及时做到安全隐患的排查与发现。 </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安全事故有效处理率达到100%；生产经营过程中不发生生产安全事故；对企业进行诚信评定，确保企业诚信等级全部达到C级以上；完成化工行业专项整治；达到石家庄市政府的考核目标；事故下降率在10%以内；整改完成率达到100%；企业不发生安全事故；应急预案使用年限不小于3年。</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3.涉军劳务派遣工资</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绩效目标：我单位对符合就业困难条件军队退役人员2名，实行涉军劳务派遣岗位托管安置，帮扶救助到位，加大就业援助工作，实现就业。      </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绩效指标：涉军劳务派遣岗位托管安置人数2人。</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4.安全员工资</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矿矿山安全员共计12人（退休安全员8人，现任安全员4人），现任安全员协助我局和企业进行安全监管，负责督促企业落实主体责任，督促企业定期进行隐患排查整改，发现重大隐患及时上报我局，加强我局及各乡镇安全生产监管力度，提高安全隐患排查范围和数量，将会大大降低我区矿山的事故发生率。</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绩效指标：重大隐患报告率达到100%，隐患整改率达到100%。</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5.宣传教育经费</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每年开展进企业公益宣传活动分别不少于30家企业、每年开展进农村公益宣传活动分别不少于20个村、每年开展进社区公益宣传活动分别不少于20个社区、每年开展进学校公益宣传活动分别不少于10所学校、每年开展进家庭公益宣传活动分别不少于1000户。</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绩效指标：安全应急防灾减灾知识知晓率大于等于90%。</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6.配建无线联网式电动自行车蓄电池自动灭火充电设施</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绩效目标：在小区、学校、社区等配建无线联网式电动自行车蓄电池自动灭火充电设施100个，保障居民的充电安全，有效减少电动车充电火灾事故。</w:t>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lang w:val="en-US" w:eastAsia="zh-CN"/>
        </w:rPr>
        <w:tab/>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绩效指标：持续提升我区电动自行车充电安全水平，使用该设施充电火灾事故为零。</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7.采购应急管理综合行政执法制式服装和标志费</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根据《河北省综合行政执法制式服装和标志管理实施办法》，为我局85名执法人员配备综合行政执法制式服装和标志，首次配发大概每人每套4040元，年度平均定额为每人每年1100元加强综合行政执法队伍建设，督促综合行政执法人员规范穿着制式服装、佩戴标志，严肃仪容仪表及执法风纪。</w:t>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lang w:val="en-US" w:eastAsia="zh-CN"/>
        </w:rPr>
        <w:tab/>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绩效指标：持续提升我局规范执法水平。</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8.重大危险源监控网络运行费及系统维护费</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绩效目标：利用重大危险源网络监控系统对5家重大危险源企业进行监控，及时发现隐患并排除，把事故消灭在萌芽状态。</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绩效指标：监控重要危险源企业数量大于等于5个。</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9.专业型云视频接入费</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绩效目标：专业型云视频接入，用于建立应急指挥中心，鹿泉区处置突发事件及防灾、减灾、救灾和安全生产监督使用，降低突发事件处置时间。保障人民生命财产安全。</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绩效指标：进一步提升我区应急指挥和救援能力</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10.工矿商贸领域作业场所视频监控全覆盖专线资费</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绩效目标:完成建设任务，用于监控视频2096路网络专线租赁费，每路22元/月,用于监管企业安全生产。　　</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绩效指标：对全区安全生产监管影响，进一步提高全区安全生产监管能力水平大于等于90%。</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11.卫星终端通讯费</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绩效目标：缴为保障我区山区受洪涝灾害威胁村庄应急通信畅通，做好2025年防汛工作，保障12部卫星电话通畅、确保安全度过汛期。</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绩效指标：保证应急状况下12部卫星电话使用畅通。</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12.防汛抗旱指挥部防汛号备物资应急物品经费</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绩效目标：根据河北省防汛抗旱指挥部《2023年全省防汛抗旱工作要点》冀汛【2023】1号文要求完成防汛物资号备及防汛应急用品购买，提升防汛抗旱能力，确保人员财产安全。  </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绩效指标：号备物资使用率达到90%。</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13.农村住房灾害项目</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绩效目标：帮助受灾农民的农村住房灾后及时重建，保障全区农村约96487户住房灾后恢复重建，维护社会稳定。</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绩效指标：房屋出险率达到90%，自然灾害和意外事故造成的房屋损失出险每户最高赔付金额小于等于35000元。</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14.应急救援经费</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绩效目标：演练费用主要用于生产安全事故预案、防火抢险、防汛抢险救援演练等的演练费用。通过演练，提升了群众避险转移能力，自救互救能力、逃生能力、方向对，跑的快。</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绩效指标：此次抢险救援实战演练，提升了防汛指挥调度和群众避险转移逃生能力；提高了水库下游村庄、森林、企业、村庄山洪灾害村群众避险转移能力。</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15.自然灾害救助资金</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绩效目标：依据中华人民共和国国务院令（第577号）《自然灾害救助条例》第四条要求，按照最低四级避难应急响应启动标准是16600人，每人30元/天；建立健全与自然灾害救助需求相适应的资金、物质保障机。</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绩效指标：建立健全自然灾害救助雪球、物质保障制度，持续提升救助水平，保证应急情况下发挥作用。</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16.防汛专班费用</w:t>
      </w:r>
    </w:p>
    <w:p>
      <w:pPr>
        <w:adjustRightInd w:val="0"/>
        <w:snapToGrid w:val="0"/>
        <w:spacing w:line="56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依据石家庄市防汛抗旱指挥部办公室石汛办【2023】15号文、区政府办公室《关于调整石家庄市鹿泉区防汛抗旱指挥部组成人员的通知》要求，省、市工作安排和区委、区政府主要领导要求，为切实做好防汛工作，确保我区陕安度汛。</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绩效指标：以防为主防救结合上下协调联动统一调度，能更及时更快的应对当前险情。</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17.专业森林消防队经费</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绩效目标：保障区森林草原消防大队76人备勤和工作经费支出，确保队伍正常开展备勤工作，保护我区绿化成果，加强森林火灾扑救能力；进一步提高我区专业森林消防大队的专业能力。</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绩效指标：保障区森林草原消防大队备勤和工作，补充扑火队伍物资和正常消耗，加强队伍对森林火灾的扑救能力。</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18.区森林草原消防大队易址租赁费</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绩效目标：租赁1771.71㎡消防办公、住宿用房和1296㎡仓库，用于区森林草原消防大队备勤训练，保障森林草原消防队伍日常正常运转。</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绩效指标：完成办公用房租赁及维护。</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19.制式车辆和无人机租赁费</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依据《河北省人民政府森林草原防灭火指挥部办公室进一步加强森林草原消防专业队伍规范化建设的通知》和《石家庄市鹿泉区森林草原消防专业队伍建设实施方案》等文件中关于队伍建设、队伍职责以及规范要求，2024年度石家庄市鹿泉区森林草原消防大队租赁制式车辆和大载重无人机。</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绩效指标：保障区森林草原消防大队备勤和工作，补充扑火队伍物资和正常消耗，加强队伍对森林火灾的扑救能力。</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20.未支付购置服装、被装及装备费</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依据《河北省人民政府森林草原防灭火指挥部办公室进一步加强森林草原消防专业队伍规范化建设的通知》和《石家庄市鹿泉区森林草原消防专业队伍建设实施方案》等文件精神，配备扑火服以保障一线扑火队员安全。</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绩效指标：保障区森林草原消防大队备勤和工作，补充扑火队伍和正常消耗，加强队伍对森林火灾的能力。</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21.森防大队服装及被装购置</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依据《森林防火条例》、《河北省森林防火条例》、《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购置制式车辆、服装、备装以及装备机具，以保障队伍规范化建设，确保队伍工作的保障区森林草原消防大队备勤和工作，补充扑火队伍物资和正常消耗，加强队伍对森林火灾的扑救能力正常开展，提升我区森林草原防灭火工作建设的部署能力。</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绩效指标：保障区森林草原消防大队备勤和工作，补充扑火队伍物资和正常消耗，加强队伍对森林火灾的扑救能力。</w:t>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22.配发车辆购置税、强制保险</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绩效目标：2024年《石家庄市基层防灾工程项目》由石家庄市应急管理局立项、采取统招分签的方式，为我局配备地震地质灾害救援装备、森林（草原）火灾扑救装备、抗洪抢险类装备、水域救援类装备、综合保障类装备等。其中四标2包综合保障车辆（救援运兵车）两辆，供应商为河北韦斯珀电子科技有限公司。按省市统一要求，由供应商承担一辆购置税、强制保险等费用3.6万元，我局需支付另一辆运兵车上述费用，拟从我局“农村住房灾害项目”预算结余中调出3.6万元进行支付。</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绩效指标：配发车辆购置税、强制保险项目是</w:t>
      </w:r>
      <w:r>
        <w:rPr>
          <w:rFonts w:hint="eastAsia" w:ascii="仿宋_GB2312" w:hAnsi="仿宋_GB2312" w:eastAsia="仿宋_GB2312" w:cs="仿宋_GB2312"/>
          <w:sz w:val="32"/>
          <w:szCs w:val="32"/>
          <w:lang w:eastAsia="zh-CN"/>
        </w:rPr>
        <w:t>使上级配发设备尽快发挥作用，更好的保障辖区人民群众生命财产安全。</w:t>
      </w:r>
    </w:p>
    <w:p>
      <w:pPr>
        <w:adjustRightInd w:val="0"/>
        <w:snapToGrid w:val="0"/>
        <w:spacing w:line="560" w:lineRule="exact"/>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23.</w:t>
      </w:r>
      <w:r>
        <w:rPr>
          <w:rFonts w:hint="eastAsia" w:ascii="仿宋_GB2312" w:hAnsi="仿宋_GB2312" w:eastAsia="仿宋_GB2312" w:cs="仿宋_GB2312"/>
          <w:sz w:val="32"/>
          <w:szCs w:val="32"/>
          <w:lang w:eastAsia="zh-CN"/>
        </w:rPr>
        <w:t>防汛应急避险演练费用</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绩效目标：</w:t>
      </w:r>
      <w:r>
        <w:rPr>
          <w:rFonts w:hint="eastAsia" w:ascii="仿宋_GB2312" w:hAnsi="仿宋_GB2312" w:eastAsia="仿宋_GB2312" w:cs="仿宋_GB2312"/>
          <w:sz w:val="32"/>
          <w:szCs w:val="32"/>
        </w:rPr>
        <w:t>依据《河北省防汛避险人员转移条例》、河北省防汛抗旱指挥部办公室冀汛办〔2023〕4号文，按照文件要求结合我区实际以各地山区县、小型水库等为重点，开展以防汛调度、避险转移、工程抢险、水上救援等为主要内容的防汛演练。特别是山洪地质灾害易发区内村庄，小型水库“头顶库”下游村庄等，县乡村逐级开展群众转移避险演练，让群众熟练掌握预警信号，转移路线、安置地点，做到“方向对、跑得快”。通过加强防汛抢险救援实战演练，减少汛期群众伤亡，按照突降暴雨来临，模拟洪水肆虐情况下，组织政府部门和全民参与提升各级政府组织协调调度和群众防灾减灾能力。每年组织1-2次防汛演练用场地、参演人员误工费、物资费，防汛演练，经询价共计资金5万元。预计2026年7月完成。</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绩效指标：</w:t>
      </w:r>
      <w:r>
        <w:rPr>
          <w:rFonts w:hint="eastAsia" w:ascii="仿宋_GB2312" w:hAnsi="仿宋_GB2312" w:eastAsia="仿宋_GB2312" w:cs="仿宋_GB2312"/>
          <w:sz w:val="32"/>
          <w:szCs w:val="32"/>
        </w:rPr>
        <w:t>通过加强防汛抢险救援实战演练，减少汛期群众伤亡，按照突降暴雨来临，模拟洪水肆虐情况下，组织政府部门和全民参与提升各级政府组织协调调度和群众防灾减灾能力。</w:t>
      </w:r>
    </w:p>
    <w:p>
      <w:pPr>
        <w:adjustRightInd w:val="0"/>
        <w:snapToGrid w:val="0"/>
        <w:spacing w:line="560" w:lineRule="exact"/>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24.</w:t>
      </w:r>
      <w:r>
        <w:rPr>
          <w:rFonts w:hint="eastAsia" w:ascii="仿宋_GB2312" w:hAnsi="仿宋_GB2312" w:eastAsia="仿宋_GB2312" w:cs="仿宋_GB2312"/>
          <w:sz w:val="32"/>
          <w:szCs w:val="32"/>
          <w:lang w:eastAsia="zh-CN"/>
        </w:rPr>
        <w:t>应急通讯卫星电话服务费</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依据冀减委办发〔2023〕9号文、石财建〔2024〕20号文、鹿财字〔2024〕16号文要求，保障我区山区受洪涝灾害威胁村庄应急通信畅通，做好2025年防汛工作，确保安全度过汛期，特申请市应急管理局配发的55部卫星电话通讯费，每部每年应急通讯卫星电话服务费1000元，共计资金5.5万元，预计4月底之前完成。</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绩效指标：</w:t>
      </w:r>
      <w:r>
        <w:rPr>
          <w:rFonts w:hint="eastAsia" w:ascii="仿宋_GB2312" w:hAnsi="仿宋_GB2312" w:eastAsia="仿宋_GB2312" w:cs="仿宋_GB2312"/>
          <w:sz w:val="32"/>
          <w:szCs w:val="32"/>
          <w:lang w:eastAsia="zh-CN"/>
        </w:rPr>
        <w:t>为贯彻落实习近平总书记关于防汛救灾重要指示精神和党中央、国务院决策部署，坚持人民至上，生命至上，增强底线思维和风险意识，保障在极端暴雨导致“断路、断电、断通信”形成救援孤立的情况下，基层能够第一时间自主响应、独立作战，先期果断处置突发险情灾情，最大限度减轻暴雨洪涝灾害损失，各地各部门建立直达基层责任人的临灾暴雨预警“叫应”机制，预警发布时第一时间通知确保安全度过汛期</w:t>
      </w:r>
      <w:r>
        <w:rPr>
          <w:rFonts w:hint="eastAsia" w:ascii="仿宋_GB2312" w:hAnsi="仿宋_GB2312" w:eastAsia="仿宋_GB2312" w:cs="仿宋_GB2312"/>
          <w:sz w:val="32"/>
          <w:szCs w:val="32"/>
        </w:rPr>
        <w:t>。</w:t>
      </w:r>
    </w:p>
    <w:p>
      <w:pPr>
        <w:adjustRightInd w:val="0"/>
        <w:snapToGrid w:val="0"/>
        <w:spacing w:line="560" w:lineRule="exact"/>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25.</w:t>
      </w:r>
      <w:r>
        <w:rPr>
          <w:rFonts w:hint="eastAsia" w:ascii="仿宋_GB2312" w:hAnsi="仿宋_GB2312" w:eastAsia="仿宋_GB2312" w:cs="仿宋_GB2312"/>
          <w:sz w:val="32"/>
          <w:szCs w:val="32"/>
          <w:lang w:eastAsia="zh-CN"/>
        </w:rPr>
        <w:t>自然灾害综合风险应急管理系统调查数据更新费用</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依据石家庄市应急管理局关于印发《石家庄市自然灾害综合风险应急管理系统调查数据更新实施方案（2024年度）》我局对全区自然灾害综合风险普查开展数据更新，要求完成区划底图更新、调查数据更新、数据质量控制、数据回流入库等4项工作。全区预计需更新数据总计约680条，分别为：公共服务系统调查、县域、乡镇基本情况、产业（危险化学品）等承灾体数据共计400条；政府减灾资源（能力）、社会减灾资源（能力）、基层减灾资源（能力）、区划底图更新等减灾能力数据共计280条。自然灾害综合风险调查数据更新费用共计资金13万元；预计6月份完成。</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按照党中央、国务院决策部署，为全面掌握我国自然灾害风险隐患情况，提升全社会抵御自然灾害的综合防范能力，此次普查涉及的自然灾害类型主要有地震、地质、气象水旱、海洋、森林和草原火灾灾害等</w:t>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lang w:val="en-US" w:eastAsia="zh-CN"/>
        </w:rPr>
        <w:tab/>
      </w:r>
    </w:p>
    <w:p>
      <w:pPr>
        <w:adjustRightInd w:val="0"/>
        <w:snapToGrid w:val="0"/>
        <w:spacing w:line="560" w:lineRule="exact"/>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26.农村住房灾害项目（上级资金）</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绩效目标：</w:t>
      </w:r>
      <w:r>
        <w:rPr>
          <w:rFonts w:hint="eastAsia" w:ascii="仿宋_GB2312" w:hAnsi="仿宋_GB2312" w:eastAsia="仿宋_GB2312" w:cs="仿宋_GB2312"/>
          <w:sz w:val="32"/>
          <w:szCs w:val="32"/>
          <w:lang w:eastAsia="zh-CN"/>
        </w:rPr>
        <w:t>依据冀应急〔2020〕24号文要求，为提高我区群众抵抗自然灾害和意外事故能力，帮助受灾户住房灾后及时重建，维护社会稳定，通过给全区农房入保险，完善和规范农房保险制度，切实创新政府救灾机制，有效提高政府灾害救助水平和农村受灾群众住房的重建保障能力。每年每户保险费约为9元，上级配套资金57.8922万元，本级配套资金35万元；按照全区96487户计算，共计资金86.8383万元。预计4月份完成。</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绩效指标：</w:t>
      </w:r>
      <w:r>
        <w:rPr>
          <w:rFonts w:hint="eastAsia" w:ascii="仿宋_GB2312" w:hAnsi="仿宋_GB2312" w:eastAsia="仿宋_GB2312" w:cs="仿宋_GB2312"/>
          <w:sz w:val="32"/>
          <w:szCs w:val="32"/>
          <w:lang w:eastAsia="zh-CN"/>
        </w:rPr>
        <w:t>为进一步完善全省防灾减灾救灾体系，健全风险防范化解机制，增强受灾群众抵御自然灾害的保障能力，促进社会和谐稳定。根据冀应急〔2020〕24号文要求，为提高我区群众抵抗自然灾害和意外事故能力，帮助受灾户住房灾后及时重建，维护社会稳定，通过给全区农房入保险，完善和规范农房保险制度，切实创新政府救灾机制，有效提高政府灾害救助水平和农村受灾群众住房的重建保障能力。每年每户保险费约为9元，按照全区96487户。</w:t>
      </w:r>
    </w:p>
    <w:p>
      <w:pPr>
        <w:numPr>
          <w:ilvl w:val="0"/>
          <w:numId w:val="3"/>
        </w:numPr>
        <w:adjustRightInd w:val="0"/>
        <w:snapToGrid w:val="0"/>
        <w:spacing w:line="560" w:lineRule="exact"/>
        <w:ind w:left="0" w:leftChars="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森防个人防护装备</w:t>
      </w:r>
    </w:p>
    <w:p>
      <w:pPr>
        <w:adjustRightInd w:val="0"/>
        <w:snapToGrid w:val="0"/>
        <w:spacing w:line="560" w:lineRule="exact"/>
        <w:ind w:left="0" w:leftChars="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目标：依据《森林防火条例》、《河北省森林防火条例》、《河北省人民政府森林草原防灭火指挥部办公室关于进一步加强森林草原消防专业队伍规范化建设的通知》（冀森防办[2022]16号）、《中共石家庄市鹿泉区委机构编制委员会关于全区森林草原消防队伍建设及有关机构编制职责等事项调整的通知》（鹿泉编[2021]12号）和《石家庄市鹿泉区森林草原消防专业队伍建设实施方案》（鹿政办函[2021]39号）文件中关于队伍建设、队伍职责以及规范要求，经费预算包含：个人防护装备物资（扑火服、防烟眼镜、防烟面罩、对讲机、双层高压消防水带等物资）共计16.29万元。</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绩效指标：保障队伍规范化建设，确保队伍工作的正常开展，提升我区森林草原防灭火工作建设的部署能力。</w:t>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lang w:val="en-US" w:eastAsia="zh-CN"/>
        </w:rPr>
        <w:tab/>
      </w:r>
      <w:r>
        <w:rPr>
          <w:rFonts w:hint="eastAsia" w:ascii="仿宋_GB2312" w:hAnsi="仿宋_GB2312" w:eastAsia="仿宋_GB2312" w:cs="仿宋_GB2312"/>
          <w:sz w:val="32"/>
          <w:szCs w:val="32"/>
          <w:lang w:val="en-US" w:eastAsia="zh-CN"/>
        </w:rPr>
        <w:tab/>
      </w:r>
    </w:p>
    <w:p>
      <w:pPr>
        <w:adjustRightInd w:val="0"/>
        <w:snapToGrid w:val="0"/>
        <w:spacing w:line="560" w:lineRule="exact"/>
        <w:ind w:left="0" w:leftChars="0"/>
        <w:jc w:val="both"/>
        <w:rPr>
          <w:rFonts w:hint="eastAsia" w:ascii="黑体" w:hAnsi="黑体" w:eastAsia="黑体" w:cs="黑体"/>
          <w:sz w:val="32"/>
          <w:szCs w:val="32"/>
        </w:rPr>
      </w:pPr>
      <w:r>
        <w:rPr>
          <w:rFonts w:hint="eastAsia" w:ascii="黑体" w:hAnsi="黑体" w:eastAsia="黑体" w:cs="黑体"/>
          <w:sz w:val="32"/>
          <w:szCs w:val="32"/>
        </w:rPr>
        <w:t>四、评价结论和评价等级</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我局评价组工作人员根据部门职责和各项工作履职情况进行综合评价，得出最终综合绩效评价等级为优秀项目20个、良好项目5个、一般项目0个、较差项目2个。</w:t>
      </w:r>
      <w:bookmarkStart w:id="2" w:name="_GoBack"/>
      <w:bookmarkEnd w:id="2"/>
    </w:p>
    <w:p>
      <w:pPr>
        <w:adjustRightInd w:val="0"/>
        <w:snapToGrid w:val="0"/>
        <w:spacing w:line="560" w:lineRule="exact"/>
        <w:ind w:left="0" w:leftChars="0"/>
        <w:jc w:val="both"/>
        <w:rPr>
          <w:rFonts w:hint="eastAsia" w:ascii="黑体" w:hAnsi="黑体" w:eastAsia="黑体" w:cs="黑体"/>
          <w:sz w:val="32"/>
          <w:szCs w:val="32"/>
        </w:rPr>
      </w:pPr>
      <w:r>
        <w:rPr>
          <w:rFonts w:hint="eastAsia" w:ascii="黑体" w:hAnsi="黑体" w:eastAsia="黑体" w:cs="黑体"/>
          <w:sz w:val="32"/>
          <w:szCs w:val="32"/>
        </w:rPr>
        <w:t>五、存在的问题及改进措施</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（一）存在的主要问题</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部分项目使用资金率不足；由于财政资金紧张，预算到位率不足；非煤矿山项目由于受到大气预警影响，企业停工停产，影响项目进展，延长验收时间。</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（二）针对问题提出具体的改进措施或建议</w:t>
      </w:r>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预算编制和采购计划的制定要更加科学合理；今后工作中要加强与财政部门交流沟通，争取预算全部执行到位；</w:t>
      </w:r>
      <w:bookmarkStart w:id="1" w:name="OLE_LINK1"/>
      <w:r>
        <w:rPr>
          <w:rFonts w:hint="eastAsia" w:ascii="仿宋_GB2312" w:hAnsi="仿宋_GB2312" w:eastAsia="仿宋_GB2312" w:cs="仿宋_GB2312"/>
          <w:sz w:val="32"/>
          <w:szCs w:val="32"/>
          <w:lang w:val="en-US" w:eastAsia="zh-CN"/>
        </w:rPr>
        <w:t>积极跟财政沟通，做好项目延期工作，并对整个项目实施过程严格落实监管责任，认真履行项目监督检查、竣工验收等职责，以确保项目治理达到预期目标，为人民群众人身和财产安全提供有力保障。</w:t>
      </w:r>
      <w:bookmarkEnd w:id="1"/>
    </w:p>
    <w:p>
      <w:pPr>
        <w:adjustRightInd w:val="0"/>
        <w:snapToGrid w:val="0"/>
        <w:spacing w:line="560" w:lineRule="exact"/>
        <w:ind w:left="0" w:leftChars="0" w:firstLine="640" w:firstLineChars="200"/>
        <w:jc w:val="both"/>
        <w:rPr>
          <w:rFonts w:hint="eastAsia" w:ascii="仿宋_GB2312" w:hAnsi="仿宋_GB2312" w:eastAsia="仿宋_GB2312" w:cs="仿宋_GB2312"/>
          <w:sz w:val="32"/>
          <w:szCs w:val="32"/>
          <w:lang w:val="en-US" w:eastAsia="zh-CN"/>
        </w:rPr>
      </w:pPr>
    </w:p>
    <w:p>
      <w:pPr>
        <w:spacing w:line="560" w:lineRule="exact"/>
        <w:rPr>
          <w:rFonts w:hint="eastAsia" w:ascii="仿宋_GB2312" w:hAnsi="仿宋_GB2312" w:eastAsia="仿宋_GB2312" w:cs="仿宋_GB2312"/>
          <w:sz w:val="32"/>
          <w:szCs w:val="32"/>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楷体_GB2312"/>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1437957"/>
    <w:multiLevelType w:val="singleLevel"/>
    <w:tmpl w:val="E1437957"/>
    <w:lvl w:ilvl="0" w:tentative="0">
      <w:start w:val="1"/>
      <w:numFmt w:val="chineseCounting"/>
      <w:suff w:val="nothing"/>
      <w:lvlText w:val="%1、"/>
      <w:lvlJc w:val="left"/>
      <w:rPr>
        <w:rFonts w:hint="eastAsia"/>
      </w:rPr>
    </w:lvl>
  </w:abstractNum>
  <w:abstractNum w:abstractNumId="1">
    <w:nsid w:val="F3D2A815"/>
    <w:multiLevelType w:val="singleLevel"/>
    <w:tmpl w:val="F3D2A815"/>
    <w:lvl w:ilvl="0" w:tentative="0">
      <w:start w:val="2"/>
      <w:numFmt w:val="chineseCounting"/>
      <w:suff w:val="nothing"/>
      <w:lvlText w:val="%1、"/>
      <w:lvlJc w:val="left"/>
      <w:rPr>
        <w:rFonts w:hint="eastAsia"/>
      </w:rPr>
    </w:lvl>
  </w:abstractNum>
  <w:abstractNum w:abstractNumId="2">
    <w:nsid w:val="242D276D"/>
    <w:multiLevelType w:val="singleLevel"/>
    <w:tmpl w:val="242D276D"/>
    <w:lvl w:ilvl="0" w:tentative="0">
      <w:start w:val="27"/>
      <w:numFmt w:val="decimal"/>
      <w:suff w:val="space"/>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B713F"/>
    <w:rsid w:val="00376610"/>
    <w:rsid w:val="007B43E1"/>
    <w:rsid w:val="007E6C1F"/>
    <w:rsid w:val="008E3731"/>
    <w:rsid w:val="00956A93"/>
    <w:rsid w:val="00977229"/>
    <w:rsid w:val="009E575C"/>
    <w:rsid w:val="009F674E"/>
    <w:rsid w:val="00AF167E"/>
    <w:rsid w:val="00AF566A"/>
    <w:rsid w:val="00B478EA"/>
    <w:rsid w:val="00B6553A"/>
    <w:rsid w:val="00BC6576"/>
    <w:rsid w:val="00C66976"/>
    <w:rsid w:val="00CE06BA"/>
    <w:rsid w:val="00E00E65"/>
    <w:rsid w:val="00F441CC"/>
    <w:rsid w:val="01B104CA"/>
    <w:rsid w:val="01CD7BDA"/>
    <w:rsid w:val="02106AB0"/>
    <w:rsid w:val="02B43A28"/>
    <w:rsid w:val="046F331E"/>
    <w:rsid w:val="07672A03"/>
    <w:rsid w:val="07956271"/>
    <w:rsid w:val="09721397"/>
    <w:rsid w:val="0BB63BED"/>
    <w:rsid w:val="0EB97A43"/>
    <w:rsid w:val="0EBD2122"/>
    <w:rsid w:val="0F214EAE"/>
    <w:rsid w:val="11B71E6A"/>
    <w:rsid w:val="1AAF0063"/>
    <w:rsid w:val="1AC30BF3"/>
    <w:rsid w:val="1BE140DE"/>
    <w:rsid w:val="1FE800EE"/>
    <w:rsid w:val="237E1F70"/>
    <w:rsid w:val="248C197D"/>
    <w:rsid w:val="252959AF"/>
    <w:rsid w:val="277A6671"/>
    <w:rsid w:val="292D35B7"/>
    <w:rsid w:val="31216A73"/>
    <w:rsid w:val="315F7B06"/>
    <w:rsid w:val="321573B9"/>
    <w:rsid w:val="32817910"/>
    <w:rsid w:val="33EB6CFF"/>
    <w:rsid w:val="35A12947"/>
    <w:rsid w:val="36A205BF"/>
    <w:rsid w:val="37387040"/>
    <w:rsid w:val="37DA3C20"/>
    <w:rsid w:val="3B625C0A"/>
    <w:rsid w:val="3CED7DCF"/>
    <w:rsid w:val="3CEE1963"/>
    <w:rsid w:val="3E4E4C00"/>
    <w:rsid w:val="436B78D3"/>
    <w:rsid w:val="451D6996"/>
    <w:rsid w:val="49C220F3"/>
    <w:rsid w:val="4BEB3A23"/>
    <w:rsid w:val="4C9C27FE"/>
    <w:rsid w:val="512260B4"/>
    <w:rsid w:val="52BD6ACB"/>
    <w:rsid w:val="55537534"/>
    <w:rsid w:val="561A74F1"/>
    <w:rsid w:val="58255193"/>
    <w:rsid w:val="597244E8"/>
    <w:rsid w:val="5EB71C30"/>
    <w:rsid w:val="60DB4038"/>
    <w:rsid w:val="60ED0AF5"/>
    <w:rsid w:val="66AF0CE5"/>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customStyle="1" w:styleId="2">
    <w:name w:val="Normal Indent"/>
    <w:basedOn w:val="1"/>
    <w:next w:val="3"/>
    <w:qFormat/>
    <w:uiPriority w:val="0"/>
    <w:pPr>
      <w:ind w:firstLine="420" w:firstLineChars="200"/>
    </w:pPr>
    <w:rPr>
      <w:rFonts w:eastAsia="仿宋_GB2312"/>
      <w:sz w:val="30"/>
    </w:rPr>
  </w:style>
  <w:style w:type="paragraph" w:styleId="3">
    <w:name w:val="Subtitle"/>
    <w:basedOn w:val="1"/>
    <w:qFormat/>
    <w:uiPriority w:val="0"/>
    <w:pPr>
      <w:spacing w:line="700" w:lineRule="exact"/>
      <w:jc w:val="center"/>
      <w:outlineLvl w:val="1"/>
    </w:pPr>
    <w:rPr>
      <w:rFonts w:ascii="Arial" w:hAnsi="Arial" w:eastAsia="方正小标宋简体" w:cs="Arial"/>
      <w:b/>
      <w:bCs/>
      <w:kern w:val="28"/>
      <w:sz w:val="44"/>
      <w:szCs w:val="44"/>
    </w:rPr>
  </w:style>
  <w:style w:type="paragraph" w:styleId="4">
    <w:name w:val="Plain Text"/>
    <w:basedOn w:val="1"/>
    <w:unhideWhenUsed/>
    <w:qFormat/>
    <w:uiPriority w:val="99"/>
    <w:rPr>
      <w:rFonts w:ascii="宋体" w:hAnsi="Courier New"/>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579</Words>
  <Characters>596</Characters>
  <Lines>4</Lines>
  <Paragraphs>1</Paragraphs>
  <TotalTime>48</TotalTime>
  <ScaleCrop>false</ScaleCrop>
  <LinksUpToDate>false</LinksUpToDate>
  <CharactersWithSpaces>618</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2026-05-07T07:31:47Z</dcterms:modified>
  <dc:title>附件3：</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96934721B1514D3FBAA28020338CE855_12</vt:lpwstr>
  </property>
  <property fmtid="{D5CDD505-2E9C-101B-9397-08002B2CF9AE}" pid="4" name="KSOTemplateDocerSaveRecord">
    <vt:lpwstr>eyJoZGlkIjoiNDYwYTg2YzZjOTgxYTI5MDNjNmQwYjRiMTRmY2I4OWMiLCJ1c2VySWQiOiIxNzUwMzQ2NjM4In0=</vt:lpwstr>
  </property>
</Properties>
</file>