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8DDEF2">
      <w:pPr>
        <w:spacing w:line="560" w:lineRule="exact"/>
        <w:jc w:val="center"/>
        <w:rPr>
          <w:rFonts w:ascii="宋体" w:hAnsi="宋体" w:cs="宋体"/>
          <w:b/>
          <w:bCs/>
          <w:sz w:val="44"/>
          <w:szCs w:val="44"/>
        </w:rPr>
      </w:pPr>
    </w:p>
    <w:p w14:paraId="271A9E34">
      <w:pPr>
        <w:spacing w:line="560" w:lineRule="exact"/>
        <w:jc w:val="center"/>
        <w:rPr>
          <w:rFonts w:ascii="宋体" w:hAnsi="宋体" w:cs="宋体"/>
          <w:b/>
          <w:bCs/>
          <w:sz w:val="44"/>
          <w:szCs w:val="44"/>
        </w:rPr>
      </w:pPr>
      <w:r>
        <w:rPr>
          <w:rFonts w:hint="eastAsia" w:ascii="宋体" w:hAnsi="宋体" w:cs="宋体"/>
          <w:b/>
          <w:bCs/>
          <w:sz w:val="44"/>
          <w:szCs w:val="44"/>
        </w:rPr>
        <w:t>石家庄市鹿泉区白鹿泉乡人民政府</w:t>
      </w:r>
    </w:p>
    <w:p w14:paraId="33160F6B">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2D92EE04">
      <w:pPr>
        <w:spacing w:line="560" w:lineRule="exact"/>
        <w:jc w:val="center"/>
        <w:rPr>
          <w:rFonts w:hint="eastAsia" w:ascii="宋体" w:hAnsi="宋体" w:cs="宋体"/>
          <w:sz w:val="32"/>
          <w:szCs w:val="32"/>
        </w:rPr>
      </w:pPr>
    </w:p>
    <w:p w14:paraId="6C48A77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石家庄市鹿泉区白鹿泉乡人民政府2025年整体支出情况实施了财政支出绩效自评价，形成本评价报告。</w:t>
      </w:r>
    </w:p>
    <w:p w14:paraId="6240380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0E4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7FFE71F">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白鹿泉乡党委、人大、政府主要职责是：</w:t>
      </w:r>
    </w:p>
    <w:p w14:paraId="547C5028">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08BC8EE">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讨论和决定本乡经济建设、政治建设、文化建设、社会建设、生态文明建设和党的建设以及乡村振兴中的重大问题。</w:t>
      </w:r>
    </w:p>
    <w:p w14:paraId="70653F63">
      <w:pPr>
        <w:widowControl/>
        <w:numPr>
          <w:ilvl w:val="0"/>
          <w:numId w:val="1"/>
        </w:numPr>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组织召开本级人民代表大会，充分行使重大事项决定权、监督权和任免权，做好人大代表工作，联系选民、反映群众意见和要求。</w:t>
      </w:r>
    </w:p>
    <w:p w14:paraId="24684B2C">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负责拟定辖区经济发展规划、年度工作计划并组织实施，负责经济发展、招商引资工作，促进乡村全面振兴。</w:t>
      </w:r>
    </w:p>
    <w:p w14:paraId="1F3DAE5C">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0E79F7C3">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043AF596">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加强乡党委自身建设和村党组织建设，以及其他隶属乡党委的党组织建设，抓好发展党员工作，加强党员队伍建设。维护和执行党的纪律，监督党员干部和其他任何工作人员严格遵守国家法律法规。</w:t>
      </w:r>
    </w:p>
    <w:p w14:paraId="3B03F466">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按照干部管理权限，负责对干部的教育、培训、选拔、考核和监督工作。协助管理上级有关部门驻乡单位的干部。做好人才服务工作。</w:t>
      </w:r>
    </w:p>
    <w:p w14:paraId="7D2B6E6B">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领导本乡的基层治理，加强社会主义民主法治建设和精神文明建设，加强社会治安综合治理，做好应急管理、生态环保、乡村振兴、民生保障、民族宗教、防范邪教等工作。承担民兵预备役、征兵、退役军人服务、拥军优属等工作。</w:t>
      </w:r>
    </w:p>
    <w:p w14:paraId="462A4123">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等各项权利。</w:t>
      </w:r>
    </w:p>
    <w:p w14:paraId="1A2D3A56">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承办上级党委、人大、政府交办的其他事项。</w:t>
      </w:r>
    </w:p>
    <w:p w14:paraId="0A7B3911">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白鹿泉乡内设机构4个，分别为：党政综合办公室、党建工作办公室、经济发展办公室、安全发展办公室；所属事业单位4个，规格为股级，经费形式为财政性资金基本保证：综合行政执法队、退役军人服务站、行政综合服务中心、农业综合服务中心。乡纪委（监察办公室），负责全乡党的纪律检查工作。</w:t>
      </w:r>
    </w:p>
    <w:p w14:paraId="76B74124">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截至2025年底，部门独立编制机构1个为白鹿泉乡人民政府；独立核算机构1个为白鹿泉乡人民政府，年末在职在编实有人数47人，其中行政在编人员23人，非参公事业人员24人。</w:t>
      </w:r>
    </w:p>
    <w:p w14:paraId="6B327F8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Arial"/>
          <w:color w:val="000000"/>
          <w:kern w:val="0"/>
          <w:sz w:val="32"/>
          <w:szCs w:val="32"/>
          <w:shd w:val="clear" w:color="auto" w:fill="FFFFFF"/>
        </w:rPr>
        <w:t>截至2025年12月31日，本部门共有车辆8辆。其中，副部（省）级及以上领导用车0辆，主要领导干部用车0辆，机要通信用车1辆，应急保障用车1辆，执法执勤用车0辆，特种专业技术用车6辆，离退休干部用车0辆，其他用车0辆；单位价值</w:t>
      </w:r>
      <w:r>
        <w:rPr>
          <w:rFonts w:ascii="仿宋" w:hAnsi="仿宋" w:eastAsia="仿宋" w:cs="Arial"/>
          <w:color w:val="000000"/>
          <w:kern w:val="0"/>
          <w:sz w:val="32"/>
          <w:szCs w:val="32"/>
          <w:shd w:val="clear" w:color="auto" w:fill="FFFFFF"/>
        </w:rPr>
        <w:t>100</w:t>
      </w:r>
      <w:r>
        <w:rPr>
          <w:rFonts w:hint="eastAsia" w:ascii="仿宋" w:hAnsi="仿宋" w:eastAsia="仿宋" w:cs="Arial"/>
          <w:color w:val="000000"/>
          <w:kern w:val="0"/>
          <w:sz w:val="32"/>
          <w:szCs w:val="32"/>
          <w:shd w:val="clear" w:color="auto" w:fill="FFFFFF"/>
        </w:rPr>
        <w:t>万元以上设备（不含车辆）0台（套）。</w:t>
      </w:r>
    </w:p>
    <w:p w14:paraId="1DAA098A">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A56DABB">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1、收入支出预算总体情况说明</w:t>
      </w:r>
    </w:p>
    <w:p w14:paraId="058A2258">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本部门</w:t>
      </w:r>
      <w:r>
        <w:rPr>
          <w:rFonts w:ascii="仿宋" w:hAnsi="仿宋" w:eastAsia="仿宋"/>
          <w:sz w:val="32"/>
          <w:szCs w:val="32"/>
        </w:rPr>
        <w:t>202</w:t>
      </w:r>
      <w:r>
        <w:rPr>
          <w:rFonts w:hint="eastAsia" w:ascii="仿宋" w:hAnsi="仿宋" w:eastAsia="仿宋"/>
          <w:sz w:val="32"/>
          <w:szCs w:val="32"/>
        </w:rPr>
        <w:t>5年度</w:t>
      </w:r>
      <w:r>
        <w:rPr>
          <w:rFonts w:ascii="仿宋" w:hAnsi="仿宋" w:eastAsia="仿宋"/>
          <w:sz w:val="32"/>
          <w:szCs w:val="32"/>
        </w:rPr>
        <w:t>预算收入总计</w:t>
      </w:r>
      <w:r>
        <w:rPr>
          <w:rFonts w:hint="eastAsia" w:ascii="仿宋" w:hAnsi="仿宋" w:eastAsia="仿宋"/>
          <w:sz w:val="32"/>
          <w:szCs w:val="32"/>
        </w:rPr>
        <w:t>2325.64万元，</w:t>
      </w:r>
      <w:r>
        <w:rPr>
          <w:rFonts w:ascii="仿宋" w:hAnsi="仿宋" w:eastAsia="仿宋"/>
          <w:sz w:val="32"/>
          <w:szCs w:val="32"/>
        </w:rPr>
        <w:t>预算支出</w:t>
      </w:r>
      <w:r>
        <w:rPr>
          <w:rFonts w:hint="eastAsia" w:ascii="仿宋" w:hAnsi="仿宋" w:eastAsia="仿宋"/>
          <w:sz w:val="32"/>
          <w:szCs w:val="32"/>
        </w:rPr>
        <w:t>2325.64</w:t>
      </w:r>
      <w:r>
        <w:rPr>
          <w:rFonts w:ascii="仿宋" w:hAnsi="仿宋" w:eastAsia="仿宋"/>
          <w:sz w:val="32"/>
          <w:szCs w:val="32"/>
        </w:rPr>
        <w:t>万元。</w:t>
      </w:r>
    </w:p>
    <w:p w14:paraId="2D3C0B73">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2、收入支出决算总体情况说明</w:t>
      </w:r>
    </w:p>
    <w:p w14:paraId="53DFBF71">
      <w:pPr>
        <w:adjustRightInd w:val="0"/>
        <w:snapToGrid w:val="0"/>
        <w:spacing w:line="578" w:lineRule="exact"/>
        <w:ind w:firstLine="640" w:firstLineChars="200"/>
        <w:rPr>
          <w:rFonts w:ascii="楷体" w:hAnsi="楷体" w:eastAsia="楷体" w:cs="楷体_GB2312"/>
          <w:bCs/>
          <w:sz w:val="32"/>
          <w:szCs w:val="32"/>
        </w:rPr>
      </w:pPr>
      <w:r>
        <w:rPr>
          <w:rFonts w:hint="eastAsia" w:ascii="仿宋" w:hAnsi="仿宋" w:eastAsia="仿宋"/>
          <w:sz w:val="32"/>
          <w:szCs w:val="32"/>
        </w:rPr>
        <w:t>本部门</w:t>
      </w:r>
      <w:r>
        <w:rPr>
          <w:rFonts w:ascii="仿宋" w:hAnsi="仿宋" w:eastAsia="仿宋"/>
          <w:sz w:val="32"/>
          <w:szCs w:val="32"/>
        </w:rPr>
        <w:t>202</w:t>
      </w:r>
      <w:r>
        <w:rPr>
          <w:rFonts w:hint="eastAsia" w:ascii="仿宋" w:hAnsi="仿宋" w:eastAsia="仿宋"/>
          <w:sz w:val="32"/>
          <w:szCs w:val="32"/>
        </w:rPr>
        <w:t>5年度收、支总计（含结转和结余）6820.39万元。与</w:t>
      </w:r>
      <w:r>
        <w:rPr>
          <w:rFonts w:ascii="仿宋" w:hAnsi="仿宋" w:eastAsia="仿宋"/>
          <w:sz w:val="32"/>
          <w:szCs w:val="32"/>
        </w:rPr>
        <w:t>202</w:t>
      </w:r>
      <w:r>
        <w:rPr>
          <w:rFonts w:hint="eastAsia" w:ascii="仿宋" w:hAnsi="仿宋" w:eastAsia="仿宋"/>
          <w:sz w:val="32"/>
          <w:szCs w:val="32"/>
        </w:rPr>
        <w:t>4年度决算相比，收支各增加4334.70万元，上升174.39%，主要原因是增加绿化租地费项目、绿化租地费相关费用项目、630台账项目支出。</w:t>
      </w:r>
    </w:p>
    <w:p w14:paraId="672B560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A269E6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深入学习贯彻</w:t>
      </w:r>
      <w:r>
        <w:rPr>
          <w:rFonts w:hint="eastAsia" w:ascii="仿宋" w:hAnsi="仿宋" w:eastAsia="仿宋"/>
          <w:sz w:val="32"/>
          <w:szCs w:val="32"/>
        </w:rPr>
        <w:t>党的二十大精神和党的二十届三中全会精神，在全域旅游、乡村振兴方面做乘法，提高发展质量，为全面建设现代化经济强区、魅力鹿泉、生态宜居宜业宜游新城区贡献力量。</w:t>
      </w:r>
    </w:p>
    <w:p w14:paraId="72DCAEE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1、发挥农业旅游优势，提升乡村魅力</w:t>
      </w:r>
    </w:p>
    <w:p w14:paraId="61421B5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以连翘种植为契机，持续引进多种中药材。对水峪村连翘茶进行深加工，在增加就业的同时，形成“种植+采摘+二次加工+制茶”的产业链，完成商标设计和质量认证，通过线上直播宣传等多种方式，将连翘茶推向市场。推动荷莲峪酸枣种植，完善产业链条，依托民宿打造采摘、制茶等体验项目。大力发展休闲旅游，收集各村空闲土地和房屋，推广民宿，因地制宜，以山水为底色，发展果园经济、采摘经济，完善旅游购物配套设施，带动周边产品发展，提升游客体验感。争取建立农产品展示销售平台，通过该平台吸引社会投资者，重点推动现有产业发展。</w:t>
      </w:r>
    </w:p>
    <w:p w14:paraId="7B0E869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2、持续推进和美乡村建设提档升级</w:t>
      </w:r>
    </w:p>
    <w:p w14:paraId="3AF13B4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大力实施村庄绿化美化亮化，深入推进美丽庭院创建、生活垃圾整治和污水治理等“七个专项行动”，对照省级建设标准，着力补齐短板、全面提档升级，推动省级乡村振兴示范片区内人居环境整治工作再上新台阶，示范带动全区和美乡村建设工作高质量发展。持续改善空气质量。深入开展扬尘整治，开展“洗城净天”工作，对辖区内主干道、企业及工地开展持续巡查，建立问题清单、责任清单，对交办问题整改情况进行挂账督办、动态更新和办结销号管理，做好微站建设及日常消高值等工作。</w:t>
      </w:r>
    </w:p>
    <w:p w14:paraId="56F9234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3、深入推进基础设施提档升级</w:t>
      </w:r>
    </w:p>
    <w:p w14:paraId="68BCCFB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照乡村振兴示范区功能结构和规划定位，优化城乡基础设施和公共服务网络空间布局，推进乡村基础设施网络提档升级，建设一个宜居宜业宜游和美乡村片区。巩固脱贫攻坚成果，构建“近贫预警、职业培训、脱贫保稳”的精准防返贫机制。优化服务供给。深入实施文化惠民工程，完善基层综合性文化服务中心建设。</w:t>
      </w:r>
    </w:p>
    <w:p w14:paraId="4FEC4B4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4、持续保障社会和谐稳定</w:t>
      </w:r>
    </w:p>
    <w:p w14:paraId="7FF2A58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强化系统风险意识，着力防范化解重大风险。完善矛盾纠纷多元化解机制，集中解决一批信访积案和历史遗留问题。完善平安建设体制机制，健全立体化社会治安防控体系。严格落实安全生产责任制，常态化开展生产安全、消防安全、食品药品安全、森林防火等重点领域排查整治活动，严防各类安全事故发生。</w:t>
      </w:r>
    </w:p>
    <w:p w14:paraId="1C8E507A">
      <w:pPr>
        <w:adjustRightInd w:val="0"/>
        <w:snapToGrid w:val="0"/>
        <w:spacing w:line="560" w:lineRule="exact"/>
        <w:ind w:firstLine="640" w:firstLineChars="200"/>
        <w:rPr>
          <w:rFonts w:ascii="仿宋" w:hAnsi="仿宋" w:eastAsia="仿宋"/>
          <w:sz w:val="32"/>
          <w:szCs w:val="32"/>
        </w:rPr>
      </w:pPr>
      <w:r>
        <w:rPr>
          <w:rFonts w:hint="eastAsia" w:ascii="黑体" w:hAnsi="黑体" w:eastAsia="黑体"/>
          <w:sz w:val="32"/>
          <w:szCs w:val="32"/>
        </w:rPr>
        <w:t>二、自评工作开展情况</w:t>
      </w:r>
    </w:p>
    <w:p w14:paraId="7B23EB6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F31E34A">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我乡党委、政府严格落实主体责任，定期对绩效监控信息进行收集、汇总、分析。同时，我们还实行建设项目工作监察员制度，监察人员为乡纪委，以独立身份对本单位的建设项目工作实行全过程监督，享有知情权、参与权和建议权。</w:t>
      </w:r>
    </w:p>
    <w:p w14:paraId="32EEF103">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通过清晰的界定工作的内容与其需要达到的标准，使管理活动更加适宜，组织目标更加明确，达到项目设定的效果。精确编制建设项目预算；着重于计划管理、绩效监控、风险控制、资金筹措及绩效制度建设，认真组织实施；设立绩效自评工作组织，进行评价。</w:t>
      </w:r>
    </w:p>
    <w:p w14:paraId="72B46C02">
      <w:pPr>
        <w:numPr>
          <w:ilvl w:val="0"/>
          <w:numId w:val="2"/>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62CB054D">
      <w:pPr>
        <w:pStyle w:val="7"/>
        <w:numPr>
          <w:ilvl w:val="0"/>
          <w:numId w:val="3"/>
        </w:numPr>
        <w:spacing w:line="578" w:lineRule="exact"/>
        <w:ind w:firstLineChars="0"/>
        <w:rPr>
          <w:rFonts w:ascii="仿宋" w:hAnsi="仿宋" w:eastAsia="仿宋" w:cs="Times New Roman"/>
          <w:sz w:val="32"/>
          <w:szCs w:val="32"/>
        </w:rPr>
      </w:pPr>
      <w:r>
        <w:rPr>
          <w:rFonts w:hint="eastAsia" w:ascii="仿宋" w:hAnsi="仿宋" w:eastAsia="仿宋" w:cs="Times New Roman"/>
          <w:sz w:val="32"/>
          <w:szCs w:val="32"/>
        </w:rPr>
        <w:t>绩效自评方法</w:t>
      </w:r>
    </w:p>
    <w:p w14:paraId="135555D0">
      <w:pPr>
        <w:adjustRightInd w:val="0"/>
        <w:snapToGrid w:val="0"/>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根据项目实际情况，选用恰当的标准进行评价，通过定量评价标准、定性评价标准、隶属度标准、客观标准等方法相结合，从多角度进行综合评价。</w:t>
      </w:r>
    </w:p>
    <w:p w14:paraId="152D96A1">
      <w:p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2、绩效自评过程</w:t>
      </w:r>
    </w:p>
    <w:p w14:paraId="39465B5D">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前期准备：根据有关规定及要求，认真组织人员对项目自评资料进行收集、整理，针对指标完成情况进行绩效分析。为有效及时的完成项目绩效自评工作打下坚实的基础。</w:t>
      </w:r>
    </w:p>
    <w:p w14:paraId="7927E74A">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5254CF6D">
      <w:pPr>
        <w:spacing w:line="560" w:lineRule="exact"/>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分析评价：根据项目的自身特点和确定的各项绩效指标，对照项目完成情况，逐一进行评价，确保评价结论真实、客观、公平、公正。</w:t>
      </w:r>
    </w:p>
    <w:p w14:paraId="52540C3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E8D6AB3">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A7D8EFB">
      <w:pPr>
        <w:spacing w:line="560" w:lineRule="exact"/>
        <w:ind w:firstLine="800" w:firstLineChars="250"/>
        <w:rPr>
          <w:rFonts w:ascii="仿宋" w:hAnsi="仿宋" w:eastAsia="仿宋"/>
          <w:sz w:val="32"/>
          <w:szCs w:val="32"/>
        </w:rPr>
      </w:pPr>
      <w:r>
        <w:rPr>
          <w:rFonts w:hint="eastAsia" w:ascii="仿宋" w:hAnsi="仿宋" w:eastAsia="仿宋"/>
          <w:sz w:val="32"/>
          <w:szCs w:val="32"/>
        </w:rPr>
        <w:t>2025 年，我乡继续</w:t>
      </w:r>
      <w:bookmarkStart w:id="0" w:name="_GoBack"/>
      <w:bookmarkEnd w:id="0"/>
      <w:r>
        <w:rPr>
          <w:rFonts w:hint="eastAsia" w:ascii="仿宋" w:hAnsi="仿宋" w:eastAsia="仿宋"/>
          <w:sz w:val="32"/>
          <w:szCs w:val="32"/>
          <w:lang w:eastAsia="zh-CN"/>
        </w:rPr>
        <w:t>深入学习贯彻</w:t>
      </w:r>
      <w:r>
        <w:rPr>
          <w:rFonts w:hint="eastAsia" w:ascii="仿宋" w:hAnsi="仿宋" w:eastAsia="仿宋"/>
          <w:sz w:val="32"/>
          <w:szCs w:val="32"/>
        </w:rPr>
        <w:t>党的二十大精神和党的二十届三中全会精神，在全域旅游、乡村振兴方面做乘法，提高发展质量，为全面建设现代化经济强区、魅力鹿泉、生态宜居宜业宜游新城区贡献力量。</w:t>
      </w:r>
    </w:p>
    <w:p w14:paraId="520950C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9A1B0A2">
      <w:pPr>
        <w:spacing w:line="560" w:lineRule="exact"/>
        <w:ind w:firstLine="640" w:firstLineChars="200"/>
        <w:rPr>
          <w:rFonts w:hint="eastAsia" w:ascii="仿宋" w:hAnsi="仿宋" w:eastAsia="仿宋"/>
          <w:b/>
          <w:bCs/>
          <w:sz w:val="32"/>
          <w:szCs w:val="32"/>
        </w:rPr>
      </w:pPr>
      <w:r>
        <w:rPr>
          <w:rFonts w:hint="eastAsia" w:ascii="仿宋" w:hAnsi="仿宋" w:eastAsia="仿宋"/>
          <w:bCs/>
          <w:sz w:val="32"/>
          <w:szCs w:val="32"/>
        </w:rPr>
        <w:t>打造一村一品，发展特色农业。</w:t>
      </w:r>
      <w:r>
        <w:rPr>
          <w:rFonts w:hint="eastAsia" w:ascii="仿宋" w:hAnsi="仿宋" w:eastAsia="仿宋"/>
          <w:sz w:val="32"/>
          <w:szCs w:val="32"/>
        </w:rPr>
        <w:t>大力发展以响当当农业、西杨庄泉美生态园为代表的一批符合本地实际的特色休闲农业。举办第五届</w:t>
      </w:r>
      <w:r>
        <w:rPr>
          <w:rFonts w:hint="eastAsia" w:ascii="仿宋" w:hAnsi="仿宋" w:eastAsia="仿宋"/>
          <w:sz w:val="32"/>
          <w:szCs w:val="32"/>
          <w:lang w:val="zh-TW"/>
        </w:rPr>
        <w:t>谷家峪香椿</w:t>
      </w:r>
      <w:r>
        <w:rPr>
          <w:rFonts w:hint="eastAsia" w:ascii="仿宋" w:hAnsi="仿宋" w:eastAsia="仿宋"/>
          <w:sz w:val="32"/>
          <w:szCs w:val="32"/>
        </w:rPr>
        <w:t>节，“鹿泉香椿”成功入选“中国地理标志”商标，开辟了“香椿引流+旅游增收”的乡村振兴新路径。举办荷莲峪首届年糕节，做年糕、赶大集，传承和延续太行山区传统年俗。段庄“春山望”餐饮升级改造完成，商业配套“至外”饮品店投入使用。武庄村依托民宿产业，加快完善餐饮配套，“携山中餐厅”“携山慢烤”咖啡屋等，在社交媒体上传播广泛，成为新的网红打卡点。举办响当当樱桃采摘节、国际啤酒节</w:t>
      </w:r>
      <w:r>
        <w:rPr>
          <w:rFonts w:hint="eastAsia" w:ascii="仿宋" w:hAnsi="仿宋" w:eastAsia="仿宋"/>
          <w:sz w:val="32"/>
          <w:szCs w:val="32"/>
          <w:lang w:val="zh-TW"/>
        </w:rPr>
        <w:t>等特色活动，挖掘文化特色，发展采摘经济，</w:t>
      </w:r>
      <w:r>
        <w:rPr>
          <w:rFonts w:hint="eastAsia" w:ascii="仿宋" w:hAnsi="仿宋" w:eastAsia="仿宋"/>
          <w:sz w:val="32"/>
          <w:szCs w:val="32"/>
        </w:rPr>
        <w:t>共吸引游客8000余人次，实现村集体较往年增收明显。</w:t>
      </w:r>
    </w:p>
    <w:p w14:paraId="389E9E02">
      <w:pPr>
        <w:spacing w:line="560" w:lineRule="exact"/>
        <w:ind w:firstLine="640" w:firstLineChars="200"/>
        <w:rPr>
          <w:rFonts w:hint="eastAsia" w:ascii="仿宋" w:hAnsi="仿宋" w:eastAsia="仿宋"/>
          <w:sz w:val="32"/>
          <w:szCs w:val="32"/>
        </w:rPr>
      </w:pPr>
      <w:r>
        <w:rPr>
          <w:rFonts w:hint="eastAsia" w:ascii="仿宋" w:hAnsi="仿宋" w:eastAsia="仿宋"/>
          <w:bCs/>
          <w:sz w:val="32"/>
          <w:szCs w:val="32"/>
        </w:rPr>
        <w:t>合理规划，推进民宿产业发展。</w:t>
      </w:r>
      <w:r>
        <w:rPr>
          <w:rFonts w:hint="eastAsia" w:ascii="仿宋" w:hAnsi="仿宋" w:eastAsia="仿宋"/>
          <w:sz w:val="32"/>
          <w:szCs w:val="32"/>
        </w:rPr>
        <w:t>摸清全乡闲置房屋底数，建立台账，指导村集体发展特色民宿产业，重点打造水峪、段庄、荷莲峪、梁庄、上聂庄等精品民宿，加快形成产业集群，打造石家庄西部山居民宿第一站。目前我乡各类民宿总量达170多套，累计创建省级精品民宿5套，市级精品民宿16套，有力带动村集体经济实现增收，畅通“民宿+旅游”美丽致富之路。</w:t>
      </w:r>
    </w:p>
    <w:p w14:paraId="2C2D5967">
      <w:pPr>
        <w:spacing w:line="560" w:lineRule="exact"/>
        <w:ind w:firstLine="640" w:firstLineChars="200"/>
        <w:rPr>
          <w:rFonts w:hint="eastAsia" w:ascii="仿宋" w:hAnsi="仿宋" w:eastAsia="仿宋"/>
          <w:bCs/>
          <w:sz w:val="32"/>
          <w:szCs w:val="32"/>
        </w:rPr>
      </w:pPr>
      <w:r>
        <w:rPr>
          <w:rFonts w:hint="eastAsia" w:ascii="仿宋" w:hAnsi="仿宋" w:eastAsia="仿宋"/>
          <w:sz w:val="32"/>
          <w:szCs w:val="32"/>
        </w:rPr>
        <w:t>绿色生态发展，持续推进和美乡村建设。</w:t>
      </w:r>
      <w:r>
        <w:rPr>
          <w:rFonts w:ascii="仿宋" w:hAnsi="仿宋" w:eastAsia="仿宋"/>
          <w:bCs/>
          <w:sz w:val="32"/>
          <w:szCs w:val="32"/>
        </w:rPr>
        <w:t>开展人居环境整治专项行动。先后开展了农村人居环境整治活动、春季村庄清洁行动工作等，累计清理生活垃圾2474立方、建筑垃圾205立方、村内塘沟75处，累计动用车辆1120辆次、人员1315人次，基本实现了干净整洁、管理有序。</w:t>
      </w:r>
    </w:p>
    <w:p w14:paraId="368C24A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强化底线思维，筑牢全乡安全防线。坚持生态优先、预防为主、防治结合。严格执行林业法律法规，全面落实林长制工作要求，依法审批采伐申请，有效维护林区秩序。扎实做好林业有害生物监测与防治工作，未出现大面积</w:t>
      </w:r>
      <w:r>
        <w:rPr>
          <w:rFonts w:hint="eastAsia" w:ascii="仿宋" w:hAnsi="仿宋" w:eastAsia="仿宋" w:cs="仿宋"/>
          <w:sz w:val="32"/>
          <w:szCs w:val="32"/>
        </w:rPr>
        <w:t>病虫害灾情。持续筑牢森林防火屏障，与各村、相关单位签订防火责任书70余份，明确网格化管理责任。广泛宣传防火知识、法律法规和典型案例，开展集中宣传活动200次，发放宣传资料800余份。在重点防火期（如春节、清明、冬至等），组织护林员加大巡护密度和频次，严禁携带火种进山入林。组织开展乡防火应急演练4次，提升扑火队伍的快速反应和协同作战能力。全年未发生较大以上森林火灾，实现了“打早、打小、打了”的目标。</w:t>
      </w:r>
    </w:p>
    <w:p w14:paraId="3F7A4303">
      <w:pPr>
        <w:spacing w:line="560" w:lineRule="exact"/>
        <w:ind w:firstLine="600" w:firstLineChars="200"/>
        <w:rPr>
          <w:rFonts w:hint="eastAsia" w:ascii="仿宋" w:hAnsi="仿宋" w:eastAsia="仿宋"/>
          <w:sz w:val="32"/>
          <w:szCs w:val="32"/>
        </w:rPr>
      </w:pPr>
      <w:r>
        <w:rPr>
          <w:rFonts w:hint="eastAsia" w:ascii="仿宋" w:hAnsi="仿宋" w:eastAsia="仿宋" w:cs="仿宋"/>
          <w:color w:val="000000"/>
          <w:kern w:val="0"/>
          <w:sz w:val="30"/>
          <w:szCs w:val="30"/>
        </w:rPr>
        <w:t>扎实做好民生保障工作。一胎、二胎生育证办理44个，三胎生育证办理1个，计划生育独生子女和双女户奖扶26人，育儿补贴审核通过238人，</w:t>
      </w:r>
      <w:r>
        <w:rPr>
          <w:rFonts w:hint="eastAsia" w:ascii="仿宋" w:hAnsi="仿宋" w:eastAsia="仿宋" w:cs="仿宋"/>
          <w:color w:val="000000"/>
          <w:sz w:val="30"/>
          <w:szCs w:val="30"/>
        </w:rPr>
        <w:t>养老保险工作的认证工作已经完成，目前养老保险缴费接近尾声，应参保6358人，已参保6254人，参保率98.36%，医保缴费应缴8650人，已缴3495人，参保率40.4%。目前正在组织各村积极宣传医保缴费工作、第三代社保卡更换、电子社保卡的激活等工作。</w:t>
      </w:r>
      <w:r>
        <w:rPr>
          <w:rFonts w:hint="eastAsia" w:ascii="仿宋" w:hAnsi="仿宋" w:eastAsia="仿宋" w:cs="仿宋"/>
          <w:color w:val="000000"/>
          <w:kern w:val="0"/>
          <w:sz w:val="30"/>
          <w:szCs w:val="30"/>
        </w:rPr>
        <w:t>截止2025年到11月15日，个体设立95个，个体变更28个，个体注销104个，个体补换证2个，食品备案新办19个，食品备案注销8个，食品证新办6个，食品证注销5个，食品证变更3个，小摊点新办74个，小摊点注销85个，小摊点延续27个，小餐饮新办17个，小餐饮延续1个，小餐饮注销6个。</w:t>
      </w:r>
    </w:p>
    <w:p w14:paraId="756AD99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3EC766E">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得分＜75分为一般；得分＜60分为较差。白鹿泉乡本年度整体支出情况最终得分98.70分，综合绩效评价等级为优秀。</w:t>
      </w:r>
    </w:p>
    <w:p w14:paraId="05EDB327">
      <w:pPr>
        <w:spacing w:line="560" w:lineRule="exact"/>
        <w:ind w:firstLine="640" w:firstLineChars="200"/>
        <w:rPr>
          <w:rFonts w:ascii="仿宋" w:hAnsi="仿宋" w:eastAsia="仿宋"/>
          <w:sz w:val="32"/>
          <w:szCs w:val="32"/>
        </w:rPr>
      </w:pPr>
    </w:p>
    <w:p w14:paraId="68FB8BD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F42E97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862B5A5">
      <w:pPr>
        <w:spacing w:line="560" w:lineRule="exact"/>
        <w:ind w:firstLine="640" w:firstLineChars="200"/>
        <w:rPr>
          <w:rFonts w:ascii="楷体" w:hAnsi="楷体" w:eastAsia="楷体"/>
          <w:bCs/>
          <w:sz w:val="32"/>
          <w:szCs w:val="32"/>
        </w:rPr>
      </w:pPr>
      <w:r>
        <w:rPr>
          <w:rFonts w:hint="eastAsia" w:ascii="仿宋" w:hAnsi="仿宋" w:eastAsia="仿宋"/>
          <w:sz w:val="32"/>
          <w:szCs w:val="32"/>
        </w:rPr>
        <w:t>项目自评结果的运用方面不够完善。</w:t>
      </w:r>
    </w:p>
    <w:p w14:paraId="5009390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4D8818F8">
      <w:pPr>
        <w:spacing w:line="560" w:lineRule="exact"/>
        <w:ind w:firstLine="640" w:firstLineChars="200"/>
        <w:rPr>
          <w:rFonts w:ascii="仿宋" w:hAnsi="仿宋" w:eastAsia="仿宋"/>
        </w:rPr>
      </w:pPr>
      <w:r>
        <w:rPr>
          <w:rFonts w:hint="eastAsia" w:ascii="仿宋" w:hAnsi="仿宋" w:eastAsia="仿宋"/>
          <w:sz w:val="32"/>
          <w:szCs w:val="32"/>
        </w:rPr>
        <w:t>一是增强法律法规意识。提高自我约束和管理能力，保障专项资金专款专用。二是全面推行公示公告制度。积极推进财政专项资金项目公开公示，对资金安排、使用等信息进行公开。</w:t>
      </w:r>
    </w:p>
    <w:p w14:paraId="442861CA">
      <w:pPr>
        <w:spacing w:line="560" w:lineRule="exact"/>
        <w:ind w:firstLine="640" w:firstLineChars="200"/>
        <w:rPr>
          <w:rFonts w:ascii="楷体" w:hAnsi="楷体" w:eastAsia="楷体"/>
          <w:bCs/>
          <w:sz w:val="32"/>
          <w:szCs w:val="32"/>
        </w:rPr>
      </w:pPr>
    </w:p>
    <w:p w14:paraId="5F32703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20B0604020202020204"/>
    <w:charset w:val="00"/>
    <w:family w:val="swiss"/>
    <w:pitch w:val="default"/>
    <w:sig w:usb0="00000000" w:usb1="00000000" w:usb2="00000009" w:usb3="00000000" w:csb0="0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B82F8">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E213E1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- 9 -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39EFB3"/>
    <w:multiLevelType w:val="singleLevel"/>
    <w:tmpl w:val="D839EFB3"/>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568" w:firstLine="0"/>
      </w:pPr>
      <w:rPr>
        <w:rFonts w:hint="eastAsia"/>
      </w:rPr>
    </w:lvl>
  </w:abstractNum>
  <w:abstractNum w:abstractNumId="2">
    <w:nsid w:val="1E445486"/>
    <w:multiLevelType w:val="multilevel"/>
    <w:tmpl w:val="1E445486"/>
    <w:lvl w:ilvl="0" w:tentative="0">
      <w:start w:val="1"/>
      <w:numFmt w:val="decimal"/>
      <w:lvlText w:val="%1、"/>
      <w:lvlJc w:val="left"/>
      <w:pPr>
        <w:ind w:left="1362" w:hanging="720"/>
      </w:pPr>
      <w:rPr>
        <w:rFonts w:hint="default"/>
      </w:rPr>
    </w:lvl>
    <w:lvl w:ilvl="1" w:tentative="0">
      <w:start w:val="1"/>
      <w:numFmt w:val="lowerLetter"/>
      <w:lvlText w:val="%2)"/>
      <w:lvlJc w:val="left"/>
      <w:pPr>
        <w:ind w:left="1482" w:hanging="420"/>
      </w:pPr>
    </w:lvl>
    <w:lvl w:ilvl="2" w:tentative="0">
      <w:start w:val="1"/>
      <w:numFmt w:val="lowerRoman"/>
      <w:lvlText w:val="%3."/>
      <w:lvlJc w:val="right"/>
      <w:pPr>
        <w:ind w:left="1902" w:hanging="420"/>
      </w:pPr>
    </w:lvl>
    <w:lvl w:ilvl="3" w:tentative="0">
      <w:start w:val="1"/>
      <w:numFmt w:val="decimal"/>
      <w:lvlText w:val="%4."/>
      <w:lvlJc w:val="left"/>
      <w:pPr>
        <w:ind w:left="2322" w:hanging="420"/>
      </w:pPr>
    </w:lvl>
    <w:lvl w:ilvl="4" w:tentative="0">
      <w:start w:val="1"/>
      <w:numFmt w:val="lowerLetter"/>
      <w:lvlText w:val="%5)"/>
      <w:lvlJc w:val="left"/>
      <w:pPr>
        <w:ind w:left="2742" w:hanging="420"/>
      </w:pPr>
    </w:lvl>
    <w:lvl w:ilvl="5" w:tentative="0">
      <w:start w:val="1"/>
      <w:numFmt w:val="lowerRoman"/>
      <w:lvlText w:val="%6."/>
      <w:lvlJc w:val="right"/>
      <w:pPr>
        <w:ind w:left="3162" w:hanging="420"/>
      </w:pPr>
    </w:lvl>
    <w:lvl w:ilvl="6" w:tentative="0">
      <w:start w:val="1"/>
      <w:numFmt w:val="decimal"/>
      <w:lvlText w:val="%7."/>
      <w:lvlJc w:val="left"/>
      <w:pPr>
        <w:ind w:left="3582" w:hanging="420"/>
      </w:pPr>
    </w:lvl>
    <w:lvl w:ilvl="7" w:tentative="0">
      <w:start w:val="1"/>
      <w:numFmt w:val="lowerLetter"/>
      <w:lvlText w:val="%8)"/>
      <w:lvlJc w:val="left"/>
      <w:pPr>
        <w:ind w:left="4002" w:hanging="420"/>
      </w:pPr>
    </w:lvl>
    <w:lvl w:ilvl="8" w:tentative="0">
      <w:start w:val="1"/>
      <w:numFmt w:val="lowerRoman"/>
      <w:lvlText w:val="%9."/>
      <w:lvlJc w:val="right"/>
      <w:pPr>
        <w:ind w:left="4422" w:hanging="420"/>
      </w:p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gxMzVhZTBlNDUyZWUxNDVhMjNkN2E1NjFlOTE5NDcifQ=="/>
  </w:docVars>
  <w:rsids>
    <w:rsidRoot w:val="0EBD2122"/>
    <w:rsid w:val="000B0260"/>
    <w:rsid w:val="001B713F"/>
    <w:rsid w:val="00270765"/>
    <w:rsid w:val="002A06CA"/>
    <w:rsid w:val="00376610"/>
    <w:rsid w:val="00394C29"/>
    <w:rsid w:val="004044BA"/>
    <w:rsid w:val="00483656"/>
    <w:rsid w:val="005E0684"/>
    <w:rsid w:val="006178BE"/>
    <w:rsid w:val="00794FEA"/>
    <w:rsid w:val="007B43E1"/>
    <w:rsid w:val="007E6C1F"/>
    <w:rsid w:val="008D31C2"/>
    <w:rsid w:val="008E3731"/>
    <w:rsid w:val="00902F30"/>
    <w:rsid w:val="00956A93"/>
    <w:rsid w:val="009E575C"/>
    <w:rsid w:val="009F674E"/>
    <w:rsid w:val="00AB7591"/>
    <w:rsid w:val="00AE27CE"/>
    <w:rsid w:val="00AF167E"/>
    <w:rsid w:val="00AF566A"/>
    <w:rsid w:val="00B272FE"/>
    <w:rsid w:val="00B478EA"/>
    <w:rsid w:val="00B6553A"/>
    <w:rsid w:val="00B95A4E"/>
    <w:rsid w:val="00BC6576"/>
    <w:rsid w:val="00C66976"/>
    <w:rsid w:val="00CE06BA"/>
    <w:rsid w:val="00D95DE6"/>
    <w:rsid w:val="00E00E65"/>
    <w:rsid w:val="00E162EF"/>
    <w:rsid w:val="00E7170C"/>
    <w:rsid w:val="00F441CC"/>
    <w:rsid w:val="00F67D0B"/>
    <w:rsid w:val="00F71BD6"/>
    <w:rsid w:val="01B104CA"/>
    <w:rsid w:val="02106AB0"/>
    <w:rsid w:val="02B43A28"/>
    <w:rsid w:val="046F331E"/>
    <w:rsid w:val="07956271"/>
    <w:rsid w:val="09721397"/>
    <w:rsid w:val="0BB63BED"/>
    <w:rsid w:val="0EB97A43"/>
    <w:rsid w:val="0EBD2122"/>
    <w:rsid w:val="0F214EAE"/>
    <w:rsid w:val="11B71E6A"/>
    <w:rsid w:val="1AAF0063"/>
    <w:rsid w:val="1BE140DE"/>
    <w:rsid w:val="217E73F3"/>
    <w:rsid w:val="248C197D"/>
    <w:rsid w:val="252959AF"/>
    <w:rsid w:val="277A6671"/>
    <w:rsid w:val="292D35B7"/>
    <w:rsid w:val="32817910"/>
    <w:rsid w:val="33EB6CFF"/>
    <w:rsid w:val="35A12947"/>
    <w:rsid w:val="37387040"/>
    <w:rsid w:val="3B625C0A"/>
    <w:rsid w:val="3CEE1963"/>
    <w:rsid w:val="436B78D3"/>
    <w:rsid w:val="4C9C27FE"/>
    <w:rsid w:val="512260B4"/>
    <w:rsid w:val="52BD6ACB"/>
    <w:rsid w:val="55537534"/>
    <w:rsid w:val="561A74F1"/>
    <w:rsid w:val="58255193"/>
    <w:rsid w:val="597244E8"/>
    <w:rsid w:val="5EB71C3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link w:val="8"/>
    <w:qFormat/>
    <w:uiPriority w:val="0"/>
    <w:pPr>
      <w:keepNext/>
      <w:keepLines/>
      <w:spacing w:line="578" w:lineRule="exact"/>
      <w:ind w:firstLine="880" w:firstLineChars="200"/>
      <w:outlineLvl w:val="1"/>
    </w:pPr>
    <w:rPr>
      <w:rFonts w:ascii="Arial" w:hAnsi="Arial" w:eastAsia="楷体_GB2312" w:cs="Times New Roman"/>
      <w:sz w:val="32"/>
    </w:rPr>
  </w:style>
  <w:style w:type="character" w:default="1" w:styleId="6">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List Paragraph"/>
    <w:basedOn w:val="1"/>
    <w:unhideWhenUsed/>
    <w:qFormat/>
    <w:uiPriority w:val="99"/>
    <w:pPr>
      <w:ind w:firstLine="420" w:firstLineChars="200"/>
    </w:pPr>
  </w:style>
  <w:style w:type="character" w:customStyle="1" w:styleId="8">
    <w:name w:val="标题 2 Char"/>
    <w:basedOn w:val="6"/>
    <w:link w:val="2"/>
    <w:qFormat/>
    <w:uiPriority w:val="0"/>
    <w:rPr>
      <w:rFonts w:ascii="Arial" w:hAnsi="Arial" w:eastAsia="楷体_GB2312"/>
      <w:kern w:val="2"/>
      <w:sz w:val="3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709</Words>
  <Characters>4046</Characters>
  <Lines>33</Lines>
  <Paragraphs>9</Paragraphs>
  <TotalTime>69</TotalTime>
  <ScaleCrop>false</ScaleCrop>
  <LinksUpToDate>false</LinksUpToDate>
  <CharactersWithSpaces>4746</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2026-05-08T09:46:00Z</dcterms:created>
  <dc:creator>欣欣大人</dc:creator>
  <cp:lastModifiedBy>uos</cp:lastModifiedBy>
  <cp:lastPrinted>2024-03-06T15:40:00Z</cp:lastPrinted>
  <dcterms:modified xsi:type="dcterms:W3CDTF">2026-06-01T16:07:59Z</dcterms:modified>
  <dc:title>附件3：</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