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石家庄市鹿泉区公用事业管理中心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部门202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贯彻落实石家庄市鹿泉区人民政府《关于全面实施预算绩效管理的实施意见》（鹿发〔2019〕8号）文件精神，遵循“科学性、规范性、客观性和公正性”的原则，对</w:t>
      </w:r>
      <w:r>
        <w:rPr>
          <w:rFonts w:hint="eastAsia" w:ascii="仿宋" w:hAnsi="仿宋" w:eastAsia="仿宋" w:cs="仿宋"/>
          <w:sz w:val="32"/>
          <w:szCs w:val="32"/>
        </w:rPr>
        <w:t>石家庄市鹿泉区公用事业管理中心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部门职责：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rPr>
          <w:rFonts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贯彻落实国家、省、市园林绿化方面的方针政策、法律法规，制定本区相关政策性文件，并组织实施；制定园林绿化发展中长期规划和年度计划，会同有关部门编制城市园林专用规划和绿地系统详细规划，并组织实施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、负责全区城乡公园绿地、风景林地和主要道路绿化的方案设计和建设管理，负责城市绿化“绿线”管理，并监督检查；参与风景名胜区的规划编制、建设工作。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rPr>
          <w:rFonts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、负责全区城乡新、扩、改建项目配套绿地审查和绿化工程竣工验收；负责全区政府投资城乡园林绿化工程的设计、建设和维护管理并行使法律、法规规定的行政处罚权。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rPr>
          <w:rFonts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、负责城市规划区内砍伐移植树木、绿地占用、异地绿化的审批工作；参与审查新建各类公园的选址定点、规划设计方案和已建成公园规划调整方案。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rPr>
          <w:rFonts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、负责全区城乡绿地广场、公园、小游园等管理工作；监督指导全区企事业单位、住宅小区等绿化达标；组织申报“园林式单位”和“园林式小区”。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rPr>
          <w:rFonts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、负责园林绿化的普法教育和宣传工作。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rPr>
          <w:rFonts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、加强城区市政基础设施维护、绿化、亮化、城区防汛及公园管理。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rPr>
          <w:rFonts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、依法查处破坏市政基础设施行为。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rPr>
          <w:rFonts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、审批占用、挖掘市政基础设施、绿化设施项目。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rPr>
          <w:rFonts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、负责城区集中供热管理及液化气供应保障工作。</w:t>
      </w: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</w:pPr>
      <w:r>
        <w:rPr>
          <w:rFonts w:hint="eastAsia" w:ascii="仿宋" w:hAnsi="仿宋" w:eastAsia="仿宋" w:cs="宋体"/>
          <w:color w:val="000000"/>
          <w:szCs w:val="32"/>
          <w:lang w:val="en-US" w:eastAsia="zh-CN"/>
        </w:rPr>
        <w:t>11</w:t>
      </w:r>
      <w:r>
        <w:rPr>
          <w:rFonts w:hint="eastAsia" w:ascii="仿宋" w:hAnsi="仿宋" w:eastAsia="仿宋" w:cs="宋体"/>
          <w:color w:val="000000"/>
          <w:szCs w:val="32"/>
        </w:rPr>
        <w:t>、承办区委、区政府交办的其他事项。</w:t>
      </w:r>
    </w:p>
    <w:p>
      <w:pPr>
        <w:keepNext/>
        <w:keepLines/>
        <w:spacing w:line="580" w:lineRule="exact"/>
        <w:jc w:val="left"/>
        <w:outlineLvl w:val="0"/>
        <w:rPr>
          <w:rFonts w:ascii="黑体" w:eastAsia="黑体" w:cs="Times New Roman"/>
          <w:kern w:val="0"/>
          <w:sz w:val="32"/>
          <w:szCs w:val="32"/>
        </w:rPr>
      </w:pPr>
      <w:r>
        <w:rPr>
          <w:rFonts w:hint="eastAsia" w:ascii="黑体" w:eastAsia="黑体"/>
          <w:kern w:val="0"/>
          <w:sz w:val="32"/>
          <w:szCs w:val="32"/>
        </w:rPr>
        <w:t>机构设置</w:t>
      </w:r>
    </w:p>
    <w:p>
      <w:pPr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从决算编报单位构成看，纳入202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kern w:val="0"/>
          <w:sz w:val="32"/>
          <w:szCs w:val="32"/>
        </w:rPr>
        <w:t xml:space="preserve">年度本部门决算汇编范围的独立核算单位（以下简称“单位”）共 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kern w:val="0"/>
          <w:sz w:val="32"/>
          <w:szCs w:val="32"/>
        </w:rPr>
        <w:t xml:space="preserve"> 个，具体情况如下：</w:t>
      </w:r>
    </w:p>
    <w:tbl>
      <w:tblPr>
        <w:tblStyle w:val="4"/>
        <w:tblpPr w:leftFromText="180" w:rightFromText="180" w:vertAnchor="text" w:horzAnchor="page" w:tblpXSpec="center" w:tblpY="10"/>
        <w:tblOverlap w:val="never"/>
        <w:tblW w:w="95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"/>
        <w:gridCol w:w="3835"/>
        <w:gridCol w:w="2355"/>
        <w:gridCol w:w="24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98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83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235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  <w:t>单位基本性质</w:t>
            </w:r>
          </w:p>
        </w:tc>
        <w:tc>
          <w:tcPr>
            <w:tcW w:w="24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  <w:t>经费形式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1</w:t>
            </w:r>
          </w:p>
        </w:tc>
        <w:tc>
          <w:tcPr>
            <w:tcW w:w="383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石家庄市鹿泉区公用事业管理中心</w:t>
            </w:r>
          </w:p>
          <w:p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(本级)</w:t>
            </w:r>
          </w:p>
        </w:tc>
        <w:tc>
          <w:tcPr>
            <w:tcW w:w="235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财政补助事业单位</w:t>
            </w:r>
          </w:p>
        </w:tc>
        <w:tc>
          <w:tcPr>
            <w:tcW w:w="24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财政性资金基本保证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2</w:t>
            </w:r>
          </w:p>
        </w:tc>
        <w:tc>
          <w:tcPr>
            <w:tcW w:w="383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石家庄市鹿泉区市政公用设施</w:t>
            </w:r>
          </w:p>
          <w:p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管理维护中心</w:t>
            </w:r>
          </w:p>
        </w:tc>
        <w:tc>
          <w:tcPr>
            <w:tcW w:w="235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经费自理事业单位</w:t>
            </w:r>
          </w:p>
        </w:tc>
        <w:tc>
          <w:tcPr>
            <w:tcW w:w="24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财政性资金定额或</w:t>
            </w:r>
          </w:p>
          <w:p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定项补助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3</w:t>
            </w:r>
          </w:p>
        </w:tc>
        <w:tc>
          <w:tcPr>
            <w:tcW w:w="383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石家庄市鹿泉区海山公园</w:t>
            </w:r>
          </w:p>
        </w:tc>
        <w:tc>
          <w:tcPr>
            <w:tcW w:w="235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经费自理事业单位</w:t>
            </w:r>
          </w:p>
        </w:tc>
        <w:tc>
          <w:tcPr>
            <w:tcW w:w="24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财政性资金基本保证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98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4</w:t>
            </w:r>
          </w:p>
        </w:tc>
        <w:tc>
          <w:tcPr>
            <w:tcW w:w="383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石家庄市鹿泉区石柏公园</w:t>
            </w:r>
          </w:p>
        </w:tc>
        <w:tc>
          <w:tcPr>
            <w:tcW w:w="235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  <w:t>差额拨款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事业单位</w:t>
            </w:r>
          </w:p>
        </w:tc>
        <w:tc>
          <w:tcPr>
            <w:tcW w:w="24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财政性资金基本保证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985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3835" w:type="dxa"/>
            <w:vAlign w:val="center"/>
          </w:tcPr>
          <w:p>
            <w:pPr>
              <w:spacing w:line="560" w:lineRule="exact"/>
              <w:jc w:val="center"/>
              <w:rPr>
                <w:rFonts w:hint="default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石家庄市鹿泉区供热服务中心</w:t>
            </w:r>
          </w:p>
        </w:tc>
        <w:tc>
          <w:tcPr>
            <w:tcW w:w="2355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经费自理事业单位</w:t>
            </w:r>
          </w:p>
        </w:tc>
        <w:tc>
          <w:tcPr>
            <w:tcW w:w="2405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财政性资金基本保证</w:t>
            </w:r>
          </w:p>
        </w:tc>
      </w:tr>
    </w:tbl>
    <w:p>
      <w:pPr>
        <w:adjustRightInd w:val="0"/>
        <w:snapToGrid w:val="0"/>
        <w:spacing w:line="560" w:lineRule="exact"/>
        <w:rPr>
          <w:rFonts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Chars="200" w:firstLine="640" w:firstLineChars="200"/>
        <w:jc w:val="left"/>
        <w:textAlignment w:val="auto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本部门202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年度收入合计</w:t>
      </w:r>
      <w:r>
        <w:rPr>
          <w:rFonts w:hint="default" w:ascii="仿宋" w:hAnsi="仿宋" w:eastAsia="仿宋"/>
          <w:sz w:val="32"/>
          <w:szCs w:val="32"/>
          <w:lang w:val="en-US"/>
        </w:rPr>
        <w:t>15640.73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万元，其中：财政拨款收入</w:t>
      </w:r>
      <w:r>
        <w:rPr>
          <w:rFonts w:hint="default" w:ascii="仿宋" w:hAnsi="仿宋" w:eastAsia="仿宋"/>
          <w:sz w:val="32"/>
          <w:szCs w:val="32"/>
          <w:lang w:val="en-US"/>
        </w:rPr>
        <w:t>15640.73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万元，占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%；上级补助收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万元，占0%；事业收入0万元，占0%；经营收入</w:t>
      </w:r>
      <w:r>
        <w:rPr>
          <w:rFonts w:ascii="仿宋" w:hAnsi="仿宋" w:eastAsia="仿宋" w:cs="仿宋"/>
          <w:color w:val="auto"/>
          <w:sz w:val="32"/>
          <w:szCs w:val="32"/>
        </w:rPr>
        <w:t>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万元，占</w:t>
      </w:r>
      <w:r>
        <w:rPr>
          <w:rFonts w:ascii="仿宋" w:hAnsi="仿宋" w:eastAsia="仿宋" w:cs="仿宋"/>
          <w:color w:val="auto"/>
          <w:sz w:val="32"/>
          <w:szCs w:val="32"/>
        </w:rPr>
        <w:t>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%；附属单位上缴收入0万元，占0%；其他收入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万元，占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200" w:firstLine="640" w:firstLineChars="200"/>
        <w:jc w:val="left"/>
        <w:textAlignment w:val="auto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本部门202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年度支出合计</w:t>
      </w:r>
      <w:r>
        <w:rPr>
          <w:rFonts w:hint="default" w:ascii="仿宋" w:hAnsi="仿宋" w:eastAsia="仿宋"/>
          <w:sz w:val="32"/>
          <w:szCs w:val="32"/>
          <w:lang w:val="en-US"/>
        </w:rPr>
        <w:t>15984.53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万元，其中：基本支出</w:t>
      </w:r>
      <w:r>
        <w:rPr>
          <w:rFonts w:hint="default" w:ascii="仿宋_GB2312" w:hAnsi="仿宋" w:eastAsia="仿宋_GB2312"/>
          <w:sz w:val="32"/>
          <w:szCs w:val="32"/>
          <w:lang w:val="en-US"/>
        </w:rPr>
        <w:t>4301.61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万元，占</w:t>
      </w:r>
      <w:r>
        <w:rPr>
          <w:rFonts w:hint="default" w:ascii="仿宋_GB2312" w:hAnsi="仿宋" w:eastAsia="仿宋_GB2312"/>
          <w:sz w:val="32"/>
          <w:szCs w:val="32"/>
          <w:lang w:val="en-US"/>
        </w:rPr>
        <w:t>27.43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%；项目支出</w:t>
      </w:r>
      <w:r>
        <w:rPr>
          <w:rFonts w:hint="default" w:ascii="仿宋_GB2312" w:hAnsi="仿宋" w:eastAsia="仿宋_GB2312"/>
          <w:sz w:val="32"/>
          <w:szCs w:val="32"/>
          <w:lang w:val="en-US"/>
        </w:rPr>
        <w:t>11382.92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万元，占</w:t>
      </w:r>
      <w:r>
        <w:rPr>
          <w:rFonts w:hint="default" w:ascii="仿宋_GB2312" w:hAnsi="仿宋" w:eastAsia="仿宋_GB2312"/>
          <w:sz w:val="32"/>
          <w:szCs w:val="32"/>
          <w:lang w:val="en-US"/>
        </w:rPr>
        <w:t>72.57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%；经营支出</w:t>
      </w:r>
      <w:r>
        <w:rPr>
          <w:rFonts w:ascii="仿宋" w:hAnsi="仿宋" w:eastAsia="仿宋" w:cs="仿宋"/>
          <w:color w:val="auto"/>
          <w:sz w:val="32"/>
          <w:szCs w:val="32"/>
        </w:rPr>
        <w:t>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万元，占</w:t>
      </w:r>
      <w:r>
        <w:rPr>
          <w:rFonts w:ascii="仿宋" w:hAnsi="仿宋" w:eastAsia="仿宋" w:cs="仿宋"/>
          <w:color w:val="auto"/>
          <w:sz w:val="32"/>
          <w:szCs w:val="32"/>
        </w:rPr>
        <w:t>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%；对附属单位补助支出0万元，占0%。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spacing w:line="500" w:lineRule="exact"/>
        <w:ind w:firstLine="56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一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总体绩效目标</w:t>
      </w:r>
    </w:p>
    <w:p>
      <w:pPr>
        <w:numPr>
          <w:ilvl w:val="0"/>
          <w:numId w:val="0"/>
        </w:numPr>
        <w:autoSpaceDE w:val="0"/>
        <w:autoSpaceDN w:val="0"/>
        <w:adjustRightInd w:val="0"/>
        <w:ind w:leftChars="200" w:firstLine="640" w:firstLineChars="200"/>
        <w:jc w:val="left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202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，我们将根据城市规划和区政府工作部署，加快区基础设施建设，不断提高保障和服务水平，增强城市综合承载力。突出功能完善，着力提升城市品质。聚焦“民生实事”，持续增强供热保障能力。持续加强城市基础设施建设，完善城市功能，推进服务民生。</w:t>
      </w:r>
    </w:p>
    <w:p>
      <w:pPr>
        <w:numPr>
          <w:ilvl w:val="0"/>
          <w:numId w:val="1"/>
        </w:numPr>
        <w:autoSpaceDE w:val="0"/>
        <w:autoSpaceDN w:val="0"/>
        <w:adjustRightInd w:val="0"/>
        <w:ind w:leftChars="200" w:firstLine="640" w:firstLineChars="200"/>
        <w:jc w:val="left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开展景观打造，实现设计规划效果，提升城市建设品位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完成202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年口袋公园建设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1座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。</w:t>
      </w:r>
    </w:p>
    <w:p>
      <w:pPr>
        <w:numPr>
          <w:ilvl w:val="0"/>
          <w:numId w:val="1"/>
        </w:numPr>
        <w:autoSpaceDE w:val="0"/>
        <w:autoSpaceDN w:val="0"/>
        <w:adjustRightInd w:val="0"/>
        <w:ind w:leftChars="200" w:firstLine="640" w:firstLineChars="200"/>
        <w:jc w:val="left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</w:rPr>
        <w:t>持续增强供热保障能力。为满足主城区供热管网运行需要，进一步提高主城区供热质量</w:t>
      </w:r>
      <w:r>
        <w:rPr>
          <w:rFonts w:hint="eastAsia" w:ascii="仿宋" w:hAnsi="仿宋" w:eastAsia="仿宋"/>
          <w:color w:val="000000" w:themeColor="text1"/>
          <w:sz w:val="32"/>
          <w:szCs w:val="32"/>
          <w:lang w:eastAsia="zh-CN"/>
        </w:rPr>
        <w:t>。</w:t>
      </w:r>
    </w:p>
    <w:p>
      <w:pPr>
        <w:numPr>
          <w:ilvl w:val="0"/>
          <w:numId w:val="1"/>
        </w:numPr>
        <w:autoSpaceDE w:val="0"/>
        <w:autoSpaceDN w:val="0"/>
        <w:adjustRightInd w:val="0"/>
        <w:ind w:leftChars="200" w:firstLine="640" w:firstLineChars="200"/>
        <w:jc w:val="left"/>
        <w:rPr>
          <w:rFonts w:hint="eastAsia" w:ascii="仿宋" w:hAnsi="仿宋" w:eastAsia="仿宋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color w:val="000000"/>
          <w:sz w:val="32"/>
          <w:szCs w:val="32"/>
          <w:lang w:val="en-US" w:eastAsia="zh-CN"/>
        </w:rPr>
        <w:t>按照上级要求整理上报630台账50万以下工程、货物、服务类项目的相关资料</w:t>
      </w:r>
      <w:r>
        <w:rPr>
          <w:rFonts w:hint="eastAsia" w:ascii="仿宋" w:hAnsi="仿宋"/>
          <w:b w:val="0"/>
          <w:bCs w:val="0"/>
          <w:color w:val="000000"/>
          <w:sz w:val="32"/>
          <w:szCs w:val="32"/>
          <w:lang w:val="en-US" w:eastAsia="zh-CN"/>
        </w:rPr>
        <w:t>，</w:t>
      </w:r>
      <w:r>
        <w:rPr>
          <w:rFonts w:hint="eastAsia" w:ascii="仿宋" w:hAnsi="仿宋" w:eastAsia="仿宋"/>
          <w:b w:val="0"/>
          <w:bCs w:val="0"/>
          <w:color w:val="000000"/>
          <w:sz w:val="32"/>
          <w:szCs w:val="32"/>
          <w:lang w:val="en-US" w:eastAsia="zh-CN"/>
        </w:rPr>
        <w:t>完成债权核减协议的签订工作。</w:t>
      </w:r>
    </w:p>
    <w:p>
      <w:pPr>
        <w:numPr>
          <w:ilvl w:val="0"/>
          <w:numId w:val="2"/>
        </w:num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分项绩效目标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firstLine="640" w:firstLineChars="200"/>
        <w:jc w:val="left"/>
        <w:textAlignment w:val="auto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绩效目标：实施202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口袋公园建设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绩效指标1：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完成口袋公园约1900平方米面积的建设。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绩效指标2：合理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利用闲置空间，打造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集休闲娱乐、健身运动为一体的口袋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公园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评价资料收集：要求业务科室准备好绩效评价所需的佐证材料，其中评价指标应有对应的佐证材料相关指标的实现情况。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评价过程：</w:t>
      </w:r>
      <w:r>
        <w:rPr>
          <w:rFonts w:ascii="仿宋" w:hAnsi="仿宋" w:eastAsia="仿宋"/>
          <w:sz w:val="32"/>
          <w:szCs w:val="32"/>
        </w:rPr>
        <w:t>1</w:t>
      </w:r>
      <w:r>
        <w:rPr>
          <w:rFonts w:hint="eastAsia" w:ascii="仿宋" w:hAnsi="仿宋" w:eastAsia="仿宋"/>
          <w:sz w:val="32"/>
          <w:szCs w:val="32"/>
        </w:rPr>
        <w:t>、通过对相关资料的原件、数据来源及计算方法等，进一步核实自评材料及佐证材料的客观性、真实性、准确性，确保相关内容真实可靠、满足评价报告的需要。</w:t>
      </w:r>
      <w:r>
        <w:rPr>
          <w:rFonts w:ascii="仿宋" w:hAnsi="仿宋" w:eastAsia="仿宋"/>
          <w:sz w:val="32"/>
          <w:szCs w:val="32"/>
        </w:rPr>
        <w:t>2</w:t>
      </w:r>
      <w:r>
        <w:rPr>
          <w:rFonts w:hint="eastAsia" w:ascii="仿宋" w:hAnsi="仿宋" w:eastAsia="仿宋"/>
          <w:sz w:val="32"/>
          <w:szCs w:val="32"/>
        </w:rPr>
        <w:t>、通过仔细查阅实施、管理等各项过程材料、补充评审评价深度的不足，进一步把握评价项目及预算执行的规范性。</w:t>
      </w:r>
    </w:p>
    <w:p>
      <w:pPr>
        <w:numPr>
          <w:ilvl w:val="0"/>
          <w:numId w:val="3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spacing w:line="560" w:lineRule="exact"/>
        <w:ind w:firstLine="960" w:firstLineChars="3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度预算项目绩效自评采用对比法、因素分析法、审核法。主要由项目实施股室对各项目进行综合评价。包括项目预算资金的投入、执行及项目年度预期目标、产出指标、效益指标的预期指标值与实际完成值的评定，以打分的形式评价预算项目年度绩效指标的完成情况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</w:t>
      </w: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支出绩效目标实现情况及指标分析</w:t>
      </w:r>
    </w:p>
    <w:p>
      <w:pPr>
        <w:numPr>
          <w:ilvl w:val="0"/>
          <w:numId w:val="4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spacing w:line="560" w:lineRule="exact"/>
        <w:ind w:firstLine="640" w:firstLineChars="200"/>
        <w:rPr>
          <w:rFonts w:ascii="仿宋" w:hAnsi="仿宋" w:eastAsia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</w:rPr>
        <w:t>20</w:t>
      </w:r>
      <w:r>
        <w:rPr>
          <w:rFonts w:ascii="仿宋" w:hAnsi="仿宋" w:eastAsia="仿宋"/>
          <w:color w:val="000000" w:themeColor="text1"/>
          <w:sz w:val="32"/>
          <w:szCs w:val="32"/>
        </w:rPr>
        <w:t>2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年，我们将根据城市规划和区政府工作部署，积极参与北部区域振兴，加快区基础设施建设，不断提高保障和服务水平，增强城市综合承载力。突出功能完善，着力提升城市品质。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" w:hAnsi="仿宋" w:eastAsia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聚焦“民生实事”，持续增强供热保障能力。为满足主城区供热管网运行需要，进一步提高主城区供热质量。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开展景观打造，实现设计规划效果，提升城市建设品位。完成</w:t>
      </w:r>
      <w:r>
        <w:rPr>
          <w:rFonts w:ascii="仿宋" w:hAnsi="仿宋" w:eastAsia="仿宋"/>
          <w:color w:val="000000" w:themeColor="text1"/>
          <w:sz w:val="32"/>
          <w:szCs w:val="32"/>
        </w:rPr>
        <w:t>202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年口袋公园建设。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</w:rPr>
        <w:t>通过自评，202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年完成了年初编制的预期绩效目标任务。</w:t>
      </w:r>
    </w:p>
    <w:p>
      <w:pPr>
        <w:spacing w:line="560" w:lineRule="exact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spacing w:line="560" w:lineRule="exact"/>
        <w:ind w:firstLine="800" w:firstLineChars="250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一、智能取水栓水费</w:t>
      </w:r>
    </w:p>
    <w:tbl>
      <w:tblPr>
        <w:tblStyle w:val="4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2"/>
        <w:gridCol w:w="1110"/>
        <w:gridCol w:w="1050"/>
        <w:gridCol w:w="1380"/>
        <w:gridCol w:w="915"/>
        <w:gridCol w:w="1185"/>
        <w:gridCol w:w="1200"/>
        <w:gridCol w:w="100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" w:hRule="atLeast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default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区级部门预算项目绩效自评表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（2025年度）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2622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填报单位：石家庄市鹿泉区公用事业管理中心本级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1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一、</w:t>
            </w:r>
            <w:r>
              <w:rPr>
                <w:rStyle w:val="9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10"/>
                <w:lang w:val="en-US" w:eastAsia="zh-CN" w:bidi="ar"/>
              </w:rPr>
              <w:t>基本情况</w:t>
            </w:r>
          </w:p>
        </w:tc>
        <w:tc>
          <w:tcPr>
            <w:tcW w:w="6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34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智能取水栓水费</w:t>
            </w:r>
          </w:p>
        </w:tc>
        <w:tc>
          <w:tcPr>
            <w:tcW w:w="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1872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566001-石家庄市鹿泉区公用事业管理中心本级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66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1191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126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131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5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预算执行进度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6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6.5043</w:t>
            </w:r>
          </w:p>
        </w:tc>
        <w:tc>
          <w:tcPr>
            <w:tcW w:w="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6.5043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6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6.5043</w:t>
            </w:r>
          </w:p>
        </w:tc>
        <w:tc>
          <w:tcPr>
            <w:tcW w:w="55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6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财政资金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6.5043</w:t>
            </w:r>
          </w:p>
        </w:tc>
        <w:tc>
          <w:tcPr>
            <w:tcW w:w="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     财政资金</w:t>
            </w:r>
          </w:p>
        </w:tc>
        <w:tc>
          <w:tcPr>
            <w:tcW w:w="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6.5043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    财政资金</w:t>
            </w:r>
          </w:p>
        </w:tc>
        <w:tc>
          <w:tcPr>
            <w:tcW w:w="6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6.5043</w:t>
            </w:r>
          </w:p>
        </w:tc>
        <w:tc>
          <w:tcPr>
            <w:tcW w:w="5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6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6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66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1953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1820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5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总体完成率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66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53" w:type="pct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完成城区北斗路、观景大街、翠柏大街等绿化管护浇灌工作，用水11826立方米，美化环境，提升城市品位。</w:t>
            </w:r>
          </w:p>
        </w:tc>
        <w:tc>
          <w:tcPr>
            <w:tcW w:w="1820" w:type="pct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完成城区北斗路、观景大街、翠柏大街等绿化管护浇灌工作，用水11826立方米，美化环境，提升城市品位。</w:t>
            </w:r>
          </w:p>
        </w:tc>
        <w:tc>
          <w:tcPr>
            <w:tcW w:w="55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66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53" w:type="pct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0" w:type="pct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6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53" w:type="pct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0" w:type="pct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6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四、</w:t>
            </w:r>
            <w:r>
              <w:rPr>
                <w:rStyle w:val="9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10"/>
                <w:lang w:val="en-US" w:eastAsia="zh-CN" w:bidi="ar"/>
              </w:rPr>
              <w:t>年度绩效指标完成情况</w:t>
            </w:r>
          </w:p>
        </w:tc>
        <w:tc>
          <w:tcPr>
            <w:tcW w:w="6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26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6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5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2" w:type="pct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126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绿化管护用水量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11826立方米</w:t>
            </w:r>
          </w:p>
        </w:tc>
        <w:tc>
          <w:tcPr>
            <w:tcW w:w="6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11826立方米</w:t>
            </w:r>
          </w:p>
        </w:tc>
        <w:tc>
          <w:tcPr>
            <w:tcW w:w="5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126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绿化管护验收合格率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6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5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126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绿化管护按时完成率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6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5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126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绿化管护水费的单价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5.5</w:t>
            </w:r>
            <w:r>
              <w:rPr>
                <w:rStyle w:val="10"/>
                <w:lang w:val="en-US" w:eastAsia="zh-CN" w:bidi="ar"/>
              </w:rPr>
              <w:t>元</w:t>
            </w: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  <w:r>
              <w:rPr>
                <w:rStyle w:val="10"/>
                <w:lang w:val="en-US" w:eastAsia="zh-CN" w:bidi="ar"/>
              </w:rPr>
              <w:t>平方米</w:t>
            </w:r>
          </w:p>
        </w:tc>
        <w:tc>
          <w:tcPr>
            <w:tcW w:w="6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5.5</w:t>
            </w:r>
            <w:r>
              <w:rPr>
                <w:rStyle w:val="10"/>
                <w:lang w:val="en-US" w:eastAsia="zh-CN" w:bidi="ar"/>
              </w:rPr>
              <w:t>元</w:t>
            </w: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  <w:r>
              <w:rPr>
                <w:rStyle w:val="10"/>
                <w:lang w:val="en-US" w:eastAsia="zh-CN" w:bidi="ar"/>
              </w:rPr>
              <w:t>平方米</w:t>
            </w:r>
          </w:p>
        </w:tc>
        <w:tc>
          <w:tcPr>
            <w:tcW w:w="5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66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579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26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6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5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2" w:type="pct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579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社会效益指标</w:t>
            </w:r>
          </w:p>
        </w:tc>
        <w:tc>
          <w:tcPr>
            <w:tcW w:w="126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美化环境、提升城市品位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美化环境、提升品位</w:t>
            </w:r>
          </w:p>
        </w:tc>
        <w:tc>
          <w:tcPr>
            <w:tcW w:w="6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美化环境、提升品位</w:t>
            </w:r>
          </w:p>
        </w:tc>
        <w:tc>
          <w:tcPr>
            <w:tcW w:w="5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2" w:type="pct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9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可持续影响指标</w:t>
            </w:r>
          </w:p>
        </w:tc>
        <w:tc>
          <w:tcPr>
            <w:tcW w:w="126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绿化持续的时间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≥10</w:t>
            </w:r>
            <w:r>
              <w:rPr>
                <w:rStyle w:val="10"/>
                <w:lang w:val="en-US" w:eastAsia="zh-CN" w:bidi="ar"/>
              </w:rPr>
              <w:t>年</w:t>
            </w:r>
          </w:p>
        </w:tc>
        <w:tc>
          <w:tcPr>
            <w:tcW w:w="6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  <w:r>
              <w:rPr>
                <w:rStyle w:val="10"/>
                <w:lang w:val="en-US" w:eastAsia="zh-CN" w:bidi="ar"/>
              </w:rPr>
              <w:t>年</w:t>
            </w:r>
          </w:p>
        </w:tc>
        <w:tc>
          <w:tcPr>
            <w:tcW w:w="5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579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126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市民对绿化管护的满意度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6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90%</w:t>
            </w:r>
          </w:p>
        </w:tc>
        <w:tc>
          <w:tcPr>
            <w:tcW w:w="5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6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74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总分</w:t>
            </w:r>
          </w:p>
        </w:tc>
        <w:tc>
          <w:tcPr>
            <w:tcW w:w="5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668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五、</w:t>
            </w:r>
            <w:r>
              <w:rPr>
                <w:rStyle w:val="9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10"/>
                <w:lang w:val="en-US" w:eastAsia="zh-CN" w:bidi="ar"/>
              </w:rPr>
              <w:t>存在问题、原因及下一步整改措施</w:t>
            </w:r>
          </w:p>
        </w:tc>
        <w:tc>
          <w:tcPr>
            <w:tcW w:w="4331" w:type="pct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继续保持，下年度财政予以支持</w:t>
            </w:r>
          </w:p>
        </w:tc>
      </w:tr>
    </w:tbl>
    <w:p>
      <w:pPr>
        <w:adjustRightInd w:val="0"/>
        <w:snapToGrid w:val="0"/>
        <w:spacing w:line="580" w:lineRule="exact"/>
        <w:ind w:firstLine="640" w:firstLineChars="200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数量指标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：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绿化管护用水量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达到11826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立方米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，评分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分；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质量指标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：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绿化管护验收合格率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，达到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，评分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分；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时效指标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：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绿化管护按时完成率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达到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100%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，评分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分；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成本指标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：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绿化管护水费的单价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为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5.5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元/立方米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，评分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分；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预算执行率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：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资金到位率和到位及时率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都为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，评分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分；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社会效益指标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：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美化环境、提升城市品位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提升了城市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容貌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，改善了城市环境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，评分2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分。绿化持续的时间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大于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1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年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评分2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满意度指标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市民对绿化管护的满意度≥90%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，评分10分。</w:t>
      </w:r>
    </w:p>
    <w:p>
      <w:pPr>
        <w:spacing w:line="560" w:lineRule="exact"/>
        <w:ind w:firstLine="640" w:firstLineChars="200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二、城市维护费</w:t>
      </w:r>
    </w:p>
    <w:tbl>
      <w:tblPr>
        <w:tblW w:w="4881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7"/>
        <w:gridCol w:w="1200"/>
        <w:gridCol w:w="1065"/>
        <w:gridCol w:w="1125"/>
        <w:gridCol w:w="1095"/>
        <w:gridCol w:w="1020"/>
        <w:gridCol w:w="150"/>
        <w:gridCol w:w="735"/>
        <w:gridCol w:w="13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" w:hRule="atLeast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default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4"/>
                <w:szCs w:val="44"/>
                <w:u w:val="none"/>
                <w:bdr w:val="none" w:color="auto" w:sz="0" w:space="0"/>
                <w:lang w:val="en-US" w:eastAsia="zh-CN" w:bidi="ar"/>
              </w:rPr>
              <w:t>区级部门预算项目绩效自评表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（ 2025 年度）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3177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填报单位：石家庄市鹿泉区公用事业管理中心</w:t>
            </w:r>
          </w:p>
        </w:tc>
        <w:tc>
          <w:tcPr>
            <w:tcW w:w="576" w:type="pct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6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金额单位：万元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642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一、</w:t>
            </w:r>
            <w:r>
              <w:rPr>
                <w:rStyle w:val="15"/>
                <w:rFonts w:eastAsia="宋体"/>
                <w:bdr w:val="none" w:color="auto" w:sz="0" w:space="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基本情况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项目名称</w:t>
            </w:r>
          </w:p>
        </w:tc>
        <w:tc>
          <w:tcPr>
            <w:tcW w:w="1237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城市维护费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实施(主管）单位</w:t>
            </w:r>
          </w:p>
        </w:tc>
        <w:tc>
          <w:tcPr>
            <w:tcW w:w="1822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石家庄市鹿泉区公用事业管理中心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4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二、预算执行情况</w:t>
            </w:r>
          </w:p>
        </w:tc>
        <w:tc>
          <w:tcPr>
            <w:tcW w:w="128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预算安排情况（调整后）</w:t>
            </w:r>
          </w:p>
        </w:tc>
        <w:tc>
          <w:tcPr>
            <w:tcW w:w="125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资金到位情况</w:t>
            </w:r>
          </w:p>
        </w:tc>
        <w:tc>
          <w:tcPr>
            <w:tcW w:w="1076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资金执行情况</w:t>
            </w:r>
          </w:p>
        </w:tc>
        <w:tc>
          <w:tcPr>
            <w:tcW w:w="7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预算执行进度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4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预算数：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870</w:t>
            </w:r>
          </w:p>
        </w:tc>
        <w:tc>
          <w:tcPr>
            <w:tcW w:w="6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到位数：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870</w:t>
            </w:r>
          </w:p>
        </w:tc>
        <w:tc>
          <w:tcPr>
            <w:tcW w:w="661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执行数：</w:t>
            </w:r>
          </w:p>
        </w:tc>
        <w:tc>
          <w:tcPr>
            <w:tcW w:w="4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870</w:t>
            </w:r>
          </w:p>
        </w:tc>
        <w:tc>
          <w:tcPr>
            <w:tcW w:w="74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100.00%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64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其中：                 财政资金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870</w:t>
            </w:r>
          </w:p>
        </w:tc>
        <w:tc>
          <w:tcPr>
            <w:tcW w:w="6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其中：                      财政资金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870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其中：                     财政资金</w:t>
            </w:r>
          </w:p>
        </w:tc>
        <w:tc>
          <w:tcPr>
            <w:tcW w:w="50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870</w:t>
            </w:r>
          </w:p>
        </w:tc>
        <w:tc>
          <w:tcPr>
            <w:tcW w:w="7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4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其他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其他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其他</w:t>
            </w:r>
          </w:p>
        </w:tc>
        <w:tc>
          <w:tcPr>
            <w:tcW w:w="50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64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三、目标完成情况</w:t>
            </w:r>
          </w:p>
        </w:tc>
        <w:tc>
          <w:tcPr>
            <w:tcW w:w="1915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年度预期目标</w:t>
            </w:r>
          </w:p>
        </w:tc>
        <w:tc>
          <w:tcPr>
            <w:tcW w:w="1695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具体完成情况</w:t>
            </w:r>
          </w:p>
        </w:tc>
        <w:tc>
          <w:tcPr>
            <w:tcW w:w="7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总体完成率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" w:hRule="atLeast"/>
        </w:trPr>
        <w:tc>
          <w:tcPr>
            <w:tcW w:w="64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15" w:type="pct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完成107.63万平方米绿化的日常管护，美化环境，提升城市品味。</w:t>
            </w:r>
          </w:p>
        </w:tc>
        <w:tc>
          <w:tcPr>
            <w:tcW w:w="1695" w:type="pct"/>
            <w:gridSpan w:val="4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完成107.63万平方米绿化的日常管护，美化环境，提升城市品味。</w:t>
            </w:r>
          </w:p>
        </w:tc>
        <w:tc>
          <w:tcPr>
            <w:tcW w:w="74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64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15" w:type="pct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95" w:type="pct"/>
            <w:gridSpan w:val="4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4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15" w:type="pct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95" w:type="pct"/>
            <w:gridSpan w:val="4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4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四、</w:t>
            </w:r>
            <w:r>
              <w:rPr>
                <w:rStyle w:val="15"/>
                <w:rFonts w:eastAsia="宋体"/>
                <w:bdr w:val="none" w:color="auto" w:sz="0" w:space="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年度绩效指标完成情况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一级指标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二级指标</w:t>
            </w:r>
          </w:p>
        </w:tc>
        <w:tc>
          <w:tcPr>
            <w:tcW w:w="125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三级指标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预期指标值</w:t>
            </w:r>
          </w:p>
        </w:tc>
        <w:tc>
          <w:tcPr>
            <w:tcW w:w="50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实际完成值</w:t>
            </w:r>
          </w:p>
        </w:tc>
        <w:tc>
          <w:tcPr>
            <w:tcW w:w="7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4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8" w:type="pct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产出指标（40）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数量指标</w:t>
            </w:r>
          </w:p>
        </w:tc>
        <w:tc>
          <w:tcPr>
            <w:tcW w:w="125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完成绿化管护面积的数量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≤107.63平方米</w:t>
            </w:r>
          </w:p>
        </w:tc>
        <w:tc>
          <w:tcPr>
            <w:tcW w:w="50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107.63平方米</w:t>
            </w:r>
          </w:p>
        </w:tc>
        <w:tc>
          <w:tcPr>
            <w:tcW w:w="7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4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8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质量指标</w:t>
            </w:r>
          </w:p>
        </w:tc>
        <w:tc>
          <w:tcPr>
            <w:tcW w:w="125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管护的验收合格率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100%</w:t>
            </w:r>
          </w:p>
        </w:tc>
        <w:tc>
          <w:tcPr>
            <w:tcW w:w="50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100%</w:t>
            </w:r>
          </w:p>
        </w:tc>
        <w:tc>
          <w:tcPr>
            <w:tcW w:w="7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4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8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成本指标</w:t>
            </w:r>
          </w:p>
        </w:tc>
        <w:tc>
          <w:tcPr>
            <w:tcW w:w="125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绿地管护标准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</w:t>
            </w:r>
            <w:r>
              <w:rPr>
                <w:rStyle w:val="16"/>
                <w:bdr w:val="none" w:color="auto" w:sz="0" w:space="0"/>
                <w:lang w:val="en-US" w:eastAsia="zh-CN" w:bidi="ar"/>
              </w:rPr>
              <w:t>元</w:t>
            </w: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16"/>
                <w:bdr w:val="none" w:color="auto" w:sz="0" w:space="0"/>
                <w:lang w:val="en-US" w:eastAsia="zh-CN" w:bidi="ar"/>
              </w:rPr>
              <w:t>平方米</w:t>
            </w:r>
          </w:p>
        </w:tc>
        <w:tc>
          <w:tcPr>
            <w:tcW w:w="50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</w:t>
            </w:r>
            <w:r>
              <w:rPr>
                <w:rStyle w:val="16"/>
                <w:bdr w:val="none" w:color="auto" w:sz="0" w:space="0"/>
                <w:lang w:val="en-US" w:eastAsia="zh-CN" w:bidi="ar"/>
              </w:rPr>
              <w:t>元</w:t>
            </w: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16"/>
                <w:bdr w:val="none" w:color="auto" w:sz="0" w:space="0"/>
                <w:lang w:val="en-US" w:eastAsia="zh-CN" w:bidi="ar"/>
              </w:rPr>
              <w:t>平方米</w:t>
            </w:r>
          </w:p>
        </w:tc>
        <w:tc>
          <w:tcPr>
            <w:tcW w:w="7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4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8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时效指标</w:t>
            </w:r>
          </w:p>
        </w:tc>
        <w:tc>
          <w:tcPr>
            <w:tcW w:w="125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管护的按时完成率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100%</w:t>
            </w:r>
          </w:p>
        </w:tc>
        <w:tc>
          <w:tcPr>
            <w:tcW w:w="50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100%</w:t>
            </w:r>
          </w:p>
        </w:tc>
        <w:tc>
          <w:tcPr>
            <w:tcW w:w="7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4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预算执行率指标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（10分）</w:t>
            </w:r>
          </w:p>
        </w:tc>
        <w:tc>
          <w:tcPr>
            <w:tcW w:w="601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预算执行率</w:t>
            </w:r>
          </w:p>
        </w:tc>
        <w:tc>
          <w:tcPr>
            <w:tcW w:w="125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100%</w:t>
            </w:r>
          </w:p>
        </w:tc>
        <w:tc>
          <w:tcPr>
            <w:tcW w:w="50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100%</w:t>
            </w:r>
          </w:p>
        </w:tc>
        <w:tc>
          <w:tcPr>
            <w:tcW w:w="7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64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8" w:type="pct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效益指标（40）</w:t>
            </w:r>
          </w:p>
        </w:tc>
        <w:tc>
          <w:tcPr>
            <w:tcW w:w="601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社会效益指标</w:t>
            </w:r>
          </w:p>
        </w:tc>
        <w:tc>
          <w:tcPr>
            <w:tcW w:w="125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提升城市品位，改善城市环境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改善环境、提升品位</w:t>
            </w:r>
          </w:p>
        </w:tc>
        <w:tc>
          <w:tcPr>
            <w:tcW w:w="50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改善环境、提升品位</w:t>
            </w:r>
          </w:p>
        </w:tc>
        <w:tc>
          <w:tcPr>
            <w:tcW w:w="7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4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8" w:type="pct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1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可持续影响指标</w:t>
            </w:r>
          </w:p>
        </w:tc>
        <w:tc>
          <w:tcPr>
            <w:tcW w:w="125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城区绿化保持的时间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≥10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0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10年</w:t>
            </w:r>
          </w:p>
        </w:tc>
        <w:tc>
          <w:tcPr>
            <w:tcW w:w="7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4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满意度指标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（10分）</w:t>
            </w:r>
          </w:p>
        </w:tc>
        <w:tc>
          <w:tcPr>
            <w:tcW w:w="601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服务对象满意度指标</w:t>
            </w:r>
          </w:p>
        </w:tc>
        <w:tc>
          <w:tcPr>
            <w:tcW w:w="125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市民对城区维护的满意度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≥85%</w:t>
            </w:r>
          </w:p>
        </w:tc>
        <w:tc>
          <w:tcPr>
            <w:tcW w:w="500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90%</w:t>
            </w:r>
          </w:p>
        </w:tc>
        <w:tc>
          <w:tcPr>
            <w:tcW w:w="7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11" w:type="pct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总分</w:t>
            </w:r>
          </w:p>
        </w:tc>
        <w:tc>
          <w:tcPr>
            <w:tcW w:w="7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642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五、</w:t>
            </w:r>
            <w:r>
              <w:rPr>
                <w:rStyle w:val="15"/>
                <w:rFonts w:eastAsia="宋体"/>
                <w:bdr w:val="none" w:color="auto" w:sz="0" w:space="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存在问题、原因及下一步整改措施</w:t>
            </w:r>
          </w:p>
        </w:tc>
        <w:tc>
          <w:tcPr>
            <w:tcW w:w="4357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继续保持，下年度财政给予支持。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922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填报人：市政公用设施管理维护中心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6" w:type="pct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6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联系电话：82108691</w:t>
            </w:r>
          </w:p>
        </w:tc>
      </w:tr>
    </w:tbl>
    <w:p>
      <w:pPr>
        <w:adjustRightInd w:val="0"/>
        <w:snapToGrid w:val="0"/>
        <w:spacing w:line="580" w:lineRule="exact"/>
        <w:ind w:firstLine="640" w:firstLineChars="200"/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数量指标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：完成绿化管护面积的数量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107.63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平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方米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，评分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分；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质量指标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：管护的验收合格率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，达到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，评分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分；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时效指标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：管护工作的按时完成率达到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，评分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分；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成本指标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：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绿地管护标准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为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7元/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平方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米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，评分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分；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预算执行率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：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资金到位率和到位及时率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都为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，评分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分；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社会效益指标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：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提升城市品位，改善城市环境。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评分2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分。城区绿化保持的时间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评分2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满意度指标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市民对城区维护的满意度≥90%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，评分10分。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根据预算绩效管理要求，本部门组织对</w:t>
      </w:r>
      <w:r>
        <w:rPr>
          <w:rFonts w:ascii="仿宋" w:hAnsi="仿宋" w:eastAsia="仿宋" w:cs="仿宋_GB2312"/>
          <w:color w:val="000000" w:themeColor="text1"/>
          <w:sz w:val="32"/>
          <w:szCs w:val="32"/>
        </w:rPr>
        <w:t>202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年度预算项目全面开展绩效自评。其中，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6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highlight w:val="none"/>
        </w:rPr>
        <w:t>个项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目评分优秀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  <w:t>管护范围广，财政经费拨付不及时。</w:t>
      </w:r>
    </w:p>
    <w:p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ascii="仿宋" w:hAnsi="仿宋" w:eastAsia="仿宋"/>
        </w:rPr>
      </w:pPr>
      <w:r>
        <w:rPr>
          <w:rFonts w:hint="eastAsia" w:ascii="仿宋" w:hAnsi="仿宋" w:eastAsia="仿宋"/>
          <w:b/>
          <w:bCs/>
          <w:color w:val="000000" w:themeColor="text1"/>
          <w:sz w:val="32"/>
          <w:szCs w:val="32"/>
        </w:rPr>
        <w:t xml:space="preserve"> 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按规定合理安排资金使用，项目谋划要客观实际，确保能够实施。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Quad Arrow 3073" o:spid="_x0000_s3073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0A8AA0F"/>
    <w:multiLevelType w:val="singleLevel"/>
    <w:tmpl w:val="D0A8AA0F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3D5924AD"/>
    <w:multiLevelType w:val="singleLevel"/>
    <w:tmpl w:val="3D5924AD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,3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B713F"/>
    <w:rsid w:val="00376610"/>
    <w:rsid w:val="007B43E1"/>
    <w:rsid w:val="007E6C1F"/>
    <w:rsid w:val="008E3731"/>
    <w:rsid w:val="00956A93"/>
    <w:rsid w:val="009E575C"/>
    <w:rsid w:val="009F674E"/>
    <w:rsid w:val="00AF167E"/>
    <w:rsid w:val="00AF566A"/>
    <w:rsid w:val="00B478EA"/>
    <w:rsid w:val="00B6553A"/>
    <w:rsid w:val="00BC6576"/>
    <w:rsid w:val="00C66976"/>
    <w:rsid w:val="00CE06BA"/>
    <w:rsid w:val="00E00E65"/>
    <w:rsid w:val="00F441CC"/>
    <w:rsid w:val="01B104CA"/>
    <w:rsid w:val="02106AB0"/>
    <w:rsid w:val="02B43A28"/>
    <w:rsid w:val="03185B0A"/>
    <w:rsid w:val="036B5FD0"/>
    <w:rsid w:val="046F331E"/>
    <w:rsid w:val="07956271"/>
    <w:rsid w:val="09721397"/>
    <w:rsid w:val="0BB63BED"/>
    <w:rsid w:val="0EB97A43"/>
    <w:rsid w:val="0EBD2122"/>
    <w:rsid w:val="0F214EAE"/>
    <w:rsid w:val="1131239A"/>
    <w:rsid w:val="11B71E6A"/>
    <w:rsid w:val="1AAF0063"/>
    <w:rsid w:val="1BE140DE"/>
    <w:rsid w:val="248C197D"/>
    <w:rsid w:val="252959AF"/>
    <w:rsid w:val="277A6671"/>
    <w:rsid w:val="286825BB"/>
    <w:rsid w:val="28FF7DBA"/>
    <w:rsid w:val="292D35B7"/>
    <w:rsid w:val="2C4100D5"/>
    <w:rsid w:val="2EEB2CFA"/>
    <w:rsid w:val="32817910"/>
    <w:rsid w:val="33EB6CFF"/>
    <w:rsid w:val="35A12947"/>
    <w:rsid w:val="360C3319"/>
    <w:rsid w:val="37387040"/>
    <w:rsid w:val="3B625C0A"/>
    <w:rsid w:val="3CEE1963"/>
    <w:rsid w:val="436B78D3"/>
    <w:rsid w:val="45A733CE"/>
    <w:rsid w:val="4C9C27FE"/>
    <w:rsid w:val="512260B4"/>
    <w:rsid w:val="52BD6ACB"/>
    <w:rsid w:val="55537534"/>
    <w:rsid w:val="561A74F1"/>
    <w:rsid w:val="58255193"/>
    <w:rsid w:val="59134FE8"/>
    <w:rsid w:val="597244E8"/>
    <w:rsid w:val="5CAB685D"/>
    <w:rsid w:val="5EB71C30"/>
    <w:rsid w:val="652809F9"/>
    <w:rsid w:val="66AF0CE5"/>
    <w:rsid w:val="6A3E38B6"/>
    <w:rsid w:val="6AC537CF"/>
    <w:rsid w:val="6E5B14A6"/>
    <w:rsid w:val="6FB51408"/>
    <w:rsid w:val="711B255E"/>
    <w:rsid w:val="74E608D1"/>
    <w:rsid w:val="79261D55"/>
    <w:rsid w:val="7BB51E06"/>
    <w:rsid w:val="7C387F7C"/>
    <w:rsid w:val="7E8C3946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UserStyle_0"/>
    <w:qFormat/>
    <w:uiPriority w:val="0"/>
    <w:pPr>
      <w:jc w:val="both"/>
      <w:textAlignment w:val="baseline"/>
    </w:pPr>
    <w:rPr>
      <w:rFonts w:ascii="宋体" w:hAnsi="宋体" w:eastAsia="宋体" w:cs="Times New Roman"/>
      <w:kern w:val="2"/>
      <w:sz w:val="32"/>
      <w:szCs w:val="22"/>
      <w:lang w:val="en-US" w:eastAsia="zh-CN" w:bidi="ar-SA"/>
    </w:rPr>
  </w:style>
  <w:style w:type="character" w:customStyle="1" w:styleId="7">
    <w:name w:val="font61"/>
    <w:basedOn w:val="5"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8">
    <w:name w:val="font11"/>
    <w:basedOn w:val="5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9">
    <w:name w:val="font41"/>
    <w:basedOn w:val="5"/>
    <w:qFormat/>
    <w:uiPriority w:val="0"/>
    <w:rPr>
      <w:rFonts w:ascii="Calibri" w:hAnsi="Calibri" w:cs="Calibri"/>
      <w:color w:val="000000"/>
      <w:sz w:val="20"/>
      <w:szCs w:val="20"/>
      <w:u w:val="none"/>
    </w:rPr>
  </w:style>
  <w:style w:type="character" w:customStyle="1" w:styleId="10">
    <w:name w:val="font31"/>
    <w:basedOn w:val="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1">
    <w:name w:val="font21"/>
    <w:basedOn w:val="5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2">
    <w:name w:val="font91"/>
    <w:basedOn w:val="5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3">
    <w:name w:val="font71"/>
    <w:basedOn w:val="5"/>
    <w:uiPriority w:val="0"/>
    <w:rPr>
      <w:rFonts w:hint="default" w:ascii="Calibri" w:hAnsi="Calibri" w:cs="Calibri"/>
      <w:color w:val="000000"/>
      <w:sz w:val="20"/>
      <w:szCs w:val="20"/>
      <w:u w:val="none"/>
    </w:rPr>
  </w:style>
  <w:style w:type="character" w:customStyle="1" w:styleId="14">
    <w:name w:val="font81"/>
    <w:basedOn w:val="5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5">
    <w:name w:val="font51"/>
    <w:basedOn w:val="5"/>
    <w:uiPriority w:val="0"/>
    <w:rPr>
      <w:rFonts w:ascii="Calibri" w:hAnsi="Calibri" w:cs="Calibri"/>
      <w:color w:val="000000"/>
      <w:sz w:val="20"/>
      <w:szCs w:val="20"/>
      <w:u w:val="none"/>
    </w:rPr>
  </w:style>
  <w:style w:type="character" w:customStyle="1" w:styleId="16">
    <w:name w:val="font01"/>
    <w:basedOn w:val="5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1080</Words>
  <Characters>1154</Characters>
  <Lines>4</Lines>
  <Paragraphs>1</Paragraphs>
  <TotalTime>2672</TotalTime>
  <ScaleCrop>false</ScaleCrop>
  <LinksUpToDate>false</LinksUpToDate>
  <CharactersWithSpaces>1161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2026-05-07T06:51:55Z</cp:lastPrinted>
  <dcterms:modified xsi:type="dcterms:W3CDTF">2026-05-09T02:50:24Z</dcterms:modified>
  <dc:title>附件3：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eyJoZGlkIjoiMmZiYzE4Mjg0ZDA0OTEzZTkyNmQ4NTBmNmM0NDk3MzMiLCJ1c2VySWQiOiIxNzQ5OTY4NzE3In0=</vt:lpwstr>
  </property>
</Properties>
</file>