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376591">
      <w:pPr>
        <w:keepNext w:val="0"/>
        <w:keepLines w:val="0"/>
        <w:pageBreakBefore w:val="0"/>
        <w:kinsoku/>
        <w:wordWrap/>
        <w:overflowPunct/>
        <w:topLinePunct w:val="0"/>
        <w:autoSpaceDE/>
        <w:autoSpaceDN/>
        <w:bidi w:val="0"/>
        <w:spacing w:line="578" w:lineRule="exact"/>
        <w:ind w:left="0" w:leftChars="0"/>
        <w:jc w:val="both"/>
        <w:rPr>
          <w:rFonts w:ascii="宋体" w:hAnsi="宋体" w:cs="宋体"/>
          <w:b/>
          <w:bCs/>
          <w:sz w:val="44"/>
          <w:szCs w:val="44"/>
        </w:rPr>
      </w:pPr>
    </w:p>
    <w:p w14:paraId="66CF187A">
      <w:pPr>
        <w:keepNext w:val="0"/>
        <w:keepLines w:val="0"/>
        <w:pageBreakBefore w:val="0"/>
        <w:kinsoku/>
        <w:wordWrap/>
        <w:overflowPunct/>
        <w:topLinePunct w:val="0"/>
        <w:autoSpaceDE/>
        <w:autoSpaceDN/>
        <w:bidi w:val="0"/>
        <w:spacing w:line="578" w:lineRule="exact"/>
        <w:ind w:left="0" w:leftChars="0"/>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石家庄市鹿泉区财政局</w:t>
      </w:r>
    </w:p>
    <w:p w14:paraId="7F974BA1">
      <w:pPr>
        <w:keepNext w:val="0"/>
        <w:keepLines w:val="0"/>
        <w:pageBreakBefore w:val="0"/>
        <w:kinsoku/>
        <w:wordWrap/>
        <w:overflowPunct/>
        <w:topLinePunct w:val="0"/>
        <w:autoSpaceDE/>
        <w:autoSpaceDN/>
        <w:bidi w:val="0"/>
        <w:spacing w:line="578" w:lineRule="exact"/>
        <w:ind w:left="0" w:leftChars="0"/>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6</w:t>
      </w:r>
      <w:bookmarkStart w:id="0" w:name="_GoBack"/>
      <w:bookmarkEnd w:id="0"/>
      <w:r>
        <w:rPr>
          <w:rFonts w:hint="eastAsia" w:ascii="方正小标宋简体" w:hAnsi="方正小标宋简体" w:eastAsia="方正小标宋简体" w:cs="方正小标宋简体"/>
          <w:b w:val="0"/>
          <w:bCs w:val="0"/>
          <w:sz w:val="44"/>
          <w:szCs w:val="44"/>
        </w:rPr>
        <w:t>年度整体支出绩效自评报告</w:t>
      </w:r>
    </w:p>
    <w:p w14:paraId="5AA5CDE8">
      <w:pPr>
        <w:keepNext w:val="0"/>
        <w:keepLines w:val="0"/>
        <w:pageBreakBefore w:val="0"/>
        <w:kinsoku/>
        <w:wordWrap/>
        <w:overflowPunct/>
        <w:topLinePunct w:val="0"/>
        <w:autoSpaceDE/>
        <w:autoSpaceDN/>
        <w:bidi w:val="0"/>
        <w:spacing w:line="578" w:lineRule="exact"/>
        <w:ind w:left="0" w:leftChars="0"/>
        <w:jc w:val="center"/>
        <w:rPr>
          <w:rFonts w:ascii="华文楷体" w:eastAsia="华文楷体"/>
          <w:sz w:val="32"/>
          <w:szCs w:val="32"/>
        </w:rPr>
      </w:pPr>
    </w:p>
    <w:p w14:paraId="1DDE5816">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贯彻落实石家庄市鹿泉区人民政府《关于全面实施预算绩效管理的实施意见》（鹿发〔2019〕8号）文件精神，遵循“科学性、规范性、客观性和公正性”的原则，鹿泉区财政局对202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14:paraId="614B4EC9">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27842CF7">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（一）部门概况</w:t>
      </w:r>
    </w:p>
    <w:p w14:paraId="1CB08B01">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石家庄市鹿泉区财政局为正科级行政单位，下设鹿泉区财政集中支付中心、鹿泉区收费中心、鹿泉区预算绩效管理中心、鹿泉区政府投资评审中心、鹿泉区</w:t>
      </w:r>
      <w:r>
        <w:rPr>
          <w:rFonts w:hint="eastAsia" w:ascii="仿宋_GB2312" w:hAnsi="仿宋_GB2312" w:eastAsia="仿宋_GB2312" w:cs="仿宋_GB2312"/>
          <w:sz w:val="32"/>
          <w:szCs w:val="32"/>
          <w:lang w:eastAsia="zh-CN"/>
        </w:rPr>
        <w:t>财源建设</w:t>
      </w:r>
      <w:r>
        <w:rPr>
          <w:rFonts w:hint="eastAsia" w:ascii="仿宋_GB2312" w:hAnsi="仿宋_GB2312" w:eastAsia="仿宋_GB2312" w:cs="仿宋_GB2312"/>
          <w:sz w:val="32"/>
          <w:szCs w:val="32"/>
        </w:rPr>
        <w:t>中心五个全额拨款事业单位。现有行政在编人员1</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人，事业在编</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人，离退休人员</w:t>
      </w:r>
      <w:r>
        <w:rPr>
          <w:rFonts w:hint="eastAsia" w:ascii="仿宋_GB2312" w:hAnsi="仿宋_GB2312" w:eastAsia="仿宋_GB2312" w:cs="仿宋_GB2312"/>
          <w:sz w:val="32"/>
          <w:szCs w:val="32"/>
          <w:lang w:val="en-US" w:eastAsia="zh-CN"/>
        </w:rPr>
        <w:t>60</w:t>
      </w:r>
      <w:r>
        <w:rPr>
          <w:rFonts w:hint="eastAsia" w:ascii="仿宋_GB2312" w:hAnsi="仿宋_GB2312" w:eastAsia="仿宋_GB2312" w:cs="仿宋_GB2312"/>
          <w:sz w:val="32"/>
          <w:szCs w:val="32"/>
        </w:rPr>
        <w:t>人，劳动聘用人员2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人，合计1</w:t>
      </w:r>
      <w:r>
        <w:rPr>
          <w:rFonts w:hint="eastAsia" w:ascii="仿宋_GB2312" w:hAnsi="仿宋_GB2312" w:eastAsia="仿宋_GB2312" w:cs="仿宋_GB2312"/>
          <w:sz w:val="32"/>
          <w:szCs w:val="32"/>
          <w:lang w:val="en-US" w:eastAsia="zh-CN"/>
        </w:rPr>
        <w:t>47</w:t>
      </w:r>
      <w:r>
        <w:rPr>
          <w:rFonts w:hint="eastAsia" w:ascii="仿宋_GB2312" w:hAnsi="仿宋_GB2312" w:eastAsia="仿宋_GB2312" w:cs="仿宋_GB2312"/>
          <w:sz w:val="32"/>
          <w:szCs w:val="32"/>
        </w:rPr>
        <w:t>人。</w:t>
      </w:r>
    </w:p>
    <w:p w14:paraId="778AF868">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部门收支预决算情况</w:t>
      </w:r>
    </w:p>
    <w:p w14:paraId="25F9FE20">
      <w:pPr>
        <w:keepNext w:val="0"/>
        <w:keepLines w:val="0"/>
        <w:pageBreakBefore w:val="0"/>
        <w:widowControl w:val="0"/>
        <w:kinsoku/>
        <w:wordWrap/>
        <w:overflowPunct/>
        <w:topLinePunct w:val="0"/>
        <w:autoSpaceDE/>
        <w:autoSpaceDN/>
        <w:bidi w:val="0"/>
        <w:spacing w:line="578" w:lineRule="exact"/>
        <w:ind w:left="0" w:leftChars="0" w:firstLine="640" w:firstLineChars="200"/>
        <w:jc w:val="left"/>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kern w:val="0"/>
          <w:sz w:val="32"/>
          <w:szCs w:val="32"/>
        </w:rPr>
        <w:t>本部门202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年度收、支总计（含结转和结余）</w:t>
      </w:r>
      <w:r>
        <w:rPr>
          <w:rFonts w:hint="eastAsia" w:ascii="仿宋_GB2312" w:hAnsi="仿宋_GB2312" w:eastAsia="仿宋_GB2312" w:cs="仿宋_GB2312"/>
          <w:sz w:val="32"/>
          <w:szCs w:val="32"/>
          <w:lang w:val="en-US" w:eastAsia="zh-CN"/>
        </w:rPr>
        <w:t>1873.79</w:t>
      </w:r>
      <w:r>
        <w:rPr>
          <w:rFonts w:hint="eastAsia" w:ascii="仿宋_GB2312" w:hAnsi="仿宋_GB2312" w:eastAsia="仿宋_GB2312" w:cs="仿宋_GB2312"/>
          <w:kern w:val="0"/>
          <w:sz w:val="32"/>
          <w:szCs w:val="32"/>
        </w:rPr>
        <w:t>万元。与202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年度决算相比，收支各</w:t>
      </w:r>
      <w:r>
        <w:rPr>
          <w:rFonts w:hint="eastAsia" w:ascii="仿宋_GB2312" w:hAnsi="仿宋_GB2312" w:eastAsia="仿宋_GB2312" w:cs="仿宋_GB2312"/>
          <w:kern w:val="0"/>
          <w:sz w:val="32"/>
          <w:szCs w:val="32"/>
          <w:lang w:eastAsia="zh-CN"/>
        </w:rPr>
        <w:t>减少</w:t>
      </w:r>
      <w:r>
        <w:rPr>
          <w:rFonts w:hint="eastAsia" w:ascii="仿宋_GB2312" w:hAnsi="仿宋_GB2312" w:eastAsia="仿宋_GB2312" w:cs="仿宋_GB2312"/>
          <w:sz w:val="32"/>
          <w:szCs w:val="32"/>
          <w:lang w:val="en-US" w:eastAsia="zh-CN"/>
        </w:rPr>
        <w:t>1633.56</w:t>
      </w:r>
      <w:r>
        <w:rPr>
          <w:rFonts w:hint="eastAsia" w:ascii="仿宋_GB2312" w:hAnsi="仿宋_GB2312" w:eastAsia="仿宋_GB2312" w:cs="仿宋_GB2312"/>
          <w:kern w:val="0"/>
          <w:sz w:val="32"/>
          <w:szCs w:val="32"/>
        </w:rPr>
        <w:t>万元，</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幅度为</w:t>
      </w:r>
      <w:r>
        <w:rPr>
          <w:rFonts w:hint="eastAsia" w:ascii="仿宋_GB2312" w:hAnsi="仿宋_GB2312" w:eastAsia="仿宋_GB2312" w:cs="仿宋_GB2312"/>
          <w:sz w:val="32"/>
          <w:szCs w:val="32"/>
          <w:lang w:val="en-US" w:eastAsia="zh-CN"/>
        </w:rPr>
        <w:t>46.58</w:t>
      </w:r>
      <w:r>
        <w:rPr>
          <w:rFonts w:hint="eastAsia" w:ascii="仿宋_GB2312" w:hAnsi="仿宋_GB2312" w:eastAsia="仿宋_GB2312" w:cs="仿宋_GB2312"/>
          <w:sz w:val="32"/>
          <w:szCs w:val="32"/>
        </w:rPr>
        <w:t>%</w:t>
      </w:r>
      <w:r>
        <w:rPr>
          <w:rFonts w:hint="eastAsia" w:ascii="仿宋_GB2312" w:hAnsi="仿宋_GB2312" w:eastAsia="仿宋_GB2312" w:cs="仿宋_GB2312"/>
          <w:kern w:val="0"/>
          <w:sz w:val="32"/>
          <w:szCs w:val="32"/>
        </w:rPr>
        <w:t>，主要原因是</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highlight w:val="none"/>
          <w:lang w:eastAsia="zh-CN"/>
        </w:rPr>
        <w:t>项目支出较上年减少，比如占地补偿项目核查</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eastAsia="zh-CN"/>
        </w:rPr>
        <w:t>旧欠</w:t>
      </w:r>
      <w:r>
        <w:rPr>
          <w:rFonts w:hint="eastAsia" w:ascii="仿宋_GB2312" w:hAnsi="仿宋_GB2312" w:eastAsia="仿宋_GB2312" w:cs="仿宋_GB2312"/>
          <w:sz w:val="32"/>
          <w:szCs w:val="32"/>
          <w:highlight w:val="none"/>
          <w:lang w:val="en-US" w:eastAsia="zh-CN"/>
        </w:rPr>
        <w:t>)、支付管网公司购买没收地上附作物应交税费、委托拍卖佣金等项目减少</w:t>
      </w:r>
      <w:r>
        <w:rPr>
          <w:rFonts w:hint="eastAsia" w:ascii="仿宋_GB2312" w:hAnsi="仿宋_GB2312" w:eastAsia="仿宋_GB2312" w:cs="仿宋_GB2312"/>
          <w:sz w:val="32"/>
          <w:szCs w:val="32"/>
          <w:highlight w:val="none"/>
          <w:lang w:eastAsia="zh-CN"/>
        </w:rPr>
        <w:t>；另外本年度无政府性基金支出安排</w:t>
      </w:r>
      <w:r>
        <w:rPr>
          <w:rFonts w:hint="eastAsia" w:ascii="仿宋_GB2312" w:hAnsi="仿宋_GB2312" w:eastAsia="仿宋_GB2312" w:cs="仿宋_GB2312"/>
          <w:sz w:val="32"/>
          <w:szCs w:val="32"/>
          <w:lang w:eastAsia="zh-CN"/>
        </w:rPr>
        <w:t>。</w:t>
      </w:r>
    </w:p>
    <w:p w14:paraId="26AF5391">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楷体_GB2312" w:hAnsi="楷体_GB2312" w:eastAsia="楷体_GB2312" w:cs="楷体_GB2312"/>
          <w:b w:val="0"/>
          <w:bCs/>
          <w:sz w:val="32"/>
          <w:szCs w:val="32"/>
          <w:lang w:val="en-US" w:eastAsia="zh-CN" w:bidi="ar-SA"/>
        </w:rPr>
      </w:pPr>
      <w:r>
        <w:rPr>
          <w:rFonts w:hint="eastAsia" w:ascii="楷体_GB2312" w:hAnsi="楷体_GB2312" w:eastAsia="楷体_GB2312" w:cs="楷体_GB2312"/>
          <w:b w:val="0"/>
          <w:bCs/>
          <w:sz w:val="32"/>
          <w:szCs w:val="32"/>
        </w:rPr>
        <w:t>（三）部门整体支出绩效目标、指标</w:t>
      </w:r>
    </w:p>
    <w:p w14:paraId="65BC09D3">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sz w:val="32"/>
          <w:szCs w:val="32"/>
          <w:lang w:val="en-US" w:eastAsia="zh-CN" w:bidi="ar-SA"/>
        </w:rPr>
        <w:t>总体绩效目标</w:t>
      </w:r>
    </w:p>
    <w:p w14:paraId="30EF1970">
      <w:pPr>
        <w:keepNext w:val="0"/>
        <w:keepLines w:val="0"/>
        <w:pageBreakBefore w:val="0"/>
        <w:widowControl w:val="0"/>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以深入学习宣传贯彻党的二十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重求进，稳定政策预期、强化风险管理，努力为新时代全面建设美丽鹿泉提供坚强财政支撑。</w:t>
      </w:r>
    </w:p>
    <w:p w14:paraId="21800B91">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sz w:val="32"/>
          <w:szCs w:val="32"/>
          <w:lang w:val="en-US" w:eastAsia="zh-CN" w:bidi="ar-SA"/>
        </w:rPr>
        <w:t>分项绩效目标</w:t>
      </w:r>
    </w:p>
    <w:p w14:paraId="38E196DA">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（1）财政综合实力进一步增强</w:t>
      </w:r>
    </w:p>
    <w:p w14:paraId="0748D338">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绩效目标：财政收入规模得到提升，财源基础不断壮大，可用财力稳步增长；争取上级支持有力有效，对我市的支持力度进一步加大。</w:t>
      </w:r>
    </w:p>
    <w:p w14:paraId="18F425C6">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绩效指标：预计2025年全区全部财政收入65.92亿元，其中一般公共预算收入47.55亿元，同比增长5%。合理调度库款，加快预算执行进度，确保完成全年任务目标。</w:t>
      </w:r>
    </w:p>
    <w:p w14:paraId="0ACED814">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（2）助推发展水平进一步提升</w:t>
      </w:r>
    </w:p>
    <w:p w14:paraId="439D191A">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绩效目标：积极财政政策得到有效落实，“4+4”现代产业、“四种类型”经济等重大部署得到较好保障，减税降费政策全面落实，减轻企业负担的成效更加明显。</w:t>
      </w:r>
    </w:p>
    <w:p w14:paraId="37620A50">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绩效指标：研究制定财政促进产业发展的政策措施，落实落细国家和省市减税降费政策，巩固减税降费成效，进一步激发市场活力。</w:t>
      </w:r>
    </w:p>
    <w:p w14:paraId="79E0C872">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（3）保障民生力度进一步加大</w:t>
      </w:r>
    </w:p>
    <w:p w14:paraId="67D9CEB9">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绩效目标：全面落实各项民生政策，就业、教育、医疗、养老、低保等普惠性、基础性、兜底性民生保障水平持续提高，人民群众获得感、幸福感、安全感不断增强。</w:t>
      </w:r>
    </w:p>
    <w:p w14:paraId="2799C5A3">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绩效指标：全区民生支出占比保持在80%以上，惠民利民10件实事得到有效资金保障。</w:t>
      </w:r>
    </w:p>
    <w:p w14:paraId="415CE07E">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（4）政府债务风险持续平稳</w:t>
      </w:r>
    </w:p>
    <w:p w14:paraId="4540E8C9">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绩效目标：政府债务保持合理规模，债务风险水平总体平稳可控。</w:t>
      </w:r>
    </w:p>
    <w:p w14:paraId="6B9AB451">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绩效指标：政府债务不发生违约事件，全年不发生系统性区域性风险。</w:t>
      </w:r>
    </w:p>
    <w:p w14:paraId="3196975A">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（5）现代财政制度进一步健全</w:t>
      </w:r>
    </w:p>
    <w:p w14:paraId="6AC7D2E7">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绩效目标：预算绩效管理体系基本建成，区以下收入划分体制得到优化，农业、应急、公安、文化等领域财政事权与支出责任划分深入推进，国有金融资本管理、国有资产报告制度、政府采购制度管理持续深化。</w:t>
      </w:r>
    </w:p>
    <w:p w14:paraId="5538AE61">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绩效指标：2025年基本建成全方位、全过程、全覆盖的预算绩效管理体系，区财政与区直各部门及乡镇财政事权和支出责任划分更加清晰。</w:t>
      </w:r>
    </w:p>
    <w:p w14:paraId="5B247E6C">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（6）财政财务管理进一步规范</w:t>
      </w:r>
    </w:p>
    <w:p w14:paraId="59BCD242">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绩效目标：预算编制更加细化实化，财政预决算公开内容完备、时间及时、科学规范，资金分配使用更加高效透明；资金支出更加及时高效、均衡有序，效益进一步发挥；财政监督更加有力，绩效评价工作质量进一步提高。</w:t>
      </w:r>
    </w:p>
    <w:p w14:paraId="52EC3714">
      <w:pPr>
        <w:keepNext w:val="0"/>
        <w:keepLines w:val="0"/>
        <w:pageBreakBefore w:val="0"/>
        <w:widowControl w:val="0"/>
        <w:numPr>
          <w:ilvl w:val="0"/>
          <w:numId w:val="0"/>
        </w:numPr>
        <w:kinsoku/>
        <w:wordWrap/>
        <w:overflowPunct/>
        <w:topLinePunct w:val="0"/>
        <w:autoSpaceDE/>
        <w:autoSpaceDN/>
        <w:bidi w:val="0"/>
        <w:spacing w:before="0" w:after="0" w:line="578" w:lineRule="exact"/>
        <w:ind w:left="0" w:leftChars="0" w:firstLine="640" w:firstLineChars="200"/>
        <w:jc w:val="left"/>
        <w:textAlignment w:val="auto"/>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zh-CN" w:bidi="ar-SA"/>
        </w:rPr>
        <w:t>绩效指标：市级财政预决算在法定时限内公开，除涉密单位外，区直部门决算在财政部门批复之日起20日内公开，区直部门决算公开率达到100%，财政支出达到95%以上，预算项目绩效评价实现全覆盖。</w:t>
      </w:r>
    </w:p>
    <w:p w14:paraId="5E32DC12">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1F4E5E5D">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b w:val="0"/>
          <w:bCs/>
          <w:sz w:val="32"/>
          <w:szCs w:val="32"/>
        </w:rPr>
        <w:t>（一）自评的组织工作</w:t>
      </w:r>
    </w:p>
    <w:p w14:paraId="1AAF7B53">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ascii="仿宋" w:hAnsi="仿宋" w:eastAsia="仿宋"/>
          <w:sz w:val="32"/>
          <w:szCs w:val="32"/>
        </w:rPr>
      </w:pPr>
      <w:r>
        <w:rPr>
          <w:rFonts w:hint="eastAsia" w:ascii="仿宋_GB2312" w:hAnsi="仿宋_GB2312" w:eastAsia="仿宋_GB2312" w:cs="仿宋_GB2312"/>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14:paraId="571DE9B5">
      <w:pPr>
        <w:keepNext w:val="0"/>
        <w:keepLines w:val="0"/>
        <w:pageBreakBefore w:val="0"/>
        <w:widowControl w:val="0"/>
        <w:numPr>
          <w:ilvl w:val="0"/>
          <w:numId w:val="2"/>
        </w:numPr>
        <w:kinsoku/>
        <w:wordWrap/>
        <w:overflowPunct/>
        <w:topLinePunct w:val="0"/>
        <w:autoSpaceDE/>
        <w:autoSpaceDN/>
        <w:bidi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自评的方法和过程</w:t>
      </w:r>
    </w:p>
    <w:p w14:paraId="3E6ACC54">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评价原则：1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评估的客观公正性原则。在项目评估中尊重客观规律，深入调查研究，不带主观随意性，讲求科学性。2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分析的系统性原则。从项目内部要素的内在联系，以及与外部条件的广泛联系入手，进行全面的动态的分析论证。3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评估的效益性原则。投入与产出的经济社会效益比例。4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评估方法的规范化原则。所采用的定性和定量分析方法，必须符合客观实际，体现事物的内在联系。5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评估指标的科学性。确定指标体系中权重集合的科学合理程度，评估指标具有可操作性。</w:t>
      </w:r>
    </w:p>
    <w:p w14:paraId="0B808614">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评价指标体系：主要从项目资金的投入、业务管理和财务管理过程、项目计划产出和项目计划效益四个方面对评价目标进行逐步分解，从定性和定量两个角度综合考量。</w:t>
      </w:r>
    </w:p>
    <w:p w14:paraId="22C94EE9">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评价方法：绩效评价工作采用单位自评价和财政再评价相结合的方式开展。自评价采取数据收集汇总、指标分析、询问查证等方法，形成了自评价报告。</w:t>
      </w:r>
    </w:p>
    <w:p w14:paraId="33C5522F">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pPr>
      <w:r>
        <w:rPr>
          <w:rFonts w:hint="eastAsia" w:ascii="仿宋_GB2312" w:hAnsi="仿宋_GB2312" w:eastAsia="仿宋_GB2312" w:cs="仿宋_GB2312"/>
          <w:sz w:val="32"/>
          <w:szCs w:val="32"/>
          <w:lang w:eastAsia="zh-CN"/>
        </w:rPr>
        <w:t>评价过程：</w:t>
      </w:r>
      <w:r>
        <w:rPr>
          <w:rFonts w:hint="eastAsia" w:ascii="仿宋_GB2312" w:hAnsi="仿宋_GB2312" w:eastAsia="仿宋_GB2312" w:cs="仿宋_GB2312"/>
          <w:sz w:val="32"/>
          <w:szCs w:val="32"/>
        </w:rPr>
        <w:t>我们按绩效评价规程要求，第一阶段为前期准备：制定了详细的工作方案，确定评价指标细则；第二阶段为定性终评，并出具评价报告：通过查阅相关文件资料和财务凭证，对收集资料进行定量定性分析，综合评议后形成评价结论。</w:t>
      </w:r>
    </w:p>
    <w:p w14:paraId="25D99060">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黑体" w:hAnsi="黑体" w:eastAsia="黑体" w:cs="黑体"/>
          <w:b/>
          <w:bCs/>
          <w:sz w:val="32"/>
          <w:szCs w:val="32"/>
        </w:rPr>
      </w:pPr>
      <w:r>
        <w:rPr>
          <w:rFonts w:hint="eastAsia" w:ascii="黑体" w:hAnsi="黑体" w:eastAsia="黑体" w:cs="黑体"/>
          <w:sz w:val="32"/>
          <w:szCs w:val="32"/>
        </w:rPr>
        <w:t>三、部门整体支出绩效目标实现情况及指标分析</w:t>
      </w:r>
    </w:p>
    <w:p w14:paraId="267BC821">
      <w:pPr>
        <w:keepNext w:val="0"/>
        <w:keepLines w:val="0"/>
        <w:pageBreakBefore w:val="0"/>
        <w:widowControl w:val="0"/>
        <w:numPr>
          <w:ilvl w:val="0"/>
          <w:numId w:val="3"/>
        </w:numPr>
        <w:kinsoku/>
        <w:wordWrap/>
        <w:overflowPunct/>
        <w:topLinePunct w:val="0"/>
        <w:autoSpaceDE/>
        <w:autoSpaceDN/>
        <w:bidi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总体绩效目标实现情况</w:t>
      </w:r>
    </w:p>
    <w:p w14:paraId="6217AA9E">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我单位</w:t>
      </w:r>
      <w:r>
        <w:rPr>
          <w:rFonts w:hint="eastAsia" w:ascii="仿宋_GB2312" w:hAnsi="仿宋_GB2312" w:eastAsia="仿宋_GB2312" w:cs="仿宋_GB2312"/>
          <w:kern w:val="0"/>
          <w:sz w:val="32"/>
          <w:szCs w:val="32"/>
        </w:rPr>
        <w:t>组织对202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年度一般公共预算</w:t>
      </w:r>
      <w:r>
        <w:rPr>
          <w:rFonts w:hint="eastAsia" w:ascii="仿宋_GB2312" w:hAnsi="仿宋_GB2312" w:eastAsia="仿宋_GB2312" w:cs="仿宋_GB2312"/>
          <w:kern w:val="0"/>
          <w:sz w:val="32"/>
          <w:szCs w:val="32"/>
          <w:lang w:val="en-US" w:eastAsia="zh-CN"/>
        </w:rPr>
        <w:t>19</w:t>
      </w:r>
      <w:r>
        <w:rPr>
          <w:rFonts w:hint="eastAsia" w:ascii="仿宋_GB2312" w:hAnsi="仿宋_GB2312" w:eastAsia="仿宋_GB2312" w:cs="仿宋_GB2312"/>
          <w:kern w:val="0"/>
          <w:sz w:val="32"/>
          <w:szCs w:val="32"/>
        </w:rPr>
        <w:t>个项目全面开展绩效自评，</w:t>
      </w:r>
      <w:r>
        <w:rPr>
          <w:rFonts w:hint="eastAsia" w:ascii="仿宋_GB2312" w:hAnsi="仿宋_GB2312" w:eastAsia="仿宋_GB2312" w:cs="仿宋_GB2312"/>
          <w:kern w:val="0"/>
          <w:sz w:val="32"/>
          <w:szCs w:val="32"/>
          <w:lang w:eastAsia="zh-CN"/>
        </w:rPr>
        <w:t>项目总预算金额</w:t>
      </w:r>
      <w:r>
        <w:rPr>
          <w:rFonts w:hint="eastAsia" w:ascii="仿宋_GB2312" w:hAnsi="仿宋_GB2312" w:eastAsia="仿宋_GB2312" w:cs="仿宋_GB2312"/>
          <w:kern w:val="0"/>
          <w:sz w:val="32"/>
          <w:szCs w:val="32"/>
          <w:lang w:val="en-US" w:eastAsia="zh-CN"/>
        </w:rPr>
        <w:t>324.14</w:t>
      </w:r>
      <w:r>
        <w:rPr>
          <w:rFonts w:hint="eastAsia" w:ascii="仿宋_GB2312" w:hAnsi="仿宋_GB2312" w:eastAsia="仿宋_GB2312" w:cs="仿宋_GB2312"/>
          <w:kern w:val="0"/>
          <w:sz w:val="32"/>
          <w:szCs w:val="32"/>
        </w:rPr>
        <w:t>万元</w:t>
      </w:r>
      <w:r>
        <w:rPr>
          <w:rFonts w:hint="eastAsia" w:ascii="仿宋_GB2312" w:hAnsi="仿宋_GB2312" w:eastAsia="仿宋_GB2312" w:cs="仿宋_GB2312"/>
          <w:kern w:val="0"/>
          <w:sz w:val="32"/>
          <w:szCs w:val="32"/>
          <w:lang w:eastAsia="zh-CN"/>
        </w:rPr>
        <w:t>，实际执行金额</w:t>
      </w:r>
      <w:r>
        <w:rPr>
          <w:rFonts w:hint="eastAsia" w:ascii="仿宋_GB2312" w:hAnsi="仿宋_GB2312" w:eastAsia="仿宋_GB2312" w:cs="仿宋_GB2312"/>
          <w:kern w:val="0"/>
          <w:sz w:val="32"/>
          <w:szCs w:val="32"/>
          <w:lang w:val="en-US" w:eastAsia="zh-CN"/>
        </w:rPr>
        <w:t>319.62万元，预算支出执行率达98.6%。</w:t>
      </w:r>
      <w:r>
        <w:rPr>
          <w:rFonts w:hint="eastAsia" w:ascii="仿宋_GB2312" w:hAnsi="仿宋_GB2312" w:eastAsia="仿宋_GB2312" w:cs="仿宋_GB2312"/>
          <w:sz w:val="32"/>
          <w:szCs w:val="32"/>
          <w:lang w:eastAsia="zh-CN"/>
        </w:rPr>
        <w:t>本年度绩效目标完成情况良好，预算资金计划产生的预期效果基本实现。</w:t>
      </w:r>
    </w:p>
    <w:p w14:paraId="1F6E5186">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ascii="楷体" w:hAnsi="楷体" w:eastAsia="楷体"/>
          <w:bCs/>
          <w:sz w:val="32"/>
          <w:szCs w:val="32"/>
        </w:rPr>
      </w:pPr>
      <w:r>
        <w:rPr>
          <w:rFonts w:hint="eastAsia" w:ascii="楷体_GB2312" w:hAnsi="楷体_GB2312" w:eastAsia="楷体_GB2312" w:cs="楷体_GB2312"/>
          <w:b w:val="0"/>
          <w:bCs/>
          <w:sz w:val="32"/>
          <w:szCs w:val="32"/>
        </w:rPr>
        <w:t>（二）分项绩效目标实现情况及指标分析</w:t>
      </w:r>
    </w:p>
    <w:p w14:paraId="69AB793A">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年本部门绩效自评项目共</w:t>
      </w:r>
      <w:r>
        <w:rPr>
          <w:rFonts w:hint="eastAsia" w:ascii="仿宋_GB2312" w:hAnsi="仿宋_GB2312" w:eastAsia="仿宋_GB2312" w:cs="仿宋_GB2312"/>
          <w:kern w:val="0"/>
          <w:sz w:val="32"/>
          <w:szCs w:val="32"/>
          <w:lang w:val="en-US" w:eastAsia="zh-CN"/>
        </w:rPr>
        <w:t>19</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val="en-US" w:eastAsia="zh-CN"/>
        </w:rPr>
        <w:t>，</w:t>
      </w:r>
      <w:r>
        <w:rPr>
          <w:rFonts w:hint="eastAsia" w:ascii="仿宋_GB2312" w:hAnsi="仿宋_GB2312" w:eastAsia="仿宋_GB2312" w:cs="仿宋_GB2312"/>
          <w:kern w:val="0"/>
          <w:sz w:val="32"/>
          <w:szCs w:val="32"/>
        </w:rPr>
        <w:t>其中评价等级为“优”项目</w:t>
      </w:r>
      <w:r>
        <w:rPr>
          <w:rFonts w:hint="eastAsia" w:ascii="仿宋_GB2312" w:hAnsi="仿宋_GB2312" w:eastAsia="仿宋_GB2312" w:cs="仿宋_GB2312"/>
          <w:kern w:val="0"/>
          <w:sz w:val="32"/>
          <w:szCs w:val="32"/>
          <w:lang w:val="en-US" w:eastAsia="zh-CN"/>
        </w:rPr>
        <w:t>19</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100</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详见下表。</w:t>
      </w:r>
    </w:p>
    <w:tbl>
      <w:tblPr>
        <w:tblStyle w:val="6"/>
        <w:tblW w:w="511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26"/>
        <w:gridCol w:w="1245"/>
        <w:gridCol w:w="1665"/>
        <w:gridCol w:w="1065"/>
        <w:gridCol w:w="1110"/>
        <w:gridCol w:w="675"/>
        <w:gridCol w:w="630"/>
        <w:gridCol w:w="570"/>
        <w:gridCol w:w="690"/>
      </w:tblGrid>
      <w:tr w14:paraId="583F6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5000" w:type="pct"/>
            <w:gridSpan w:val="9"/>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815344">
            <w:pPr>
              <w:keepNext w:val="0"/>
              <w:keepLines w:val="0"/>
              <w:pageBreakBefore w:val="0"/>
              <w:kinsoku/>
              <w:wordWrap/>
              <w:overflowPunct/>
              <w:topLinePunct w:val="0"/>
              <w:autoSpaceDE/>
              <w:autoSpaceDN/>
              <w:bidi w:val="0"/>
              <w:spacing w:line="578" w:lineRule="exact"/>
              <w:ind w:left="0" w:leftChars="0"/>
              <w:jc w:val="center"/>
              <w:rPr>
                <w:rFonts w:hint="eastAsia" w:ascii="宋体" w:hAnsi="宋体" w:eastAsia="宋体" w:cs="宋体"/>
                <w:i w:val="0"/>
                <w:color w:val="000000"/>
                <w:sz w:val="22"/>
                <w:szCs w:val="22"/>
                <w:u w:val="none"/>
              </w:rPr>
            </w:pPr>
            <w:r>
              <w:rPr>
                <w:rFonts w:hint="eastAsia" w:ascii="宋体" w:hAnsi="宋体" w:eastAsia="宋体" w:cs="宋体"/>
                <w:b/>
                <w:i w:val="0"/>
                <w:color w:val="000000"/>
                <w:kern w:val="0"/>
                <w:sz w:val="44"/>
                <w:szCs w:val="44"/>
                <w:u w:val="none"/>
                <w:lang w:val="en-US" w:eastAsia="zh-CN" w:bidi="ar"/>
              </w:rPr>
              <w:t>部门绩效自评结果公开汇总表</w:t>
            </w:r>
          </w:p>
        </w:tc>
      </w:tr>
      <w:tr w14:paraId="16600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2" w:hRule="atLeast"/>
        </w:trPr>
        <w:tc>
          <w:tcPr>
            <w:tcW w:w="4305" w:type="pct"/>
            <w:gridSpan w:val="7"/>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44A308">
            <w:pPr>
              <w:keepNext w:val="0"/>
              <w:keepLines w:val="0"/>
              <w:pageBreakBefore w:val="0"/>
              <w:kinsoku/>
              <w:wordWrap/>
              <w:overflowPunct/>
              <w:topLinePunct w:val="0"/>
              <w:autoSpaceDE/>
              <w:autoSpaceDN/>
              <w:bidi w:val="0"/>
              <w:spacing w:line="578" w:lineRule="exact"/>
              <w:ind w:left="0" w:leftChars="0"/>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主管部门：石家庄市鹿泉区财政局</w:t>
            </w:r>
          </w:p>
        </w:tc>
        <w:tc>
          <w:tcPr>
            <w:tcW w:w="694" w:type="pct"/>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5034326">
            <w:pPr>
              <w:keepNext w:val="0"/>
              <w:keepLines w:val="0"/>
              <w:pageBreakBefore w:val="0"/>
              <w:widowControl/>
              <w:suppressLineNumbers w:val="0"/>
              <w:kinsoku/>
              <w:wordWrap/>
              <w:overflowPunct/>
              <w:topLinePunct w:val="0"/>
              <w:autoSpaceDE/>
              <w:autoSpaceDN/>
              <w:bidi w:val="0"/>
              <w:spacing w:line="578" w:lineRule="exact"/>
              <w:ind w:left="0" w:leftChars="0"/>
              <w:jc w:val="right"/>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单位：万元</w:t>
            </w:r>
          </w:p>
        </w:tc>
      </w:tr>
      <w:tr w14:paraId="6CF52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80" w:hRule="atLeast"/>
        </w:trPr>
        <w:tc>
          <w:tcPr>
            <w:tcW w:w="785"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7901E1E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序号</w:t>
            </w:r>
          </w:p>
        </w:tc>
        <w:tc>
          <w:tcPr>
            <w:tcW w:w="685"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19E5FCA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项目名称</w:t>
            </w:r>
          </w:p>
        </w:tc>
        <w:tc>
          <w:tcPr>
            <w:tcW w:w="917"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6BF79521">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项目实施单位</w:t>
            </w:r>
          </w:p>
        </w:tc>
        <w:tc>
          <w:tcPr>
            <w:tcW w:w="586" w:type="pc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FCE4FC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预算数（调整后）</w:t>
            </w:r>
          </w:p>
        </w:tc>
        <w:tc>
          <w:tcPr>
            <w:tcW w:w="611" w:type="pc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D6FA6D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执行数（至2025年底）</w:t>
            </w:r>
          </w:p>
        </w:tc>
        <w:tc>
          <w:tcPr>
            <w:tcW w:w="371"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6CDB905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结余数</w:t>
            </w:r>
          </w:p>
        </w:tc>
        <w:tc>
          <w:tcPr>
            <w:tcW w:w="347"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2E765BE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结余交回财政数</w:t>
            </w:r>
          </w:p>
        </w:tc>
        <w:tc>
          <w:tcPr>
            <w:tcW w:w="314" w:type="pct"/>
            <w:tcBorders>
              <w:top w:val="single" w:color="auto" w:sz="4" w:space="0"/>
              <w:left w:val="single" w:color="000000" w:sz="4" w:space="0"/>
              <w:bottom w:val="nil"/>
              <w:right w:val="single" w:color="000000" w:sz="4" w:space="0"/>
            </w:tcBorders>
            <w:shd w:val="clear" w:color="auto" w:fill="auto"/>
            <w:tcMar>
              <w:top w:w="15" w:type="dxa"/>
              <w:left w:w="15" w:type="dxa"/>
              <w:right w:w="15" w:type="dxa"/>
            </w:tcMar>
            <w:vAlign w:val="center"/>
          </w:tcPr>
          <w:p w14:paraId="74195B6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自评得分</w:t>
            </w:r>
          </w:p>
        </w:tc>
        <w:tc>
          <w:tcPr>
            <w:tcW w:w="380" w:type="pc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B5AC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4"/>
                <w:szCs w:val="24"/>
                <w:u w:val="none"/>
              </w:rPr>
            </w:pPr>
            <w:r>
              <w:rPr>
                <w:rFonts w:hint="eastAsia" w:ascii="仿宋_GB2312" w:hAnsi="仿宋_GB2312" w:eastAsia="仿宋_GB2312" w:cs="仿宋_GB2312"/>
                <w:i w:val="0"/>
                <w:color w:val="000000"/>
                <w:kern w:val="0"/>
                <w:sz w:val="24"/>
                <w:szCs w:val="24"/>
                <w:u w:val="none"/>
                <w:lang w:val="en-US" w:eastAsia="zh-CN" w:bidi="ar"/>
              </w:rPr>
              <w:t>情况说明</w:t>
            </w:r>
          </w:p>
        </w:tc>
      </w:tr>
      <w:tr w14:paraId="27578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993E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16AE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保密信息安全建设费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BF13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D779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0.51018</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ABD2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0.51018</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C3232">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534EA7">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25CC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1B7B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2F418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F851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33E6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财政改革业务费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BB58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97FF1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26.17948</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02FCA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26.17948</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6A63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38CA9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9E498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563FB4">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39D7B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57B6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899B0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财政局债权本息拍卖佣金</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54F3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5C41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8</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F1366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8</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113CA">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5DF7C">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3C4C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9D55F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579D3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6837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670E3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财政专网等级保护测评及整改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5276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E342C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8</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68FDC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8</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967AD8">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AFD75">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FA0B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8EEAE7">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46E83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1D5D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5</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ED31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财政专网运行维护费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1BA70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F3B6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29.64</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782E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29.64</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E6EF4">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632B69">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97E8C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E469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4B559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5C9A8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6</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D258D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法律咨询、律师代理服务费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4494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B68D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3593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2</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3E736A">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7E309B">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AC3C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BECF12">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9DF7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C515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7</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880A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关于提前下达2024年省级农村财会人员培训资金预算的通知</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A8796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96F6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1.69</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5A183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1.69</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A4BF6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6812A">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CD21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4B4867">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39CD9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7E8FF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8</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C563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会计人员培训费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09C2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E118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3.287</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018D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3.287</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B38776">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51036C">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FF2E6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047C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0FC6B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FA8C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9</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A9F1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机关服务专项经费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25038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87BF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37.094</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EB28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37.094</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BE2CB">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86392">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50B2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F278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58F8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B7DA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3B5D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评估及国有企业审计业务费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7893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B06F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49.5189</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25651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49.5189</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569603">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15FAD">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44FB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39DE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29318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7D79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11</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7EC0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评审服务机构框架协议采购项目</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CDA79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5E3D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F96A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5070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961C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2FC2B">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lang w:val="en-US" w:eastAsia="zh-CN"/>
              </w:rPr>
            </w:pPr>
            <w:r>
              <w:rPr>
                <w:rFonts w:hint="eastAsia" w:ascii="仿宋_GB2312" w:hAnsi="仿宋_GB2312" w:eastAsia="仿宋_GB2312" w:cs="仿宋_GB2312"/>
                <w:i w:val="0"/>
                <w:color w:val="000000"/>
                <w:sz w:val="22"/>
                <w:szCs w:val="22"/>
                <w:u w:val="none"/>
                <w:lang w:val="en-US" w:eastAsia="zh-CN"/>
              </w:rPr>
              <w:t>90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105DC">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ADA4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059C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12</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A472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区公共机构屋顶光伏经营权咨询服务费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0DCD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C458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84D7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6AF37">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4F74A9">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8329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24A67">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3BC1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10ED0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13</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D0A1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税收专项服务项目</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0298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8EBD4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60D9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5CA338">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E4AD8">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EA763">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lang w:val="en-US" w:eastAsia="zh-CN"/>
              </w:rPr>
            </w:pPr>
            <w:r>
              <w:rPr>
                <w:rFonts w:hint="eastAsia" w:ascii="仿宋_GB2312" w:hAnsi="仿宋_GB2312" w:eastAsia="仿宋_GB2312" w:cs="仿宋_GB2312"/>
                <w:i w:val="0"/>
                <w:color w:val="000000"/>
                <w:sz w:val="22"/>
                <w:szCs w:val="22"/>
                <w:u w:val="none"/>
                <w:lang w:val="en-US" w:eastAsia="zh-CN"/>
              </w:rPr>
              <w:t>90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2E94B">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07319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6C9D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14</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F79D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提前下达2025年省级农村财会人员培训资金</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DF10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97499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6</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C338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1.485</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8281E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4.515</w:t>
            </w: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081C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4.515</w:t>
            </w: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035E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92.5</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EA2DD">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183E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E3F6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15</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51FD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网络运行维护、服务费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F231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1C746">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3.449</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9244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3.449</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D02A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F39D6D">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C6BE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C7D35">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2D6B1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A5923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16</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A963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违建别墅拍卖佣金</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0CBDD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FD95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1.9711</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86386A">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1.9711</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6580F">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05EA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EC911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4F34E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3913BB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B88A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17</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EF7B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预算绩效管理业务费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1946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C008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15</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B216B3">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15</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18717B">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23170">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25197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1CCE9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604DC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03B7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18</w:t>
            </w:r>
          </w:p>
        </w:tc>
        <w:tc>
          <w:tcPr>
            <w:tcW w:w="68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1401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政府财务报告及内控制度编制委托业务费</w:t>
            </w:r>
          </w:p>
        </w:tc>
        <w:tc>
          <w:tcPr>
            <w:tcW w:w="91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FE60A4">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FC9D6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0.15</w:t>
            </w:r>
          </w:p>
        </w:tc>
        <w:tc>
          <w:tcPr>
            <w:tcW w:w="61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1F5A9">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0.15</w:t>
            </w:r>
          </w:p>
        </w:tc>
        <w:tc>
          <w:tcPr>
            <w:tcW w:w="3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09B14">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1063DF">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C4AB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100</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CDCF3E">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127A9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1BD0D4F">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19</w:t>
            </w:r>
          </w:p>
        </w:tc>
        <w:tc>
          <w:tcPr>
            <w:tcW w:w="685" w:type="pct"/>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4A4DB147">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政府购买投资评审服务项目</w:t>
            </w:r>
          </w:p>
        </w:tc>
        <w:tc>
          <w:tcPr>
            <w:tcW w:w="917"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1B2A89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石家庄市鹿泉区财政局</w:t>
            </w:r>
          </w:p>
        </w:tc>
        <w:tc>
          <w:tcPr>
            <w:tcW w:w="586"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94F5BFD">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121.649</w:t>
            </w:r>
          </w:p>
        </w:tc>
        <w:tc>
          <w:tcPr>
            <w:tcW w:w="611"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A2B620C">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121.649</w:t>
            </w:r>
          </w:p>
        </w:tc>
        <w:tc>
          <w:tcPr>
            <w:tcW w:w="371"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6DD2431">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47"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5B94EF6">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314"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2F57D35">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lang w:val="en-US"/>
              </w:rPr>
            </w:pPr>
            <w:r>
              <w:rPr>
                <w:rFonts w:hint="eastAsia" w:ascii="仿宋_GB2312" w:hAnsi="仿宋_GB2312" w:eastAsia="仿宋_GB2312" w:cs="仿宋_GB2312"/>
                <w:i w:val="0"/>
                <w:color w:val="000000"/>
                <w:kern w:val="0"/>
                <w:sz w:val="22"/>
                <w:szCs w:val="22"/>
                <w:u w:val="none"/>
                <w:lang w:val="en-US" w:eastAsia="zh-CN" w:bidi="ar"/>
              </w:rPr>
              <w:t>98.1</w:t>
            </w:r>
          </w:p>
        </w:tc>
        <w:tc>
          <w:tcPr>
            <w:tcW w:w="380" w:type="pct"/>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75E5ED5">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r w14:paraId="1F368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 w:hRule="atLeast"/>
        </w:trPr>
        <w:tc>
          <w:tcPr>
            <w:tcW w:w="785"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AB5A4A2">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685"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8434EBE">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合计</w:t>
            </w:r>
          </w:p>
        </w:tc>
        <w:tc>
          <w:tcPr>
            <w:tcW w:w="917"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2AF4CC">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c>
          <w:tcPr>
            <w:tcW w:w="586"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43452F2">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324.13866</w:t>
            </w:r>
          </w:p>
        </w:tc>
        <w:tc>
          <w:tcPr>
            <w:tcW w:w="611"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86D1B4B">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319.62366</w:t>
            </w:r>
          </w:p>
        </w:tc>
        <w:tc>
          <w:tcPr>
            <w:tcW w:w="371"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FF5D08">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4.515</w:t>
            </w:r>
          </w:p>
        </w:tc>
        <w:tc>
          <w:tcPr>
            <w:tcW w:w="347"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C116760">
            <w:pPr>
              <w:keepNext w:val="0"/>
              <w:keepLines w:val="0"/>
              <w:pageBreakBefore w:val="0"/>
              <w:widowControl/>
              <w:suppressLineNumbers w:val="0"/>
              <w:kinsoku/>
              <w:wordWrap/>
              <w:overflowPunct/>
              <w:topLinePunct w:val="0"/>
              <w:autoSpaceDE/>
              <w:autoSpaceDN/>
              <w:bidi w:val="0"/>
              <w:spacing w:line="578" w:lineRule="exact"/>
              <w:ind w:left="0" w:leftChars="0"/>
              <w:jc w:val="center"/>
              <w:textAlignment w:val="center"/>
              <w:rPr>
                <w:rFonts w:hint="eastAsia" w:ascii="仿宋_GB2312" w:hAnsi="仿宋_GB2312" w:eastAsia="仿宋_GB2312" w:cs="仿宋_GB2312"/>
                <w:i w:val="0"/>
                <w:color w:val="000000"/>
                <w:sz w:val="22"/>
                <w:szCs w:val="22"/>
                <w:u w:val="none"/>
              </w:rPr>
            </w:pPr>
            <w:r>
              <w:rPr>
                <w:rFonts w:hint="eastAsia" w:ascii="仿宋_GB2312" w:hAnsi="仿宋_GB2312" w:eastAsia="仿宋_GB2312" w:cs="仿宋_GB2312"/>
                <w:i w:val="0"/>
                <w:color w:val="000000"/>
                <w:kern w:val="0"/>
                <w:sz w:val="22"/>
                <w:szCs w:val="22"/>
                <w:u w:val="none"/>
                <w:lang w:val="en-US" w:eastAsia="zh-CN" w:bidi="ar"/>
              </w:rPr>
              <w:t>4.515</w:t>
            </w:r>
          </w:p>
        </w:tc>
        <w:tc>
          <w:tcPr>
            <w:tcW w:w="314"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91FC8B9">
            <w:pPr>
              <w:keepNext w:val="0"/>
              <w:keepLines w:val="0"/>
              <w:pageBreakBefore w:val="0"/>
              <w:kinsoku/>
              <w:wordWrap/>
              <w:overflowPunct/>
              <w:topLinePunct w:val="0"/>
              <w:autoSpaceDE/>
              <w:autoSpaceDN/>
              <w:bidi w:val="0"/>
              <w:spacing w:line="578" w:lineRule="exact"/>
              <w:ind w:left="0" w:leftChars="0"/>
              <w:jc w:val="center"/>
              <w:rPr>
                <w:rFonts w:hint="default" w:ascii="仿宋_GB2312" w:hAnsi="仿宋_GB2312" w:eastAsia="仿宋_GB2312" w:cs="仿宋_GB2312"/>
                <w:i w:val="0"/>
                <w:color w:val="000000"/>
                <w:sz w:val="22"/>
                <w:szCs w:val="22"/>
                <w:u w:val="none"/>
                <w:lang w:val="en-US" w:eastAsia="zh-CN"/>
              </w:rPr>
            </w:pPr>
            <w:r>
              <w:rPr>
                <w:rFonts w:hint="eastAsia" w:ascii="仿宋_GB2312" w:hAnsi="仿宋_GB2312" w:eastAsia="仿宋_GB2312" w:cs="仿宋_GB2312"/>
                <w:i w:val="0"/>
                <w:color w:val="000000"/>
                <w:sz w:val="22"/>
                <w:szCs w:val="22"/>
                <w:u w:val="none"/>
                <w:lang w:val="en-US" w:eastAsia="zh-CN"/>
              </w:rPr>
              <w:t>98.6</w:t>
            </w:r>
          </w:p>
        </w:tc>
        <w:tc>
          <w:tcPr>
            <w:tcW w:w="380" w:type="pct"/>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8802C79">
            <w:pPr>
              <w:keepNext w:val="0"/>
              <w:keepLines w:val="0"/>
              <w:pageBreakBefore w:val="0"/>
              <w:kinsoku/>
              <w:wordWrap/>
              <w:overflowPunct/>
              <w:topLinePunct w:val="0"/>
              <w:autoSpaceDE/>
              <w:autoSpaceDN/>
              <w:bidi w:val="0"/>
              <w:spacing w:line="578" w:lineRule="exact"/>
              <w:ind w:left="0" w:leftChars="0"/>
              <w:jc w:val="center"/>
              <w:rPr>
                <w:rFonts w:hint="eastAsia" w:ascii="仿宋_GB2312" w:hAnsi="仿宋_GB2312" w:eastAsia="仿宋_GB2312" w:cs="仿宋_GB2312"/>
                <w:i w:val="0"/>
                <w:color w:val="000000"/>
                <w:sz w:val="22"/>
                <w:szCs w:val="22"/>
                <w:u w:val="none"/>
              </w:rPr>
            </w:pPr>
          </w:p>
        </w:tc>
      </w:tr>
    </w:tbl>
    <w:p w14:paraId="2FA52D2A">
      <w:pPr>
        <w:keepNext w:val="0"/>
        <w:keepLines w:val="0"/>
        <w:pageBreakBefore w:val="0"/>
        <w:kinsoku/>
        <w:wordWrap/>
        <w:overflowPunct/>
        <w:topLinePunct w:val="0"/>
        <w:autoSpaceDE/>
        <w:autoSpaceDN/>
        <w:bidi w:val="0"/>
        <w:spacing w:line="578" w:lineRule="exact"/>
        <w:ind w:left="0" w:leftChars="0"/>
        <w:rPr>
          <w:rFonts w:hint="eastAsia" w:ascii="黑体" w:hAnsi="黑体" w:eastAsia="黑体"/>
          <w:sz w:val="32"/>
          <w:szCs w:val="32"/>
        </w:rPr>
      </w:pPr>
    </w:p>
    <w:p w14:paraId="60F0881E">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7B822D7E">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w:t>
      </w:r>
      <w:r>
        <w:rPr>
          <w:rFonts w:hint="eastAsia" w:ascii="仿宋_GB2312" w:hAnsi="仿宋_GB2312" w:eastAsia="仿宋_GB2312" w:cs="仿宋_GB2312"/>
          <w:sz w:val="32"/>
          <w:szCs w:val="32"/>
          <w:lang w:val="en-US" w:eastAsia="zh-CN"/>
        </w:rPr>
        <w:t>98.6</w:t>
      </w:r>
      <w:r>
        <w:rPr>
          <w:rFonts w:hint="eastAsia" w:ascii="仿宋_GB2312" w:hAnsi="仿宋_GB2312" w:eastAsia="仿宋_GB2312" w:cs="仿宋_GB2312"/>
          <w:sz w:val="32"/>
          <w:szCs w:val="32"/>
        </w:rPr>
        <w:t>，满分100分，得出综合绩效评价等级。部门整体支出综合绩效评价分为4个等级：得分≥85分为优秀；75≤得分＜85分为良好；60≤得分＜75分为一般；得分＜60分为较差。</w:t>
      </w:r>
    </w:p>
    <w:p w14:paraId="4F435511">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总体来说资金到位，使用合规。资金拨付程序从申请、审核、审查、审批到最后发放都按照中央、省、市相关财政政策实施，使用符合财务管理规定。</w:t>
      </w:r>
      <w:r>
        <w:rPr>
          <w:rFonts w:hint="eastAsia" w:ascii="仿宋_GB2312" w:hAnsi="仿宋_GB2312" w:eastAsia="仿宋_GB2312" w:cs="仿宋_GB2312"/>
          <w:sz w:val="32"/>
          <w:szCs w:val="32"/>
        </w:rPr>
        <w:t>我局专项资金绩效</w:t>
      </w:r>
      <w:r>
        <w:rPr>
          <w:rFonts w:hint="eastAsia" w:ascii="仿宋_GB2312" w:hAnsi="仿宋_GB2312" w:eastAsia="仿宋_GB2312" w:cs="仿宋_GB2312"/>
          <w:kern w:val="0"/>
          <w:sz w:val="32"/>
          <w:szCs w:val="32"/>
        </w:rPr>
        <w:t>评优率达</w:t>
      </w:r>
      <w:r>
        <w:rPr>
          <w:rFonts w:hint="eastAsia" w:ascii="仿宋_GB2312" w:hAnsi="仿宋_GB2312" w:eastAsia="仿宋_GB2312" w:cs="仿宋_GB2312"/>
          <w:color w:val="auto"/>
          <w:kern w:val="0"/>
          <w:sz w:val="32"/>
          <w:szCs w:val="32"/>
          <w:lang w:val="en-US" w:eastAsia="zh-CN"/>
        </w:rPr>
        <w:t>100</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sz w:val="32"/>
          <w:szCs w:val="32"/>
        </w:rPr>
        <w:t>总体得分为优秀等次。</w:t>
      </w:r>
    </w:p>
    <w:p w14:paraId="0BF2A0A7">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6FC3A270">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（一）存在的主要问题</w:t>
      </w:r>
    </w:p>
    <w:p w14:paraId="2FA35B96">
      <w:pPr>
        <w:pStyle w:val="2"/>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1.部分绩效目标设置不合理。对于项目支出，虽然设立了项目资金绩效目标，但部分目标设置未细化量化，未能提炼出最能反映总体目标预期实现程度的关键性指标。</w:t>
      </w:r>
    </w:p>
    <w:p w14:paraId="19E16199">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2.预算编制和执行问题。</w:t>
      </w:r>
      <w:r>
        <w:rPr>
          <w:rFonts w:hint="eastAsia" w:ascii="仿宋_GB2312" w:hAnsi="仿宋_GB2312" w:eastAsia="仿宋_GB2312" w:cs="仿宋_GB2312"/>
          <w:sz w:val="32"/>
          <w:szCs w:val="32"/>
        </w:rPr>
        <w:t>预算支出细目科目编制不够规范，预算实际使用过程中产生偏差，无法准确预计全年经济活动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bCs/>
          <w:sz w:val="32"/>
          <w:szCs w:val="32"/>
          <w:lang w:val="en-US" w:eastAsia="zh-CN"/>
        </w:rPr>
        <w:t>需要在年度中间进行预算调整。</w:t>
      </w:r>
    </w:p>
    <w:p w14:paraId="18305344">
      <w:pPr>
        <w:pStyle w:val="2"/>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绩效监控质量不达标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填报内容简单，对绩效目标偏差问题缺乏有效分析，无法监控绩效目标的实现程度，还有待进一步提升项目科室整体绩效管理理念。</w:t>
      </w:r>
    </w:p>
    <w:p w14:paraId="1BB30B71">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（二）改进措施</w:t>
      </w:r>
    </w:p>
    <w:p w14:paraId="4E847034">
      <w:pPr>
        <w:keepNext w:val="0"/>
        <w:keepLines w:val="0"/>
        <w:pageBreakBefore w:val="0"/>
        <w:widowControl w:val="0"/>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科学合理设置绩效目标，强化指标细化量化。在目标设定阶段，深入分析项目总体预期效益，提炼最能反映产出和效果的关键性核心指标，明确指标名称、预期值及计量单位。确保每一项绩效指标可量化、可考核、可对比，提升绩效制定的科学性和合理性。</w:t>
      </w:r>
    </w:p>
    <w:p w14:paraId="04597F8F">
      <w:pPr>
        <w:keepNext w:val="0"/>
        <w:keepLines w:val="0"/>
        <w:pageBreakBefore w:val="0"/>
        <w:widowControl w:val="0"/>
        <w:numPr>
          <w:ilvl w:val="0"/>
          <w:numId w:val="0"/>
        </w:numPr>
        <w:kinsoku/>
        <w:wordWrap/>
        <w:overflowPunct/>
        <w:topLinePunct w:val="0"/>
        <w:autoSpaceDE/>
        <w:autoSpaceDN/>
        <w:bidi w:val="0"/>
        <w:spacing w:line="578"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规范预算编制管理，提高预算执行准确性。结合年度工作计划和实际资金需要，逐项测算、精准编报。做好项目实施的跟踪检查工作，定期对项目实施情况和经费使用情况进行跟踪检查，及时进行协调和提出整改措施，确保项目实施工作正常运行，达到预期绩效目标。</w:t>
      </w:r>
    </w:p>
    <w:p w14:paraId="1FF46EC7">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3.</w:t>
      </w:r>
      <w:r>
        <w:rPr>
          <w:rFonts w:hint="eastAsia" w:ascii="仿宋_GB2312" w:hAnsi="仿宋_GB2312" w:eastAsia="仿宋_GB2312" w:cs="仿宋_GB2312"/>
          <w:sz w:val="32"/>
          <w:szCs w:val="32"/>
          <w:lang w:eastAsia="zh-CN"/>
        </w:rPr>
        <w:t>提升</w:t>
      </w:r>
      <w:r>
        <w:rPr>
          <w:rFonts w:hint="eastAsia" w:ascii="仿宋_GB2312" w:hAnsi="仿宋_GB2312" w:eastAsia="仿宋_GB2312" w:cs="仿宋_GB2312"/>
          <w:sz w:val="32"/>
          <w:szCs w:val="32"/>
        </w:rPr>
        <w:t>绩效监控</w:t>
      </w:r>
      <w:r>
        <w:rPr>
          <w:rFonts w:hint="eastAsia" w:ascii="仿宋_GB2312" w:hAnsi="仿宋_GB2312" w:eastAsia="仿宋_GB2312" w:cs="仿宋_GB2312"/>
          <w:sz w:val="32"/>
          <w:szCs w:val="32"/>
          <w:lang w:eastAsia="zh-CN"/>
        </w:rPr>
        <w:t>质量，压实绩效管理责任。完善绩效监控填报内容和分析模板，各项目科室在监控中不仅要描述执行进度，更要分析偏差产生的原因及改进方向。定期组织绩效管理专题培训，提升项目科室整体绩效理念，对监控中发现的目标偏离问题及时整改，确保绩效目标有效实现。</w:t>
      </w:r>
    </w:p>
    <w:p w14:paraId="7D253125">
      <w:pPr>
        <w:pStyle w:val="2"/>
        <w:keepNext w:val="0"/>
        <w:keepLines w:val="0"/>
        <w:pageBreakBefore w:val="0"/>
        <w:widowControl w:val="0"/>
        <w:numPr>
          <w:ilvl w:val="0"/>
          <w:numId w:val="0"/>
        </w:numPr>
        <w:kinsoku/>
        <w:wordWrap/>
        <w:overflowPunct/>
        <w:topLinePunct w:val="0"/>
        <w:autoSpaceDE/>
        <w:autoSpaceDN/>
        <w:bidi w:val="0"/>
        <w:spacing w:line="578" w:lineRule="exact"/>
        <w:ind w:left="0" w:leftChars="0" w:firstLine="420" w:firstLineChars="200"/>
        <w:textAlignment w:val="auto"/>
      </w:pPr>
    </w:p>
    <w:p w14:paraId="0339EF8E">
      <w:pPr>
        <w:pStyle w:val="2"/>
        <w:keepNext w:val="0"/>
        <w:keepLines w:val="0"/>
        <w:pageBreakBefore w:val="0"/>
        <w:widowControl w:val="0"/>
        <w:kinsoku/>
        <w:wordWrap/>
        <w:overflowPunct/>
        <w:topLinePunct w:val="0"/>
        <w:autoSpaceDE/>
        <w:autoSpaceDN/>
        <w:bidi w:val="0"/>
        <w:spacing w:line="578" w:lineRule="exact"/>
        <w:ind w:left="0" w:leftChars="0" w:firstLine="420" w:firstLineChars="200"/>
        <w:textAlignment w:val="auto"/>
        <w:rPr>
          <w:rFonts w:hint="default"/>
          <w:lang w:val="en-US" w:eastAsia="zh-CN"/>
        </w:rPr>
      </w:pPr>
    </w:p>
    <w:p w14:paraId="290350E4">
      <w:pPr>
        <w:keepNext w:val="0"/>
        <w:keepLines w:val="0"/>
        <w:pageBreakBefore w:val="0"/>
        <w:widowControl w:val="0"/>
        <w:kinsoku/>
        <w:wordWrap/>
        <w:overflowPunct/>
        <w:topLinePunct w:val="0"/>
        <w:autoSpaceDE/>
        <w:autoSpaceDN/>
        <w:bidi w:val="0"/>
        <w:spacing w:line="578" w:lineRule="exact"/>
        <w:ind w:left="0" w:leftChars="0" w:firstLine="420" w:firstLineChars="200"/>
        <w:textAlignment w:val="auto"/>
        <w:rPr>
          <w:rFonts w:hint="default"/>
          <w:lang w:val="en-US" w:eastAsia="zh-CN"/>
        </w:rPr>
      </w:pPr>
    </w:p>
    <w:p w14:paraId="681686C2">
      <w:pPr>
        <w:pStyle w:val="2"/>
        <w:keepNext w:val="0"/>
        <w:keepLines w:val="0"/>
        <w:pageBreakBefore w:val="0"/>
        <w:widowControl w:val="0"/>
        <w:kinsoku/>
        <w:wordWrap/>
        <w:overflowPunct/>
        <w:topLinePunct w:val="0"/>
        <w:autoSpaceDE/>
        <w:autoSpaceDN/>
        <w:bidi w:val="0"/>
        <w:spacing w:line="578" w:lineRule="exact"/>
        <w:ind w:left="0" w:leftChars="0" w:firstLine="420" w:firstLineChars="200"/>
        <w:textAlignment w:val="auto"/>
        <w:rPr>
          <w:rFonts w:hint="default"/>
          <w:lang w:val="en-US" w:eastAsia="zh-CN"/>
        </w:rPr>
      </w:pPr>
    </w:p>
    <w:p w14:paraId="51028B59">
      <w:pPr>
        <w:keepNext w:val="0"/>
        <w:keepLines w:val="0"/>
        <w:pageBreakBefore w:val="0"/>
        <w:widowControl w:val="0"/>
        <w:kinsoku/>
        <w:wordWrap/>
        <w:overflowPunct/>
        <w:topLinePunct w:val="0"/>
        <w:autoSpaceDE/>
        <w:autoSpaceDN/>
        <w:bidi w:val="0"/>
        <w:spacing w:line="578" w:lineRule="exact"/>
        <w:ind w:left="0" w:leftChars="0" w:firstLine="420" w:firstLineChars="200"/>
        <w:textAlignment w:val="auto"/>
        <w:rPr>
          <w:rFonts w:hint="default"/>
          <w:lang w:val="en-US" w:eastAsia="zh-CN"/>
        </w:rPr>
      </w:pPr>
    </w:p>
    <w:p w14:paraId="1C67A2F3">
      <w:pPr>
        <w:pStyle w:val="2"/>
        <w:keepNext w:val="0"/>
        <w:keepLines w:val="0"/>
        <w:pageBreakBefore w:val="0"/>
        <w:widowControl w:val="0"/>
        <w:kinsoku/>
        <w:wordWrap/>
        <w:overflowPunct/>
        <w:topLinePunct w:val="0"/>
        <w:autoSpaceDE/>
        <w:autoSpaceDN/>
        <w:bidi w:val="0"/>
        <w:spacing w:line="578" w:lineRule="exact"/>
        <w:ind w:left="0" w:leftChars="0" w:firstLine="420" w:firstLineChars="200"/>
        <w:textAlignment w:val="auto"/>
        <w:rPr>
          <w:rFonts w:hint="default"/>
          <w:lang w:val="en-US" w:eastAsia="zh-CN"/>
        </w:rPr>
      </w:pPr>
    </w:p>
    <w:p w14:paraId="12A7192B">
      <w:pPr>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432689B2">
      <w:pPr>
        <w:pStyle w:val="2"/>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4F903E48">
      <w:pPr>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24039698">
      <w:pPr>
        <w:pStyle w:val="2"/>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28E279B3">
      <w:pPr>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6FEB1670">
      <w:pPr>
        <w:pStyle w:val="2"/>
        <w:keepNext w:val="0"/>
        <w:keepLines w:val="0"/>
        <w:pageBreakBefore w:val="0"/>
        <w:kinsoku/>
        <w:wordWrap/>
        <w:overflowPunct/>
        <w:topLinePunct w:val="0"/>
        <w:autoSpaceDE/>
        <w:autoSpaceDN/>
        <w:bidi w:val="0"/>
        <w:spacing w:line="578" w:lineRule="exact"/>
        <w:ind w:left="0" w:leftChars="0"/>
        <w:rPr>
          <w:rFonts w:hint="default"/>
          <w:lang w:val="en-US" w:eastAsia="zh-CN"/>
        </w:rPr>
      </w:pPr>
    </w:p>
    <w:p w14:paraId="6046344E">
      <w:pPr>
        <w:keepNext w:val="0"/>
        <w:keepLines w:val="0"/>
        <w:pageBreakBefore w:val="0"/>
        <w:kinsoku/>
        <w:wordWrap/>
        <w:overflowPunct/>
        <w:topLinePunct w:val="0"/>
        <w:autoSpaceDE/>
        <w:autoSpaceDN/>
        <w:bidi w:val="0"/>
        <w:spacing w:line="578" w:lineRule="exact"/>
        <w:ind w:left="0" w:leftChars="0" w:firstLine="640"/>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石家庄市鹿泉区财政局</w:t>
      </w:r>
    </w:p>
    <w:p w14:paraId="4FB7BC56">
      <w:pPr>
        <w:keepNext w:val="0"/>
        <w:keepLines w:val="0"/>
        <w:pageBreakBefore w:val="0"/>
        <w:kinsoku/>
        <w:wordWrap/>
        <w:overflowPunct/>
        <w:topLinePunct w:val="0"/>
        <w:autoSpaceDE/>
        <w:autoSpaceDN/>
        <w:bidi w:val="0"/>
        <w:spacing w:line="578" w:lineRule="exact"/>
        <w:ind w:left="0" w:leftChars="0" w:firstLine="64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日</w:t>
      </w:r>
    </w:p>
    <w:p w14:paraId="3AC2794E">
      <w:pPr>
        <w:keepNext w:val="0"/>
        <w:keepLines w:val="0"/>
        <w:pageBreakBefore w:val="0"/>
        <w:kinsoku/>
        <w:wordWrap/>
        <w:overflowPunct/>
        <w:topLinePunct w:val="0"/>
        <w:autoSpaceDE/>
        <w:autoSpaceDN/>
        <w:bidi w:val="0"/>
        <w:spacing w:line="578" w:lineRule="exact"/>
        <w:ind w:left="0" w:leftChars="0"/>
        <w:rPr>
          <w:rFonts w:hint="eastAsia" w:ascii="仿宋_GB2312" w:hAnsi="仿宋_GB2312" w:eastAsia="仿宋_GB2312" w:cs="仿宋_GB2312"/>
          <w:lang w:val="en-US" w:eastAsia="zh-CN"/>
        </w:rPr>
      </w:pPr>
    </w:p>
    <w:sectPr>
      <w:footerReference r:id="rId3"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8E49F0B-CBC2-4257-BD77-9435BEC141D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简体">
    <w:panose1 w:val="02000000000000000000"/>
    <w:charset w:val="86"/>
    <w:family w:val="auto"/>
    <w:pitch w:val="default"/>
    <w:sig w:usb0="00000001" w:usb1="08000000" w:usb2="00000000" w:usb3="00000000" w:csb0="00040000" w:csb1="00000000"/>
    <w:embedRegular r:id="rId2" w:fontKey="{C991659B-377E-4487-AF73-8B5739611EF1}"/>
  </w:font>
  <w:font w:name="华文楷体">
    <w:altName w:val="楷体_GB2312"/>
    <w:panose1 w:val="02010600040101010101"/>
    <w:charset w:val="86"/>
    <w:family w:val="auto"/>
    <w:pitch w:val="default"/>
    <w:sig w:usb0="00000000" w:usb1="00000000" w:usb2="00000000" w:usb3="00000000" w:csb0="0004009F" w:csb1="DFD70000"/>
    <w:embedRegular r:id="rId3" w:fontKey="{09BF92ED-27B7-45A9-90D3-BB6D4F85E798}"/>
  </w:font>
  <w:font w:name="楷体_GB2312">
    <w:panose1 w:val="02010609030101010101"/>
    <w:charset w:val="86"/>
    <w:family w:val="modern"/>
    <w:pitch w:val="default"/>
    <w:sig w:usb0="00000001" w:usb1="080E0000" w:usb2="00000000" w:usb3="00000000" w:csb0="00040000" w:csb1="00000000"/>
    <w:embedRegular r:id="rId4" w:fontKey="{8BFC479D-67A9-4710-A639-4E34BE58937C}"/>
  </w:font>
  <w:font w:name="仿宋_GB2312">
    <w:panose1 w:val="02010609030101010101"/>
    <w:charset w:val="86"/>
    <w:family w:val="auto"/>
    <w:pitch w:val="default"/>
    <w:sig w:usb0="00000001" w:usb1="080E0000" w:usb2="00000000" w:usb3="00000000" w:csb0="00040000" w:csb1="00000000"/>
    <w:embedRegular r:id="rId5" w:fontKey="{F1DBA763-ADCA-49CD-B7E4-29216EE763DF}"/>
  </w:font>
  <w:font w:name="仿宋">
    <w:panose1 w:val="02010609060101010101"/>
    <w:charset w:val="86"/>
    <w:family w:val="modern"/>
    <w:pitch w:val="default"/>
    <w:sig w:usb0="800002BF" w:usb1="38CF7CFA" w:usb2="00000016" w:usb3="00000000" w:csb0="00040001" w:csb1="00000000"/>
    <w:embedRegular r:id="rId6" w:fontKey="{5B24C81A-20D5-4C76-931A-340C9111AB28}"/>
  </w:font>
  <w:font w:name="楷体">
    <w:panose1 w:val="02010609060101010101"/>
    <w:charset w:val="86"/>
    <w:family w:val="modern"/>
    <w:pitch w:val="default"/>
    <w:sig w:usb0="800002BF" w:usb1="38CF7CFA" w:usb2="00000016" w:usb3="00000000" w:csb0="00040001" w:csb1="00000000"/>
    <w:embedRegular r:id="rId7" w:fontKey="{046D2AE8-DF95-4215-8C07-F0F3E3E761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5341C">
    <w:pPr>
      <w:pStyle w:val="4"/>
      <w:bidi w:val="0"/>
    </w:pPr>
    <w:r>
      <w:pict>
        <v:shape id="Quad Arrow 3073" o:spid="_x0000_s3073"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D8A09CF">
                <w:pPr>
                  <w:snapToGrid w:val="0"/>
                  <w:rPr>
                    <w:sz w:val="1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5D1331"/>
    <w:multiLevelType w:val="singleLevel"/>
    <w:tmpl w:val="AB5D1331"/>
    <w:lvl w:ilvl="0" w:tentative="0">
      <w:start w:val="2"/>
      <w:numFmt w:val="chineseCounting"/>
      <w:suff w:val="nothing"/>
      <w:lvlText w:val="（%1）"/>
      <w:lvlJc w:val="left"/>
      <w:pPr>
        <w:ind w:left="-13"/>
      </w:pPr>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9"/>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E22A1"/>
    <w:rsid w:val="00AF167E"/>
    <w:rsid w:val="00AF566A"/>
    <w:rsid w:val="00B478EA"/>
    <w:rsid w:val="00B6553A"/>
    <w:rsid w:val="00BC6576"/>
    <w:rsid w:val="00C66976"/>
    <w:rsid w:val="00CE06BA"/>
    <w:rsid w:val="00E00E65"/>
    <w:rsid w:val="00F441CC"/>
    <w:rsid w:val="01B104CA"/>
    <w:rsid w:val="02106AB0"/>
    <w:rsid w:val="022A6012"/>
    <w:rsid w:val="02B43A28"/>
    <w:rsid w:val="046F331E"/>
    <w:rsid w:val="07956271"/>
    <w:rsid w:val="08894E38"/>
    <w:rsid w:val="09721397"/>
    <w:rsid w:val="0BA80826"/>
    <w:rsid w:val="0BB63BED"/>
    <w:rsid w:val="0C6A1369"/>
    <w:rsid w:val="0EB97A43"/>
    <w:rsid w:val="0EBD2122"/>
    <w:rsid w:val="0F214EAE"/>
    <w:rsid w:val="0FCB06B2"/>
    <w:rsid w:val="10684D63"/>
    <w:rsid w:val="11B71E6A"/>
    <w:rsid w:val="159C458E"/>
    <w:rsid w:val="182B1AE4"/>
    <w:rsid w:val="1AAF0063"/>
    <w:rsid w:val="1BE140DE"/>
    <w:rsid w:val="20814999"/>
    <w:rsid w:val="20EA4A9D"/>
    <w:rsid w:val="248C197D"/>
    <w:rsid w:val="252959AF"/>
    <w:rsid w:val="25D8664F"/>
    <w:rsid w:val="277A6671"/>
    <w:rsid w:val="28FA235E"/>
    <w:rsid w:val="292D35B7"/>
    <w:rsid w:val="2A457406"/>
    <w:rsid w:val="2A4A0C31"/>
    <w:rsid w:val="2B177897"/>
    <w:rsid w:val="2BFA6F83"/>
    <w:rsid w:val="2C062695"/>
    <w:rsid w:val="2D151B3B"/>
    <w:rsid w:val="2DFA0EB6"/>
    <w:rsid w:val="2E79540D"/>
    <w:rsid w:val="2F0A2027"/>
    <w:rsid w:val="2FE845C1"/>
    <w:rsid w:val="303C23EB"/>
    <w:rsid w:val="30936A9A"/>
    <w:rsid w:val="32817910"/>
    <w:rsid w:val="33EB6CFF"/>
    <w:rsid w:val="35090BF0"/>
    <w:rsid w:val="35A12947"/>
    <w:rsid w:val="35BF1836"/>
    <w:rsid w:val="36680D6F"/>
    <w:rsid w:val="369A2DAE"/>
    <w:rsid w:val="37387040"/>
    <w:rsid w:val="3AC1587A"/>
    <w:rsid w:val="3B625C0A"/>
    <w:rsid w:val="3CEE1963"/>
    <w:rsid w:val="3D727BA2"/>
    <w:rsid w:val="3EAF4030"/>
    <w:rsid w:val="400049B3"/>
    <w:rsid w:val="436B78D3"/>
    <w:rsid w:val="43C84170"/>
    <w:rsid w:val="4BCA4605"/>
    <w:rsid w:val="4C9C27FE"/>
    <w:rsid w:val="4DEE4DC7"/>
    <w:rsid w:val="4F3B5EBD"/>
    <w:rsid w:val="4FC73A97"/>
    <w:rsid w:val="512260B4"/>
    <w:rsid w:val="5271133F"/>
    <w:rsid w:val="52BD6ACB"/>
    <w:rsid w:val="53155F4C"/>
    <w:rsid w:val="54921D4C"/>
    <w:rsid w:val="55537534"/>
    <w:rsid w:val="561A74F1"/>
    <w:rsid w:val="58255193"/>
    <w:rsid w:val="597244E8"/>
    <w:rsid w:val="5C5B335A"/>
    <w:rsid w:val="5D605038"/>
    <w:rsid w:val="5EB71C30"/>
    <w:rsid w:val="5FA64633"/>
    <w:rsid w:val="5FF90B77"/>
    <w:rsid w:val="607F7C51"/>
    <w:rsid w:val="62B165B2"/>
    <w:rsid w:val="630D0E88"/>
    <w:rsid w:val="64076568"/>
    <w:rsid w:val="66AF0CE5"/>
    <w:rsid w:val="6AC537CF"/>
    <w:rsid w:val="6B264BEA"/>
    <w:rsid w:val="6C26665E"/>
    <w:rsid w:val="6C607886"/>
    <w:rsid w:val="6C7C7B96"/>
    <w:rsid w:val="6DEB2F1E"/>
    <w:rsid w:val="6E5B14A6"/>
    <w:rsid w:val="703A2B3A"/>
    <w:rsid w:val="709B1976"/>
    <w:rsid w:val="70F2274F"/>
    <w:rsid w:val="711B255E"/>
    <w:rsid w:val="75B93A05"/>
    <w:rsid w:val="76692690"/>
    <w:rsid w:val="78B928C3"/>
    <w:rsid w:val="79A633F2"/>
    <w:rsid w:val="7B7C09D3"/>
    <w:rsid w:val="7BB51E06"/>
    <w:rsid w:val="7C387F7C"/>
    <w:rsid w:val="7DF91E76"/>
    <w:rsid w:val="7E6C1D4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lang w:val="en-US" w:eastAsia="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3636</Words>
  <Characters>3966</Characters>
  <Lines>4</Lines>
  <Paragraphs>1</Paragraphs>
  <TotalTime>282</TotalTime>
  <ScaleCrop>false</ScaleCrop>
  <LinksUpToDate>false</LinksUpToDate>
  <CharactersWithSpaces>3998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王泽铭</cp:lastModifiedBy>
  <cp:lastPrinted>2024-03-06T07:40:00Z</cp:lastPrinted>
  <dcterms:modified xsi:type="dcterms:W3CDTF">2026-05-29T01:17:53Z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eyJoZGlkIjoiZTAzYTg0YjA5YzdmMjZhNTM3NDgyZWZjZmVlMWEwMWEiLCJ1c2VySWQiOiIxNzUyODgyOTM1In0=</vt:lpwstr>
  </property>
</Properties>
</file>