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FD1B1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630C59C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BDDF9E4">
      <w:pPr>
        <w:spacing w:line="560" w:lineRule="exact"/>
        <w:jc w:val="center"/>
        <w:rPr>
          <w:rFonts w:hint="default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石家庄市鹿泉区教育局部门</w:t>
      </w:r>
    </w:p>
    <w:p w14:paraId="3DC899A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71CB23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2ECCE4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石家庄市鹿泉区教育局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1B34B45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65B741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6ADD3FE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石家庄市鹿泉区教育局（简称区教育局）为区政府工作部门，机构规格正科级。中共石家庄市鹿泉区委教育工作委员会（简称区委教育工委），作为区委派出工作机构，与区教育局合署办公。贯彻党中央和省、市、区委关于教育工作的方针政策和决策部署，坚持和加强党对教育工作的集中统一领导。主要职责是：</w:t>
      </w:r>
    </w:p>
    <w:p w14:paraId="51C1453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sz w:val="32"/>
          <w:szCs w:val="32"/>
        </w:rPr>
        <w:t>贯彻执行上级有关教育工作的法律法规、政府规章和方针政策；拟订全区教育改革与发展规划并组织实施。</w:t>
      </w:r>
    </w:p>
    <w:p w14:paraId="0CF0D66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sz w:val="32"/>
          <w:szCs w:val="32"/>
        </w:rPr>
        <w:t>负责各级各类教育的统筹规划和协调管理，拟订教育工作的长远规划和年度计划并组织实施。</w:t>
      </w:r>
    </w:p>
    <w:p w14:paraId="0FE6B2F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/>
          <w:sz w:val="32"/>
          <w:szCs w:val="32"/>
        </w:rPr>
        <w:t>负责推进义务教育均衡发展和促进教育公平，综合管理和宏观指导全区学前教育、义务教育、普通高中教育、职业教育、特殊教育、民族教育、成人教育、社会力量办学等工作；负责教育督导与评估验收；负责全区语言文字工作。</w:t>
      </w:r>
    </w:p>
    <w:p w14:paraId="212EFB4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/>
          <w:sz w:val="32"/>
          <w:szCs w:val="32"/>
        </w:rPr>
        <w:t>负责统筹规划和协调指导全区教育体制改革工作。</w:t>
      </w:r>
    </w:p>
    <w:p w14:paraId="28101DE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/>
          <w:sz w:val="32"/>
          <w:szCs w:val="32"/>
        </w:rPr>
        <w:t>全面实施素质教育。负责指导各级各类学校的德育、智育、体育、美育、劳动教育、国防教育和法制教育工作；统筹规划、协调指导远程教育和教育信息化工作；指导教育教研和科研工作，组织学校承担国家、省、市、区下达的科研项目，推动科研成果的转化和推广。</w:t>
      </w:r>
    </w:p>
    <w:p w14:paraId="3585AD6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/>
          <w:sz w:val="32"/>
          <w:szCs w:val="32"/>
        </w:rPr>
        <w:t>负责省、市、区拨付教育经费的统筹管理，参与拟订教育经费筹集、教育拨款、教育基建投资政策，指导所属学校后勤管理，监督检查教育投入情况，负责教育基本信息的统计分析。</w:t>
      </w:r>
    </w:p>
    <w:p w14:paraId="229D68C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7.</w:t>
      </w:r>
      <w:r>
        <w:rPr>
          <w:rFonts w:hint="eastAsia" w:ascii="仿宋" w:hAnsi="仿宋" w:eastAsia="仿宋"/>
          <w:sz w:val="32"/>
          <w:szCs w:val="32"/>
        </w:rPr>
        <w:t>负责全区教育系统人才队伍建设的统筹规划、管理工作；负责全区中小学校长队伍建设和教师继续教育工作；负责全区教育系统校务公开工作。会同有关部门，参与拟订大中专院校毕业生就业政策，指导大中专院校开展学生就业、创业工作；承办师范类大中专毕业生就业报到工作。</w:t>
      </w:r>
    </w:p>
    <w:p w14:paraId="1FA0973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8.</w:t>
      </w:r>
      <w:r>
        <w:rPr>
          <w:rFonts w:hint="eastAsia" w:ascii="仿宋" w:hAnsi="仿宋" w:eastAsia="仿宋"/>
          <w:sz w:val="32"/>
          <w:szCs w:val="32"/>
        </w:rPr>
        <w:t>负责全区教育系统安全和维护稳定工作；会同有关部门做好学校安全、学校及周边环境治理、预防青少年犯罪工作；依法组织或参与组织有关安全事故的调查处理。</w:t>
      </w:r>
    </w:p>
    <w:p w14:paraId="6695E2C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9.</w:t>
      </w:r>
      <w:r>
        <w:rPr>
          <w:rFonts w:hint="eastAsia" w:ascii="仿宋" w:hAnsi="仿宋" w:eastAsia="仿宋"/>
          <w:sz w:val="32"/>
          <w:szCs w:val="32"/>
        </w:rPr>
        <w:t>负责组织各类教育招生、考试工作。</w:t>
      </w:r>
    </w:p>
    <w:p w14:paraId="10A57D3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10.</w:t>
      </w:r>
      <w:r>
        <w:rPr>
          <w:rFonts w:hint="eastAsia" w:ascii="仿宋" w:hAnsi="仿宋" w:eastAsia="仿宋"/>
          <w:sz w:val="32"/>
          <w:szCs w:val="32"/>
        </w:rPr>
        <w:t>负责对外教育交流和合作工作。</w:t>
      </w:r>
    </w:p>
    <w:p w14:paraId="036D48C0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11.</w:t>
      </w:r>
      <w:r>
        <w:rPr>
          <w:rFonts w:hint="eastAsia" w:ascii="仿宋" w:hAnsi="仿宋" w:eastAsia="仿宋"/>
          <w:sz w:val="32"/>
          <w:szCs w:val="32"/>
        </w:rPr>
        <w:t>负责所属事业单位、学校（幼儿园）党群、思想政治、宣传统战、精神文明建设和廉政建设工作；按照干部管理权限负责所属事业单位、学校（幼儿园）领导班子建设；负责所属事业单位、学校（幼儿园）领导干部的考察、任免等工作，指导所属事业单位、学校（幼儿园）中层干部队伍建设和校（园）级后备干部队伍建设。</w:t>
      </w:r>
    </w:p>
    <w:p w14:paraId="142AF42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12.</w:t>
      </w:r>
      <w:r>
        <w:rPr>
          <w:rFonts w:hint="eastAsia" w:ascii="仿宋" w:hAnsi="仿宋" w:eastAsia="仿宋"/>
          <w:sz w:val="32"/>
          <w:szCs w:val="32"/>
        </w:rPr>
        <w:t>负责全区教育系统党的政治建设、思想建设、组织建设、作风建设、纪律建设和制度建设。协调推动教育系统思想政治、意识形态工作，以及国家教育发展战略、中长期规划、教育重大政策和体制改革方案的落实。</w:t>
      </w:r>
    </w:p>
    <w:p w14:paraId="37C1F91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13.</w:t>
      </w:r>
      <w:r>
        <w:rPr>
          <w:rFonts w:hint="eastAsia" w:ascii="仿宋" w:hAnsi="仿宋" w:eastAsia="仿宋"/>
          <w:sz w:val="32"/>
          <w:szCs w:val="32"/>
        </w:rPr>
        <w:t>指导全区老年教育工作。</w:t>
      </w:r>
    </w:p>
    <w:p w14:paraId="456C307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14.</w:t>
      </w:r>
      <w:r>
        <w:rPr>
          <w:rFonts w:hint="eastAsia" w:ascii="仿宋" w:hAnsi="仿宋" w:eastAsia="仿宋"/>
          <w:sz w:val="32"/>
          <w:szCs w:val="32"/>
        </w:rPr>
        <w:t>完成区委、区政府交办的其他任务。</w:t>
      </w:r>
    </w:p>
    <w:p w14:paraId="0BA961E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组织机构</w:t>
      </w:r>
    </w:p>
    <w:tbl>
      <w:tblPr>
        <w:tblStyle w:val="4"/>
        <w:tblpPr w:leftFromText="180" w:rightFromText="180" w:vertAnchor="text" w:horzAnchor="page" w:tblpX="1492" w:tblpY="745"/>
        <w:tblOverlap w:val="never"/>
        <w:tblW w:w="931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3240"/>
        <w:gridCol w:w="2520"/>
        <w:gridCol w:w="2914"/>
      </w:tblGrid>
      <w:tr w14:paraId="5F850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95D1E1">
            <w:pPr>
              <w:spacing w:line="578" w:lineRule="exact"/>
              <w:jc w:val="left"/>
              <w:rPr>
                <w:rFonts w:hint="eastAsia" w:ascii="FangSong_GB2312" w:hAnsi="FangSong_GB2312" w:eastAsia="FangSong_GB2312" w:cs="FangSong_GB2312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07E85B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690192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单位基本性质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DE0006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经费形式</w:t>
            </w:r>
          </w:p>
        </w:tc>
      </w:tr>
      <w:tr w14:paraId="69B02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C1636A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111A4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鹿泉区教育局（本级）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25D52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行政单位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4B7FD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财政拨款</w:t>
            </w:r>
          </w:p>
        </w:tc>
      </w:tr>
      <w:tr w14:paraId="758E2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362B7F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E44E1A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鹿泉区第一中学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47D0B5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E8A506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7EB469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E0FB7A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BF0B6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鹿泉区第二中学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C375CF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5056F6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73A43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0B6317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83FE9D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鹿泉区第三中学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AA819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43587F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243CF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A9CEC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316EF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鹿泉区实验高级中学（职业中专）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16E1FC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2B2D60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02A24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ED412C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CE200E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鹿泉区职教中心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8E28CE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EC11C7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29365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786146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171E7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鹿泉区第一幼儿园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6B8C53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0152C6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742DA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D76D8E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7C6483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鹿泉区幼儿园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D0D74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95B56D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74696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904F22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8C3D86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鹿泉区育才小学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A09F51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A8F7FF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424A3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121CCD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1991A7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鹿泉区实践中心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C312F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766DCB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1CA6E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8FE091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29EC25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鹿泉区实验初级中学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0ADD9E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6111D6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42A00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BFF37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463EA1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鹿泉区教师进修学校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BC146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F581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0401C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9A06F7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A2ACCC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鹿泉区青少年校外活动中心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97734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5FFF9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08697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FD3AB6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AE879F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鹿泉区特教学校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BC7445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3E21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039DE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B4E451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3B8D1F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鹿泉区白鹿泉中心校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2184CA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EBCB2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5E7D3F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314855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17FCF1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鹿泉区石井中心校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8D11B0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FDEAB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3981E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1EC0CF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1D5E1C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鹿泉区获鹿中心校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A9DE1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12B59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0EDC6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E9CDC0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E7682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鹿泉经济开发区中心校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3FF991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B939FB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385A2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8B7A56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5B6F4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鹿泉区大河中心校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03D6F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361F4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54EE9A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A52393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C8B2CC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鹿泉区上庄中心校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2B0B3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6965DE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6326A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E3DDED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83CD3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鹿泉区铜冶中心校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E9FC4A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4C9D9E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173BD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9E5CF0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8EF1C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鹿泉区上寨中心校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8849D5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1DD4A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0FAFB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D8D084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40DF1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鹿泉区寺家庄中心校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02AC4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8415D0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1EBAD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55E5DA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50312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鹿泉区宜安中心校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2D34D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C8AE88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6F6ED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B12FB4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96FB9C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鹿泉区李村中心校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FD54A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96040A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6F5D2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B8E240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9479B6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鹿泉区黄壁庄中心校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8A59E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7CDDD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11A0B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36830F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7E09C6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鹿泉区山尹村中心校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F8694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8A6F42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1EB9F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EBBF10">
            <w:pPr>
              <w:widowControl/>
              <w:spacing w:line="578" w:lineRule="exact"/>
              <w:jc w:val="center"/>
              <w:textAlignment w:val="center"/>
              <w:rPr>
                <w:rFonts w:ascii="FangSong_GB2312" w:hAnsi="FangSong_GB2312" w:eastAsia="FangSong_GB2312" w:cs="FangSong_GB2312"/>
                <w:color w:val="000000"/>
                <w:sz w:val="28"/>
                <w:szCs w:val="28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5B4B6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鹿泉区育才中学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9BF0A3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10BD4C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szCs w:val="21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  <w:tr w14:paraId="3F971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7D135F">
            <w:pPr>
              <w:widowControl/>
              <w:spacing w:line="578" w:lineRule="exact"/>
              <w:jc w:val="center"/>
              <w:textAlignment w:val="center"/>
              <w:rPr>
                <w:rFonts w:hint="default"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3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3CB228">
            <w:pPr>
              <w:widowControl/>
              <w:spacing w:line="578" w:lineRule="exact"/>
              <w:jc w:val="left"/>
              <w:textAlignment w:val="center"/>
              <w:rPr>
                <w:rFonts w:hint="default" w:ascii="FangSong_GB2312" w:hAnsi="FangSong_GB2312" w:eastAsia="FangSong_GB2312" w:cs="FangSong_GB2312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FangSong_GB2312" w:hAnsi="FangSong_GB2312" w:eastAsia="FangSong_GB2312" w:cs="FangSong_GB2312"/>
                <w:color w:val="000000"/>
                <w:kern w:val="0"/>
                <w:szCs w:val="21"/>
                <w:lang w:val="en-US" w:eastAsia="zh-CN" w:bidi="ar"/>
              </w:rPr>
              <w:t>鹿泉区育才幼儿园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4FFD74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财政补助事业单位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BDF30D">
            <w:pPr>
              <w:widowControl/>
              <w:spacing w:line="578" w:lineRule="exact"/>
              <w:jc w:val="left"/>
              <w:textAlignment w:val="center"/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</w:pPr>
            <w:r>
              <w:rPr>
                <w:rFonts w:ascii="FangSong_GB2312" w:hAnsi="FangSong_GB2312" w:eastAsia="FangSong_GB2312" w:cs="FangSong_GB2312"/>
                <w:color w:val="000000"/>
                <w:kern w:val="0"/>
                <w:szCs w:val="21"/>
                <w:lang w:bidi="ar"/>
              </w:rPr>
              <w:t>财政性资金基本保证</w:t>
            </w:r>
          </w:p>
        </w:tc>
      </w:tr>
    </w:tbl>
    <w:p w14:paraId="2206AC6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73229B3A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6D81E1B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简述部门职能、组织机构及人员、资产等基本情况。</w:t>
      </w:r>
    </w:p>
    <w:p w14:paraId="2ABCDBE9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0C6971D3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教育局2025年预算收入决算数134,273.74万元，其中：一般公共预算财政拨款收入128,546.91万元、政府性基金预算财政拨款收入4,585.99万元、事业收入570.94万元、其他收入569.90万元。2025年预算支出决算数134,197.15万元，其中按照支出性质分类：人员经费决算数103,381.73万元、公用经费决算数6,514.82万元、项目支出决算数24,300.60万元；按照支出经费分类：工资福利支出89,561.46万元、商品和服务支出17,528.69万元、对个人和家庭的补助17,329.13万元、资本性支出9,777.87万元。</w:t>
      </w:r>
    </w:p>
    <w:p w14:paraId="2A4D369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459C323E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石家庄市鹿泉区整体支出绩效目标为全区幼儿园、小学、初中、高中、中等职业学校等学段学校学生日常公用经费、教师日常工福利及公用经费、学生资助、薄弱学校改造和校舍安全加固等项目资金，确保全区教育系统积极完成年度计划目标，提升全区教育教学水平，服务全区人民，办人民满意的优质教育。</w:t>
      </w:r>
    </w:p>
    <w:p w14:paraId="3239AD7B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1.产出指标设定50分，2025年教育系统产出指标完成98%，得分：49分</w:t>
      </w:r>
    </w:p>
    <w:p w14:paraId="6100225F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2.效益指标设定30分，2025年我校完成99%，得分29分。</w:t>
      </w:r>
    </w:p>
    <w:p w14:paraId="3396A691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3.满意度指标设定10分，我校完成99%，得分9分。</w:t>
      </w:r>
    </w:p>
    <w:p w14:paraId="71E06EA6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4.预算执行进度设定10分。我校完成99%，得分9分。</w:t>
      </w:r>
    </w:p>
    <w:p w14:paraId="24C4DC4A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2025年整体绩效自评得分：96分。</w:t>
      </w:r>
    </w:p>
    <w:p w14:paraId="1285FB71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90BCED4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4DA7CA0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1.准备每个项目年初项目概况，年初预算资金额度，年初项目绩效。</w:t>
      </w:r>
    </w:p>
    <w:p w14:paraId="06BC4A2D">
      <w:pPr>
        <w:spacing w:line="560" w:lineRule="exact"/>
        <w:ind w:firstLine="640" w:firstLineChars="200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2.整理项目的合同、验收报告、资金支付凭证</w:t>
      </w:r>
    </w:p>
    <w:p w14:paraId="150A7E6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3.将项目实施结果与项目年初项目概况进行比对，按各项分值</w:t>
      </w:r>
      <w:r>
        <w:rPr>
          <w:rFonts w:hint="eastAsia" w:ascii="仿宋" w:hAnsi="仿宋" w:eastAsia="仿宋"/>
          <w:sz w:val="32"/>
          <w:szCs w:val="32"/>
        </w:rPr>
        <w:t>进行打分。</w:t>
      </w:r>
    </w:p>
    <w:p w14:paraId="4E9ED6CE">
      <w:pPr>
        <w:numPr>
          <w:ilvl w:val="0"/>
          <w:numId w:val="0"/>
        </w:numPr>
        <w:spacing w:line="560" w:lineRule="exact"/>
        <w:ind w:left="642" w:leftChars="0" w:firstLine="0" w:firstLineChars="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62EFC808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自项目开始实施进行跟踪，项目结束后，将其项目实施结果与项目年初项目概况进行比对，按各项分值进行打分。</w:t>
      </w:r>
    </w:p>
    <w:p w14:paraId="3EA383F0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220965A2">
      <w:pPr>
        <w:numPr>
          <w:ilvl w:val="0"/>
          <w:numId w:val="1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73CF7A29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2025年我校整体产出指标完成9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%，效益指标完成99%，满意度指标完成99%，预算执行进度(%)完成99%。</w:t>
      </w:r>
    </w:p>
    <w:p w14:paraId="787028DE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01DCB541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2025年，我校专项资金和具体预算支出项目的数量指标、质量指标、时效指标、成本指标、社会效益指标、可持续影响指标、服务对象满意度指标、预算执行率都比较接近年初预算设定情况，达到了预期目的。</w:t>
      </w:r>
    </w:p>
    <w:p w14:paraId="0B22219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37700A7B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1A9645B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评价结论和评价等级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</w:t>
      </w:r>
      <w:r>
        <w:rPr>
          <w:rFonts w:hint="eastAsia" w:ascii="仿宋" w:hAnsi="仿宋" w:eastAsia="仿宋"/>
          <w:sz w:val="32"/>
          <w:szCs w:val="32"/>
        </w:rPr>
        <w:t>优秀</w:t>
      </w:r>
    </w:p>
    <w:p w14:paraId="604EF2FA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FCC5DBA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FBFB95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无</w:t>
      </w:r>
    </w:p>
    <w:p w14:paraId="6E347A8A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108E9140">
      <w:pPr>
        <w:spacing w:line="5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  <w:sz w:val="32"/>
          <w:szCs w:val="32"/>
        </w:rPr>
        <w:t>无</w:t>
      </w:r>
      <w:bookmarkStart w:id="0" w:name="_GoBack"/>
      <w:bookmarkEnd w:id="0"/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FangSong_GB2312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34AE3A"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1FDC19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B713F"/>
    <w:rsid w:val="00376610"/>
    <w:rsid w:val="007B43E1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E00E65"/>
    <w:rsid w:val="00F441CC"/>
    <w:rsid w:val="01B104CA"/>
    <w:rsid w:val="02106AB0"/>
    <w:rsid w:val="02B43A28"/>
    <w:rsid w:val="046F331E"/>
    <w:rsid w:val="050B287F"/>
    <w:rsid w:val="06C838CA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F9B6C72"/>
    <w:rsid w:val="20AC5175"/>
    <w:rsid w:val="248C197D"/>
    <w:rsid w:val="252959AF"/>
    <w:rsid w:val="277A6671"/>
    <w:rsid w:val="292D35B7"/>
    <w:rsid w:val="2B6368E8"/>
    <w:rsid w:val="32817910"/>
    <w:rsid w:val="32A208F8"/>
    <w:rsid w:val="33EB6CFF"/>
    <w:rsid w:val="35A12947"/>
    <w:rsid w:val="37387040"/>
    <w:rsid w:val="3B625C0A"/>
    <w:rsid w:val="3CEE1963"/>
    <w:rsid w:val="436B78D3"/>
    <w:rsid w:val="44E601C7"/>
    <w:rsid w:val="47CC116A"/>
    <w:rsid w:val="4C9C27FE"/>
    <w:rsid w:val="512260B4"/>
    <w:rsid w:val="52BD6ACB"/>
    <w:rsid w:val="55537534"/>
    <w:rsid w:val="561A74F1"/>
    <w:rsid w:val="58255193"/>
    <w:rsid w:val="597244E8"/>
    <w:rsid w:val="5A6C5865"/>
    <w:rsid w:val="5EB71C30"/>
    <w:rsid w:val="5F890A02"/>
    <w:rsid w:val="66AF0CE5"/>
    <w:rsid w:val="6AC537CF"/>
    <w:rsid w:val="6E5B14A6"/>
    <w:rsid w:val="711B255E"/>
    <w:rsid w:val="7B9F259C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579</Words>
  <Characters>596</Characters>
  <Lines>4</Lines>
  <Paragraphs>1</Paragraphs>
  <TotalTime>0</TotalTime>
  <ScaleCrop>false</ScaleCrop>
  <LinksUpToDate>false</LinksUpToDate>
  <CharactersWithSpaces>618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诗韵枫桥</cp:lastModifiedBy>
  <cp:lastPrinted>2024-03-06T07:40:00Z</cp:lastPrinted>
  <dcterms:modified xsi:type="dcterms:W3CDTF">2026-05-29T08:22:50Z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eyJoZGlkIjoiN2ZiZjVkOGU3M2IxYjIxYjgyYjA3ZTRlMzk1OGRmOGEiLCJ1c2VySWQiOiI2NDk3MjA5NjcifQ==</vt:lpwstr>
  </property>
</Properties>
</file>