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ascii="黑体" w:hAnsi="黑体" w:eastAsia="黑体"/>
          <w:sz w:val="32"/>
          <w:szCs w:val="32"/>
        </w:rPr>
      </w:pPr>
      <w:r>
        <w:rPr>
          <w:rFonts w:hint="eastAsia" w:ascii="黑体" w:hAnsi="黑体" w:eastAsia="黑体"/>
          <w:sz w:val="32"/>
          <w:szCs w:val="32"/>
        </w:rPr>
        <w:t>附件3</w:t>
      </w:r>
    </w:p>
    <w:p>
      <w:pPr>
        <w:spacing w:line="560" w:lineRule="exact"/>
        <w:jc w:val="center"/>
        <w:rPr>
          <w:rFonts w:ascii="宋体" w:hAnsi="宋体" w:cs="宋体"/>
          <w:b/>
          <w:bCs/>
          <w:sz w:val="44"/>
          <w:szCs w:val="44"/>
        </w:rPr>
      </w:pPr>
    </w:p>
    <w:p>
      <w:pPr>
        <w:widowControl w:val="0"/>
        <w:wordWrap/>
        <w:spacing w:line="560" w:lineRule="exact"/>
        <w:ind w:left="0" w:leftChars="0" w:right="0"/>
        <w:jc w:val="center"/>
        <w:textAlignment w:val="auto"/>
        <w:outlineLvl w:val="9"/>
        <w:rPr>
          <w:rFonts w:hint="eastAsia" w:ascii="宋体" w:hAnsi="宋体" w:cs="宋体"/>
          <w:b/>
          <w:bCs/>
          <w:sz w:val="44"/>
          <w:szCs w:val="44"/>
          <w:lang w:val="en-US" w:eastAsia="zh-CN"/>
        </w:rPr>
      </w:pPr>
      <w:r>
        <w:rPr>
          <w:rFonts w:hint="eastAsia" w:ascii="宋体" w:hAnsi="宋体" w:cs="宋体"/>
          <w:b/>
          <w:bCs/>
          <w:sz w:val="44"/>
          <w:szCs w:val="44"/>
          <w:lang w:val="en-US" w:eastAsia="zh-CN"/>
        </w:rPr>
        <w:t>石家庄市鹿泉区市场监督管理局</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贯彻落实石家庄市鹿泉区人民政府《关于全面实施预算绩效管理的实施意见》（鹿发〔2019〕8号）文件精神，遵循“科学性、规范性、客观性和公正性”的原则，对</w:t>
      </w:r>
      <w:r>
        <w:rPr>
          <w:rFonts w:hint="eastAsia" w:ascii="仿宋" w:hAnsi="仿宋" w:eastAsia="仿宋"/>
          <w:sz w:val="32"/>
          <w:szCs w:val="32"/>
          <w:lang w:eastAsia="zh-CN"/>
        </w:rPr>
        <w:t>我</w:t>
      </w:r>
      <w:r>
        <w:rPr>
          <w:rFonts w:hint="eastAsia" w:ascii="仿宋" w:hAnsi="仿宋" w:eastAsia="仿宋"/>
          <w:sz w:val="32"/>
          <w:szCs w:val="32"/>
        </w:rPr>
        <w:t>部门202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pStyle w:val="4"/>
        <w:spacing w:before="0" w:after="0" w:line="580" w:lineRule="exact"/>
        <w:ind w:firstLine="960" w:firstLineChars="300"/>
        <w:jc w:val="left"/>
        <w:rPr>
          <w:rFonts w:hint="eastAsia" w:ascii="楷体" w:hAnsi="楷体" w:eastAsia="楷体" w:cs="楷体_GB2312"/>
          <w:b w:val="0"/>
          <w:bCs/>
          <w:kern w:val="2"/>
          <w:sz w:val="32"/>
          <w:szCs w:val="32"/>
          <w:lang w:val="en-US" w:eastAsia="zh-CN" w:bidi="ar-SA"/>
        </w:rPr>
      </w:pPr>
      <w:r>
        <w:rPr>
          <w:rFonts w:hint="eastAsia" w:ascii="楷体" w:hAnsi="楷体" w:eastAsia="楷体" w:cs="楷体_GB2312"/>
          <w:b w:val="0"/>
          <w:bCs/>
          <w:kern w:val="2"/>
          <w:sz w:val="32"/>
          <w:szCs w:val="32"/>
          <w:lang w:val="en-US" w:eastAsia="zh-CN" w:bidi="ar-SA"/>
        </w:rPr>
        <w:t>1.部门职责</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_GB2312" w:hAnsi="仿宋_GB2312" w:eastAsia="仿宋_GB2312" w:cs="仿宋_GB2312"/>
          <w:sz w:val="32"/>
          <w:szCs w:val="32"/>
        </w:rPr>
        <w:t>（</w:t>
      </w:r>
      <w:r>
        <w:rPr>
          <w:rFonts w:hint="eastAsia" w:ascii="仿宋" w:hAnsi="仿宋" w:eastAsia="仿宋"/>
          <w:sz w:val="32"/>
          <w:szCs w:val="32"/>
          <w:lang w:val="en-US" w:eastAsia="zh-CN"/>
        </w:rPr>
        <w:t>1</w:t>
      </w:r>
      <w:r>
        <w:rPr>
          <w:rFonts w:hint="eastAsia" w:ascii="仿宋" w:hAnsi="仿宋" w:eastAsia="仿宋"/>
          <w:sz w:val="32"/>
          <w:szCs w:val="32"/>
        </w:rPr>
        <w:t>）贯彻落实市场监督管理有关法律法规、规章政策和标准规范，起草全区市场监督管理有关规范性文件草案，组织实施质量强区战略、食品安全战略、标准化战略、知识产权战略，拟订市场监督管理规划并组织实施，规范和维护市场秩序，营造诚实守信、公平竞争的市场环境。</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2</w:t>
      </w:r>
      <w:r>
        <w:rPr>
          <w:rFonts w:hint="eastAsia" w:ascii="仿宋" w:hAnsi="仿宋" w:eastAsia="仿宋"/>
          <w:sz w:val="32"/>
          <w:szCs w:val="32"/>
        </w:rPr>
        <w:t>）负责市场主体信用建设工作，负责建立市场主体信息公示和共享机制，依法公示和共享有关信息，加强信用监管，推动市场主体信用体系建设。</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3</w:t>
      </w:r>
      <w:r>
        <w:rPr>
          <w:rFonts w:hint="eastAsia" w:ascii="仿宋" w:hAnsi="仿宋" w:eastAsia="仿宋"/>
          <w:sz w:val="32"/>
          <w:szCs w:val="32"/>
        </w:rPr>
        <w:t>）负责市场监管综合执法工作，负责市场监管综合执法队伍建设，推动实行统一的市场监管；组织查处违法案件；规范市场监管行政执法行为。</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4</w:t>
      </w:r>
      <w:r>
        <w:rPr>
          <w:rFonts w:hint="eastAsia" w:ascii="仿宋" w:hAnsi="仿宋" w:eastAsia="仿宋"/>
          <w:sz w:val="32"/>
          <w:szCs w:val="32"/>
        </w:rPr>
        <w:t>）负责监督管理市场秩序，依法监督管理市场交易、网络商品交易及有关服务的行为；依法查处价格收费违法违规、不正当竞争、违法直销、传销、侵犯商标专利知识产权和制售假冒伪劣行为；负责全区广告业发展，监督管理广告活动；依法查处无照生产经营和相关无证生产经营行为；负责维护消费者权益；根据上级授权，负责对经营者集中行为进行反垄断审查，负责垄断协议、滥用市场支配地位和滥用行政权力排除、限制竞争等反垄断执法工作。指导企业在国外的反垄断应诉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5</w:t>
      </w:r>
      <w:r>
        <w:rPr>
          <w:rFonts w:hint="eastAsia" w:ascii="仿宋" w:hAnsi="仿宋" w:eastAsia="仿宋"/>
          <w:sz w:val="32"/>
          <w:szCs w:val="32"/>
        </w:rPr>
        <w:t>）负责全区宏观质量管理工作，拟订全区质量发展制度和措施并组织实施；统筹全区质量基础设施建设与应用，会同有关部门组织实施工程设备质量监理制度，组织质量事故调查，组织实施缺陷产品召回制度，监督管理产品防伪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6</w:t>
      </w:r>
      <w:r>
        <w:rPr>
          <w:rFonts w:hint="eastAsia" w:ascii="仿宋" w:hAnsi="仿宋" w:eastAsia="仿宋"/>
          <w:sz w:val="32"/>
          <w:szCs w:val="32"/>
        </w:rPr>
        <w:t>）负责全区产品质量安全监督管理工作，承担区级产品质量安全风险监控、监督抽查工作；组织实施质量分级制度、质量安全追溯制度；负责纤维质量监督工作。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7</w:t>
      </w:r>
      <w:r>
        <w:rPr>
          <w:rFonts w:hint="eastAsia" w:ascii="仿宋" w:hAnsi="仿宋" w:eastAsia="仿宋"/>
          <w:sz w:val="32"/>
          <w:szCs w:val="32"/>
        </w:rPr>
        <w:t>）负责全区特种设备安全监督管理工作，负责特种设备安全监察、监督管理工作，监督检查高耗能特种设备节能标准和锅炉环境保护标准的执行情况。</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8</w:t>
      </w:r>
      <w:r>
        <w:rPr>
          <w:rFonts w:hint="eastAsia" w:ascii="仿宋" w:hAnsi="仿宋" w:eastAsia="仿宋"/>
          <w:sz w:val="32"/>
          <w:szCs w:val="32"/>
        </w:rPr>
        <w:t>）负责综合协调食品安全监督管理工作，贯彻落实食品安全政策，推动健全食品安全地方党政同责和跨部门协调联动机制，负责食品安全应急体系建设，负责食品安全事件应急处置和调查处理工作，建立健全食品安全信息统一公布和重要信息直报制度；承担石家庄市鹿泉区人民政府食品安全委员会日常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9</w:t>
      </w:r>
      <w:r>
        <w:rPr>
          <w:rFonts w:hint="eastAsia" w:ascii="仿宋" w:hAnsi="仿宋" w:eastAsia="仿宋"/>
          <w:sz w:val="32"/>
          <w:szCs w:val="32"/>
        </w:rPr>
        <w:t>）负责食品安全监督管理工作，建立覆盖食品生产、流通、消费全过程的监督检查制度和隐患排查治理机制并组织实施，防范食品安全风险；推动建立食品生产经营者落实主体责任的机制，健全食品安全追溯体系。参与食品安全风险监测，组织开展食品安全监督抽检、核查处置和风险预警、风险交流工作；按职责分工负责特殊食品监督管理工作；负责重大活动食品安全保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10</w:t>
      </w:r>
      <w:r>
        <w:rPr>
          <w:rFonts w:hint="eastAsia" w:ascii="仿宋" w:hAnsi="仿宋" w:eastAsia="仿宋"/>
          <w:sz w:val="32"/>
          <w:szCs w:val="32"/>
        </w:rPr>
        <w:t>）负责统一管理全区计量工作，推行法定计量单位和国家计量制度，管理计量器具及量值传递和比对工作；规范、监督商品量和市场计量行为。</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11</w:t>
      </w:r>
      <w:r>
        <w:rPr>
          <w:rFonts w:hint="eastAsia" w:ascii="仿宋" w:hAnsi="仿宋" w:eastAsia="仿宋"/>
          <w:sz w:val="32"/>
          <w:szCs w:val="32"/>
        </w:rPr>
        <w:t>）负责统一管理全区标准化工作，宣传贯彻强制性、推荐性国家标准和行业标准、地方标准；依法协调指导和监督团体标准、企业标准制定工作；组织开展标准化国际、区域合作和参与制定、采用国际标准工作。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12</w:t>
      </w:r>
      <w:r>
        <w:rPr>
          <w:rFonts w:hint="eastAsia" w:ascii="仿宋" w:hAnsi="仿宋" w:eastAsia="仿宋"/>
          <w:sz w:val="32"/>
          <w:szCs w:val="32"/>
        </w:rPr>
        <w:t>）负责统一管理全区检验检测工作，推进检验检测机构改革，规范检验检测市场，完善检验检测体系，指导协调检验检测行业发展。</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13</w:t>
      </w:r>
      <w:r>
        <w:rPr>
          <w:rFonts w:hint="eastAsia" w:ascii="仿宋" w:hAnsi="仿宋" w:eastAsia="仿宋"/>
          <w:sz w:val="32"/>
          <w:szCs w:val="32"/>
        </w:rPr>
        <w:t>）负责统一管理、监督和协调全区认证认可工作。组织实施国家统一的认证认可和合格评定监督管理制度。</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14</w:t>
      </w:r>
      <w:r>
        <w:rPr>
          <w:rFonts w:hint="eastAsia" w:ascii="仿宋" w:hAnsi="仿宋" w:eastAsia="仿宋"/>
          <w:sz w:val="32"/>
          <w:szCs w:val="32"/>
        </w:rPr>
        <w:t>）负责推进全区知识产权管理工作，拟订加强知识产权强区建设发展规划并组织实施，拟订强化知识产权创造、保护和运用的政策和制度并组织实施。</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15</w:t>
      </w:r>
      <w:r>
        <w:rPr>
          <w:rFonts w:hint="eastAsia" w:ascii="仿宋" w:hAnsi="仿宋" w:eastAsia="仿宋"/>
          <w:sz w:val="32"/>
          <w:szCs w:val="32"/>
        </w:rPr>
        <w:t>）负责保护知识产权工作，组织实施严格保护商标、专利、原产地地理标志、集成电路布图设计等知识产权地方性法规、政府规章；按照国家知识产权保护体系建设方案，推动建设知识产权保护体系；负责商标、专利执法工作，负责知识产权争议处理、维权援助和纠纷调处，承担京津冀知识产权执法协作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16</w:t>
      </w:r>
      <w:r>
        <w:rPr>
          <w:rFonts w:hint="eastAsia" w:ascii="仿宋" w:hAnsi="仿宋" w:eastAsia="仿宋"/>
          <w:sz w:val="32"/>
          <w:szCs w:val="32"/>
        </w:rPr>
        <w:t xml:space="preserve">）负责促进知识产权运用工作，贯彻落实知识产权运用和规范交易管理办法，促进知识产权转移转化；规范知识产权无形资产评估工作；负责知识产权中介服务发展的监督管理工作。 </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17</w:t>
      </w:r>
      <w:r>
        <w:rPr>
          <w:rFonts w:hint="eastAsia" w:ascii="仿宋" w:hAnsi="仿宋" w:eastAsia="仿宋"/>
          <w:sz w:val="32"/>
          <w:szCs w:val="32"/>
        </w:rPr>
        <w:t>）负责建立知识产权公共服务体系，建设利用便企利民、互联互通的知识产权信息公共服务平台，推动商标、专利等知识产权信息的传播利用。</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18</w:t>
      </w:r>
      <w:r>
        <w:rPr>
          <w:rFonts w:hint="eastAsia" w:ascii="仿宋" w:hAnsi="仿宋" w:eastAsia="仿宋"/>
          <w:sz w:val="32"/>
          <w:szCs w:val="32"/>
        </w:rPr>
        <w:t>）承担上级授权的知识产权代办工作任务，组织实施原产地地理标志统一认定制度。</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19</w:t>
      </w:r>
      <w:r>
        <w:rPr>
          <w:rFonts w:hint="eastAsia" w:ascii="仿宋" w:hAnsi="仿宋" w:eastAsia="仿宋"/>
          <w:sz w:val="32"/>
          <w:szCs w:val="32"/>
        </w:rPr>
        <w:t>）负责市场监督管理科技和信息化建设、新闻宣传、对外交流与合作；按规定承担技术性贸易措施有关工作；负责协调涉外知识产权事宜，承担知识产权对外转让审查有关工作。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zh-CN"/>
        </w:rPr>
      </w:pPr>
      <w:r>
        <w:rPr>
          <w:rFonts w:hint="eastAsia" w:ascii="仿宋" w:hAnsi="仿宋" w:eastAsia="仿宋"/>
          <w:sz w:val="32"/>
          <w:szCs w:val="32"/>
          <w:lang w:val="zh-CN"/>
        </w:rPr>
        <w:t>（</w:t>
      </w:r>
      <w:r>
        <w:rPr>
          <w:rFonts w:hint="eastAsia" w:ascii="仿宋" w:hAnsi="仿宋" w:eastAsia="仿宋"/>
          <w:sz w:val="32"/>
          <w:szCs w:val="32"/>
          <w:lang w:val="en-US" w:eastAsia="zh-CN"/>
        </w:rPr>
        <w:t>20</w:t>
      </w:r>
      <w:r>
        <w:rPr>
          <w:rFonts w:hint="eastAsia" w:ascii="仿宋" w:hAnsi="仿宋" w:eastAsia="仿宋"/>
          <w:sz w:val="32"/>
          <w:szCs w:val="32"/>
          <w:lang w:val="zh-CN"/>
        </w:rPr>
        <w:t>）</w:t>
      </w:r>
      <w:r>
        <w:rPr>
          <w:rFonts w:hint="eastAsia" w:ascii="仿宋" w:hAnsi="仿宋" w:eastAsia="仿宋"/>
          <w:sz w:val="32"/>
          <w:szCs w:val="32"/>
        </w:rPr>
        <w:t>负</w:t>
      </w:r>
      <w:r>
        <w:rPr>
          <w:rFonts w:hint="eastAsia" w:ascii="仿宋" w:hAnsi="仿宋" w:eastAsia="仿宋"/>
          <w:sz w:val="32"/>
          <w:szCs w:val="32"/>
          <w:lang w:val="zh-CN"/>
        </w:rPr>
        <w:t>责药品（含中药、民族药，下同）、医疗器械和化妆品安全监督管理工作，</w:t>
      </w:r>
      <w:r>
        <w:rPr>
          <w:rFonts w:hint="eastAsia" w:ascii="仿宋" w:hAnsi="仿宋" w:eastAsia="仿宋"/>
          <w:sz w:val="32"/>
          <w:szCs w:val="32"/>
        </w:rPr>
        <w:t>贯彻执行国家、省、市药品、医疗器械和化妆品法律法规</w:t>
      </w:r>
      <w:r>
        <w:rPr>
          <w:rFonts w:hint="eastAsia" w:ascii="仿宋" w:hAnsi="仿宋" w:eastAsia="仿宋"/>
          <w:sz w:val="32"/>
          <w:szCs w:val="32"/>
          <w:lang w:val="zh-CN"/>
        </w:rPr>
        <w:t>，以及鼓励药品、医疗器械和化妆品新技术新产品的管理与服务政策，拟订监督管理措施并组织实施。</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lang w:val="zh-CN"/>
        </w:rPr>
        <w:t>（</w:t>
      </w:r>
      <w:r>
        <w:rPr>
          <w:rFonts w:hint="eastAsia" w:ascii="仿宋" w:hAnsi="仿宋" w:eastAsia="仿宋"/>
          <w:sz w:val="32"/>
          <w:szCs w:val="32"/>
          <w:lang w:val="en-US" w:eastAsia="zh-CN"/>
        </w:rPr>
        <w:t>21</w:t>
      </w:r>
      <w:r>
        <w:rPr>
          <w:rFonts w:hint="eastAsia" w:ascii="仿宋" w:hAnsi="仿宋" w:eastAsia="仿宋"/>
          <w:sz w:val="32"/>
          <w:szCs w:val="32"/>
          <w:lang w:val="zh-CN"/>
        </w:rPr>
        <w:t>）</w:t>
      </w:r>
      <w:r>
        <w:rPr>
          <w:rFonts w:hint="eastAsia" w:ascii="仿宋" w:hAnsi="仿宋" w:eastAsia="仿宋"/>
          <w:sz w:val="32"/>
          <w:szCs w:val="32"/>
        </w:rPr>
        <w:t>负责药品、</w:t>
      </w:r>
      <w:r>
        <w:rPr>
          <w:rFonts w:hint="eastAsia" w:ascii="仿宋" w:hAnsi="仿宋" w:eastAsia="仿宋"/>
          <w:sz w:val="32"/>
          <w:szCs w:val="32"/>
          <w:lang w:val="zh-CN"/>
        </w:rPr>
        <w:t>医疗器械和化妆品质量管理工作，依职责</w:t>
      </w:r>
      <w:r>
        <w:rPr>
          <w:rFonts w:hint="eastAsia" w:ascii="仿宋" w:hAnsi="仿宋" w:eastAsia="仿宋"/>
          <w:sz w:val="32"/>
          <w:szCs w:val="32"/>
        </w:rPr>
        <w:t>监督实施药品、</w:t>
      </w:r>
      <w:r>
        <w:rPr>
          <w:rFonts w:hint="eastAsia" w:ascii="仿宋" w:hAnsi="仿宋" w:eastAsia="仿宋"/>
          <w:sz w:val="32"/>
          <w:szCs w:val="32"/>
          <w:lang w:val="zh-CN"/>
        </w:rPr>
        <w:t>医疗器械经营质量管理规范。</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zh-CN"/>
        </w:rPr>
      </w:pPr>
      <w:r>
        <w:rPr>
          <w:rFonts w:hint="eastAsia" w:ascii="仿宋" w:hAnsi="仿宋" w:eastAsia="仿宋"/>
          <w:sz w:val="32"/>
          <w:szCs w:val="32"/>
          <w:lang w:val="zh-CN"/>
        </w:rPr>
        <w:t>（</w:t>
      </w:r>
      <w:r>
        <w:rPr>
          <w:rFonts w:hint="eastAsia" w:ascii="仿宋" w:hAnsi="仿宋" w:eastAsia="仿宋"/>
          <w:sz w:val="32"/>
          <w:szCs w:val="32"/>
          <w:lang w:val="en-US" w:eastAsia="zh-CN"/>
        </w:rPr>
        <w:t>22</w:t>
      </w:r>
      <w:r>
        <w:rPr>
          <w:rFonts w:hint="eastAsia" w:ascii="仿宋" w:hAnsi="仿宋" w:eastAsia="仿宋"/>
          <w:sz w:val="32"/>
          <w:szCs w:val="32"/>
          <w:lang w:val="zh-CN"/>
        </w:rPr>
        <w:t>）组织开展药品、化妆品不良反应监测、医疗器械不良事件监测、药物滥用监测工作，依法承担药品、医疗器械和化妆品安全应急管理工作。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lang w:val="zh-CN"/>
        </w:rPr>
        <w:t>（</w:t>
      </w:r>
      <w:r>
        <w:rPr>
          <w:rFonts w:hint="eastAsia" w:ascii="仿宋" w:hAnsi="仿宋" w:eastAsia="仿宋"/>
          <w:sz w:val="32"/>
          <w:szCs w:val="32"/>
          <w:lang w:val="en-US" w:eastAsia="zh-CN"/>
        </w:rPr>
        <w:t>23</w:t>
      </w:r>
      <w:r>
        <w:rPr>
          <w:rFonts w:hint="eastAsia" w:ascii="仿宋" w:hAnsi="仿宋" w:eastAsia="仿宋"/>
          <w:sz w:val="32"/>
          <w:szCs w:val="32"/>
          <w:lang w:val="zh-CN"/>
        </w:rPr>
        <w:t>）负责药品、医疗器械和化妆品监督检查工作，</w:t>
      </w:r>
      <w:r>
        <w:rPr>
          <w:rFonts w:hint="eastAsia" w:ascii="仿宋" w:hAnsi="仿宋" w:eastAsia="仿宋"/>
          <w:sz w:val="32"/>
          <w:szCs w:val="32"/>
        </w:rPr>
        <w:t>贯彻落实国家、省、市</w:t>
      </w:r>
      <w:r>
        <w:rPr>
          <w:rFonts w:hint="eastAsia" w:ascii="仿宋" w:hAnsi="仿宋" w:eastAsia="仿宋"/>
          <w:sz w:val="32"/>
          <w:szCs w:val="32"/>
          <w:lang w:val="zh-CN"/>
        </w:rPr>
        <w:t>检查制度，依法查处药品、医</w:t>
      </w:r>
      <w:r>
        <w:rPr>
          <w:rFonts w:hint="eastAsia" w:ascii="仿宋" w:hAnsi="仿宋" w:eastAsia="仿宋"/>
          <w:sz w:val="32"/>
          <w:szCs w:val="32"/>
        </w:rPr>
        <w:t>疗器械和化妆品经营、使用环节的违法行为。</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24</w:t>
      </w:r>
      <w:r>
        <w:rPr>
          <w:rFonts w:hint="eastAsia" w:ascii="仿宋" w:hAnsi="仿宋" w:eastAsia="仿宋"/>
          <w:sz w:val="32"/>
          <w:szCs w:val="32"/>
        </w:rPr>
        <w:t>）组织开展药品、医疗器械和化妆品安全宣传、教育培训</w:t>
      </w:r>
      <w:r>
        <w:rPr>
          <w:rFonts w:hint="eastAsia" w:ascii="仿宋" w:hAnsi="仿宋" w:eastAsia="仿宋"/>
          <w:sz w:val="32"/>
          <w:szCs w:val="32"/>
          <w:lang w:val="zh-CN"/>
        </w:rPr>
        <w:t>，</w:t>
      </w:r>
      <w:r>
        <w:rPr>
          <w:rFonts w:hint="eastAsia" w:ascii="仿宋" w:hAnsi="仿宋" w:eastAsia="仿宋"/>
          <w:sz w:val="32"/>
          <w:szCs w:val="32"/>
        </w:rPr>
        <w:t>推进诚信体系建设。</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25</w:t>
      </w:r>
      <w:r>
        <w:rPr>
          <w:rFonts w:hint="eastAsia" w:ascii="仿宋" w:hAnsi="仿宋" w:eastAsia="仿宋"/>
          <w:sz w:val="32"/>
          <w:szCs w:val="32"/>
        </w:rPr>
        <w:t>）推动落实药品、医疗器械和化妆品安全企业主体责任，落实药品、医疗器械和化妆品安全考核有关工作。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26</w:t>
      </w:r>
      <w:r>
        <w:rPr>
          <w:rFonts w:hint="eastAsia" w:ascii="仿宋" w:hAnsi="仿宋" w:eastAsia="仿宋"/>
          <w:sz w:val="32"/>
          <w:szCs w:val="32"/>
        </w:rPr>
        <w:t>）推进全区药品、医疗器械和化妆品安全监管信息化建设，负责制定药品、医疗器械和化妆品的安全科技发展规划并组织实施，推动检验检测体系、电子监管追溯体系和信息化建设；完善药品、医疗器械和化妆品安全信息统一公布制度和重大信息直报制度，公布重大安全信息。</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27</w:t>
      </w:r>
      <w:r>
        <w:rPr>
          <w:rFonts w:hint="eastAsia" w:ascii="仿宋" w:hAnsi="仿宋" w:eastAsia="仿宋"/>
          <w:sz w:val="32"/>
          <w:szCs w:val="32"/>
        </w:rPr>
        <w:t>）承接市市场监督管理局委托区级实施的管理事项。</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28</w:t>
      </w:r>
      <w:r>
        <w:rPr>
          <w:rFonts w:hint="eastAsia" w:ascii="仿宋" w:hAnsi="仿宋" w:eastAsia="仿宋"/>
          <w:sz w:val="32"/>
          <w:szCs w:val="32"/>
        </w:rPr>
        <w:t>）完成区委、区政府交办的其他任务。</w:t>
      </w:r>
    </w:p>
    <w:p>
      <w:pPr>
        <w:pStyle w:val="4"/>
        <w:spacing w:before="0" w:after="0" w:line="580" w:lineRule="exact"/>
        <w:ind w:firstLine="960" w:firstLineChars="300"/>
        <w:jc w:val="left"/>
        <w:rPr>
          <w:rFonts w:hint="eastAsia" w:ascii="楷体" w:hAnsi="楷体" w:eastAsia="楷体" w:cs="楷体_GB2312"/>
          <w:b w:val="0"/>
          <w:bCs/>
          <w:kern w:val="2"/>
          <w:sz w:val="32"/>
          <w:szCs w:val="32"/>
          <w:lang w:val="en-US" w:eastAsia="zh-CN" w:bidi="ar-SA"/>
        </w:rPr>
      </w:pPr>
      <w:r>
        <w:rPr>
          <w:rFonts w:hint="eastAsia" w:ascii="楷体" w:hAnsi="楷体" w:eastAsia="楷体" w:cs="楷体_GB2312"/>
          <w:b w:val="0"/>
          <w:bCs/>
          <w:kern w:val="2"/>
          <w:sz w:val="32"/>
          <w:szCs w:val="32"/>
          <w:lang w:val="en-US" w:eastAsia="zh-CN" w:bidi="ar-SA"/>
        </w:rPr>
        <w:t>2.机构设置</w:t>
      </w:r>
    </w:p>
    <w:p>
      <w:pPr>
        <w:widowControl w:val="0"/>
        <w:wordWrap/>
        <w:adjustRightInd w:val="0"/>
        <w:snapToGrid w:val="0"/>
        <w:spacing w:line="560" w:lineRule="exact"/>
        <w:ind w:left="0" w:leftChars="0" w:right="0" w:firstLine="640" w:firstLineChars="200"/>
        <w:textAlignment w:val="auto"/>
        <w:outlineLvl w:val="9"/>
        <w:rPr>
          <w:rFonts w:hint="eastAsia"/>
        </w:rPr>
      </w:pPr>
      <w:r>
        <w:rPr>
          <w:rFonts w:hint="eastAsia" w:ascii="仿宋" w:hAnsi="仿宋" w:eastAsia="仿宋"/>
          <w:sz w:val="32"/>
          <w:szCs w:val="32"/>
          <w:lang w:val="en-US" w:eastAsia="zh-CN"/>
        </w:rPr>
        <w:t>市场监督管理局为财政拨款的行政单位，13个内设股室：办公室（举报受理股）、人事股、政策法规股、执法协调股、信用监督管理股、市场维权股、知识产权监管股、食品安全协调股、食品生产安全监督管理股、食品流通安全监督管理股、特种设备安全监察股、质量标准计量监管股、药械监督管理股；5个派出机构：获鹿市场监督管理所、铜冶市场监督管理所、上庄市场监督管理所、大河市场监督管理所、宜安市场监督管理所；6个下属事业单位：个体私营经济发展促进中心、市场监管综合执法大队、食品药品检验中心、消费维权服务中心、不良反应监测中心、质量技术监督检验所。</w:t>
      </w:r>
    </w:p>
    <w:p>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widowControl w:val="0"/>
        <w:wordWrap/>
        <w:adjustRightInd w:val="0"/>
        <w:snapToGrid w:val="0"/>
        <w:spacing w:line="560" w:lineRule="exact"/>
        <w:ind w:left="0" w:leftChars="0" w:right="0" w:firstLine="640" w:firstLineChars="200"/>
        <w:textAlignment w:val="auto"/>
        <w:outlineLvl w:val="9"/>
        <w:rPr>
          <w:color w:val="auto"/>
        </w:rPr>
      </w:pPr>
      <w:r>
        <w:rPr>
          <w:rFonts w:hint="eastAsia" w:ascii="仿宋" w:hAnsi="仿宋" w:eastAsia="仿宋"/>
          <w:color w:val="auto"/>
          <w:sz w:val="32"/>
          <w:szCs w:val="32"/>
          <w:lang w:val="en-US" w:eastAsia="zh-CN"/>
        </w:rPr>
        <w:t>本部门2025年度财政拨款本年收入3920.69万元，完成年初预算的104.26%,本年支出3920.69万元，完成年初预算的104.26%。</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pStyle w:val="11"/>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一、完善制度建设。制定并完善我局的预算绩效管理制度、资金管理办法、工作保障制度等，为全年预算绩效目标的实现奠定制度基础。</w:t>
      </w:r>
    </w:p>
    <w:p>
      <w:pPr>
        <w:pStyle w:val="11"/>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二、加强支出管理。通过优化支出结构、编细编实预算、加快履行政府采购手续、尽快启动项目、及时支付资金、按规定及时下达资金等多种措施，确保支出进度达标。</w:t>
      </w:r>
    </w:p>
    <w:p>
      <w:pPr>
        <w:pStyle w:val="11"/>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三、加强绩效运行监控。按要求开展绩效运行监控，发现问题及时采取措施，确保绩效目标如期保质实现。</w:t>
      </w:r>
    </w:p>
    <w:p>
      <w:pPr>
        <w:pStyle w:val="11"/>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四、做好绩效自评。按要求开展上年度部门预算绩效自评和重点评价工作，对评价中发现的问题及时整改，调整优化支出结构，提高财政资金使用效益。</w:t>
      </w:r>
    </w:p>
    <w:p>
      <w:pPr>
        <w:pStyle w:val="11"/>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五、规范财务资产管理。完善财务管理制度，严格要求审批程序，加强固定资产登记、使用和报废处置管理，做到出动合理，物尽其用。</w:t>
      </w:r>
    </w:p>
    <w:p>
      <w:pPr>
        <w:pStyle w:val="11"/>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六、加强内部监督。加强内部监督制度建设，对绩效运行情况、重大支出决策、对外投资、资产处置及其他重要经济业务事项的决策和招待进行督导，对会计资料进行内部审计，并配合做好审计、财政监督等外部监督工作，确保财政资金安全有效。</w:t>
      </w:r>
    </w:p>
    <w:p>
      <w:pPr>
        <w:adjustRightInd w:val="0"/>
        <w:snapToGrid w:val="0"/>
        <w:spacing w:line="560" w:lineRule="exact"/>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七、加强宣传培训调研等。加强人员培训，提高本部门职工业务素质；加强调研，提出优化财政资金配置、提高资金使用效益的意见建议；加大宣传力度，强化预算绩效管理意识，促进预算绩效管理水平进一步提升。</w:t>
      </w:r>
    </w:p>
    <w:p>
      <w:pPr>
        <w:adjustRightInd w:val="0"/>
        <w:snapToGrid w:val="0"/>
        <w:spacing w:line="560" w:lineRule="exact"/>
        <w:ind w:firstLine="640" w:firstLineChars="200"/>
        <w:rPr>
          <w:rFonts w:hint="eastAsia" w:ascii="黑体" w:hAnsi="黑体" w:eastAsia="黑体"/>
          <w:sz w:val="32"/>
          <w:szCs w:val="32"/>
        </w:rPr>
      </w:pPr>
    </w:p>
    <w:p>
      <w:pPr>
        <w:adjustRightInd w:val="0"/>
        <w:snapToGrid w:val="0"/>
        <w:spacing w:line="560" w:lineRule="exact"/>
        <w:ind w:firstLine="640" w:firstLineChars="200"/>
        <w:rPr>
          <w:rFonts w:hint="eastAsia" w:ascii="黑体" w:hAnsi="黑体" w:eastAsia="黑体"/>
          <w:sz w:val="32"/>
          <w:szCs w:val="32"/>
        </w:rPr>
      </w:pP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ind w:firstLine="642"/>
        <w:rPr>
          <w:rFonts w:hint="eastAsia" w:ascii="楷体" w:hAnsi="楷体" w:eastAsia="楷体" w:cs="楷体_GB2312"/>
          <w:bCs/>
          <w:sz w:val="32"/>
          <w:szCs w:val="32"/>
        </w:rPr>
      </w:pPr>
      <w:r>
        <w:rPr>
          <w:rFonts w:hint="eastAsia" w:ascii="仿宋" w:hAnsi="仿宋" w:eastAsia="仿宋" w:cs="楷体_GB2312"/>
          <w:b/>
          <w:bCs/>
          <w:sz w:val="32"/>
          <w:szCs w:val="32"/>
        </w:rPr>
        <w:t xml:space="preserve">    </w:t>
      </w:r>
      <w:r>
        <w:rPr>
          <w:rFonts w:hint="eastAsia" w:ascii="仿宋" w:hAnsi="仿宋" w:eastAsia="仿宋" w:cs="楷体_GB2312"/>
          <w:b/>
          <w:bCs/>
          <w:sz w:val="32"/>
          <w:szCs w:val="32"/>
          <w:lang w:eastAsia="zh-CN"/>
        </w:rPr>
        <w:t>（</w:t>
      </w:r>
      <w:r>
        <w:rPr>
          <w:rFonts w:hint="eastAsia" w:ascii="楷体" w:hAnsi="楷体" w:eastAsia="楷体" w:cs="楷体_GB2312"/>
          <w:bCs/>
          <w:sz w:val="32"/>
          <w:szCs w:val="32"/>
        </w:rPr>
        <w:t>一）自评的组织工作</w:t>
      </w:r>
    </w:p>
    <w:p>
      <w:pPr>
        <w:ind w:firstLine="642"/>
        <w:rPr>
          <w:rFonts w:ascii="仿宋" w:hAnsi="仿宋" w:eastAsia="仿宋"/>
          <w:sz w:val="32"/>
          <w:szCs w:val="32"/>
        </w:rPr>
      </w:pPr>
      <w:r>
        <w:rPr>
          <w:rFonts w:hint="eastAsia" w:ascii="仿宋" w:hAnsi="仿宋" w:eastAsia="仿宋"/>
          <w:sz w:val="32"/>
          <w:szCs w:val="32"/>
          <w:lang w:eastAsia="zh-CN"/>
        </w:rPr>
        <w:t>我单位</w:t>
      </w:r>
      <w:r>
        <w:rPr>
          <w:rFonts w:hint="eastAsia" w:ascii="仿宋" w:hAnsi="仿宋" w:eastAsia="仿宋"/>
          <w:sz w:val="32"/>
          <w:szCs w:val="32"/>
        </w:rPr>
        <w:t>实行一把手责任制，局办公室、法规科、</w:t>
      </w:r>
      <w:r>
        <w:rPr>
          <w:rFonts w:hint="eastAsia" w:ascii="仿宋" w:hAnsi="仿宋" w:eastAsia="仿宋"/>
          <w:sz w:val="32"/>
          <w:szCs w:val="32"/>
          <w:lang w:eastAsia="zh-CN"/>
        </w:rPr>
        <w:t>人事</w:t>
      </w:r>
      <w:r>
        <w:rPr>
          <w:rFonts w:hint="eastAsia" w:ascii="仿宋" w:hAnsi="仿宋" w:eastAsia="仿宋"/>
          <w:sz w:val="32"/>
          <w:szCs w:val="32"/>
        </w:rPr>
        <w:t>科</w:t>
      </w:r>
      <w:r>
        <w:rPr>
          <w:rFonts w:hint="eastAsia" w:ascii="仿宋" w:hAnsi="仿宋" w:eastAsia="仿宋"/>
          <w:sz w:val="32"/>
          <w:szCs w:val="32"/>
          <w:lang w:eastAsia="zh-CN"/>
        </w:rPr>
        <w:t>等</w:t>
      </w:r>
      <w:r>
        <w:rPr>
          <w:rFonts w:hint="eastAsia" w:ascii="仿宋" w:hAnsi="仿宋" w:eastAsia="仿宋"/>
          <w:sz w:val="32"/>
          <w:szCs w:val="32"/>
        </w:rPr>
        <w:t>成立</w:t>
      </w:r>
      <w:r>
        <w:rPr>
          <w:rFonts w:hint="eastAsia" w:ascii="仿宋" w:hAnsi="仿宋" w:eastAsia="仿宋"/>
          <w:sz w:val="32"/>
          <w:szCs w:val="32"/>
          <w:lang w:eastAsia="zh-CN"/>
        </w:rPr>
        <w:t>局</w:t>
      </w:r>
      <w:r>
        <w:rPr>
          <w:rFonts w:hint="eastAsia" w:ascii="仿宋" w:hAnsi="仿宋" w:eastAsia="仿宋"/>
          <w:sz w:val="32"/>
          <w:szCs w:val="32"/>
        </w:rPr>
        <w:t>绩效评价工作小组，</w:t>
      </w:r>
      <w:r>
        <w:rPr>
          <w:rFonts w:hint="eastAsia" w:ascii="仿宋" w:hAnsi="仿宋" w:eastAsia="仿宋"/>
          <w:sz w:val="32"/>
          <w:szCs w:val="32"/>
          <w:lang w:eastAsia="zh-CN"/>
        </w:rPr>
        <w:t>通过业务资料、财务台账、问卷调查等方式收集数据，对照年初设定的绩效目标（产出指标、效益指标、满意度指标等），细化量化指标数据，</w:t>
      </w:r>
      <w:r>
        <w:rPr>
          <w:rFonts w:hint="eastAsia" w:ascii="仿宋" w:hAnsi="仿宋" w:eastAsia="仿宋"/>
          <w:sz w:val="32"/>
          <w:szCs w:val="32"/>
        </w:rPr>
        <w:t>对</w:t>
      </w:r>
      <w:r>
        <w:rPr>
          <w:rFonts w:hint="eastAsia" w:ascii="仿宋" w:hAnsi="仿宋" w:eastAsia="仿宋"/>
          <w:sz w:val="32"/>
          <w:szCs w:val="32"/>
          <w:lang w:eastAsia="zh-CN"/>
        </w:rPr>
        <w:t>全局的整体支出进行</w:t>
      </w:r>
      <w:r>
        <w:rPr>
          <w:rFonts w:hint="eastAsia" w:ascii="仿宋" w:hAnsi="仿宋" w:eastAsia="仿宋"/>
          <w:sz w:val="32"/>
          <w:szCs w:val="32"/>
        </w:rPr>
        <w:t>总结评价结论，形成总体自评报告</w:t>
      </w:r>
      <w:r>
        <w:rPr>
          <w:rFonts w:hint="eastAsia" w:ascii="仿宋" w:hAnsi="仿宋" w:eastAsia="仿宋"/>
          <w:sz w:val="32"/>
          <w:szCs w:val="32"/>
          <w:lang w:eastAsia="zh-CN"/>
        </w:rPr>
        <w:t>。</w:t>
      </w:r>
    </w:p>
    <w:p>
      <w:pPr>
        <w:numPr>
          <w:ilvl w:val="0"/>
          <w:numId w:val="2"/>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自评的方法和过程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本次绩效自评根据《鹿泉区区级部门项目绩效自评管理办法》，以目标对比法为核心，结合问卷调查法与成本效益分析法等，形成多思维评估体系，科学、合理地对本项目进行绩效自评。</w:t>
      </w:r>
    </w:p>
    <w:p>
      <w:pPr>
        <w:keepNext w:val="0"/>
        <w:keepLines w:val="0"/>
        <w:pageBreakBefore w:val="0"/>
        <w:widowControl w:val="0"/>
        <w:kinsoku/>
        <w:wordWrap/>
        <w:overflowPunct/>
        <w:topLinePunct w:val="0"/>
        <w:autoSpaceDE/>
        <w:autoSpaceDN/>
        <w:bidi w:val="0"/>
        <w:adjustRightInd/>
        <w:snapToGrid/>
        <w:spacing w:line="560" w:lineRule="exact"/>
        <w:ind w:firstLine="0" w:firstLineChars="0"/>
        <w:textAlignment w:val="auto"/>
        <w:rPr>
          <w:rFonts w:ascii="楷体" w:hAnsi="楷体" w:eastAsia="楷体" w:cs="楷体_GB2312"/>
          <w:bCs/>
          <w:sz w:val="32"/>
          <w:szCs w:val="32"/>
        </w:rPr>
      </w:pPr>
      <w:r>
        <w:rPr>
          <w:rFonts w:hint="eastAsia" w:ascii="仿宋" w:hAnsi="仿宋" w:eastAsia="仿宋"/>
          <w:sz w:val="32"/>
          <w:szCs w:val="32"/>
        </w:rPr>
        <w:t>明确自评目的、范围和时间周期，收集与本项目相关的资料数据，依据评价指标体系和评价标准，运用适合的自评方法对项目的产出、效益、满意度等指标进行评价打分，对评价过程中发现的问题进行详细记录，并分析原因，提出具有针对性和可操作性的意见建议。</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民生安全守底线，监管执法显担当</w:t>
      </w:r>
      <w:r>
        <w:rPr>
          <w:rFonts w:hint="eastAsia" w:ascii="仿宋" w:hAnsi="仿宋" w:eastAsia="仿宋"/>
          <w:sz w:val="32"/>
          <w:szCs w:val="32"/>
          <w:lang w:eastAsia="zh-CN"/>
        </w:rPr>
        <w:t>。</w:t>
      </w:r>
      <w:r>
        <w:rPr>
          <w:rFonts w:hint="eastAsia" w:ascii="仿宋" w:hAnsi="仿宋" w:eastAsia="仿宋"/>
          <w:sz w:val="32"/>
          <w:szCs w:val="32"/>
          <w:lang w:val="en-US" w:eastAsia="zh-CN"/>
        </w:rPr>
        <w:t>一是</w:t>
      </w:r>
      <w:r>
        <w:rPr>
          <w:rFonts w:hint="eastAsia" w:ascii="仿宋" w:hAnsi="仿宋" w:eastAsia="仿宋"/>
          <w:sz w:val="32"/>
          <w:szCs w:val="32"/>
        </w:rPr>
        <w:t>食品安全全链条管控</w:t>
      </w:r>
      <w:r>
        <w:rPr>
          <w:rFonts w:hint="eastAsia" w:ascii="仿宋" w:hAnsi="仿宋" w:eastAsia="仿宋"/>
          <w:sz w:val="32"/>
          <w:szCs w:val="32"/>
          <w:lang w:eastAsia="zh-CN"/>
        </w:rPr>
        <w:t>。</w:t>
      </w:r>
      <w:r>
        <w:rPr>
          <w:rFonts w:hint="eastAsia" w:ascii="仿宋" w:hAnsi="仿宋" w:eastAsia="仿宋"/>
          <w:sz w:val="32"/>
          <w:szCs w:val="32"/>
        </w:rPr>
        <w:t>整治农村假冒伪劣食品、制售假劣肉制品等问题，检查经营主体565家次，整改隐患288处；开展“你点我检”活动3场，抽检食品90批次；规范餐饮服务，检查养老机构食堂16户次、完成大型活动食品安全保障5次，快速检测食品原料1876批次。</w:t>
      </w:r>
      <w:r>
        <w:rPr>
          <w:rFonts w:hint="eastAsia" w:ascii="仿宋" w:hAnsi="仿宋" w:eastAsia="仿宋"/>
          <w:sz w:val="32"/>
          <w:szCs w:val="32"/>
          <w:lang w:val="en-US" w:eastAsia="zh-CN"/>
        </w:rPr>
        <w:t>二是</w:t>
      </w:r>
      <w:r>
        <w:rPr>
          <w:rFonts w:hint="eastAsia" w:ascii="仿宋" w:hAnsi="仿宋" w:eastAsia="仿宋"/>
          <w:sz w:val="32"/>
          <w:szCs w:val="32"/>
        </w:rPr>
        <w:t>药械妆安全精准监管</w:t>
      </w:r>
      <w:r>
        <w:rPr>
          <w:rFonts w:hint="eastAsia" w:ascii="仿宋" w:hAnsi="仿宋" w:eastAsia="仿宋"/>
          <w:sz w:val="32"/>
          <w:szCs w:val="32"/>
          <w:lang w:eastAsia="zh-CN"/>
        </w:rPr>
        <w:t>。</w:t>
      </w:r>
      <w:r>
        <w:rPr>
          <w:rFonts w:hint="eastAsia" w:ascii="仿宋" w:hAnsi="仿宋" w:eastAsia="仿宋"/>
          <w:sz w:val="32"/>
          <w:szCs w:val="32"/>
        </w:rPr>
        <w:t>设立15个家庭过期药品回收点，检查药械妆经营使用单位459家次，办结案件9起；</w:t>
      </w:r>
      <w:bookmarkStart w:id="0" w:name="_GoBack"/>
      <w:bookmarkEnd w:id="0"/>
      <w:r>
        <w:rPr>
          <w:rFonts w:hint="eastAsia" w:ascii="仿宋" w:hAnsi="仿宋" w:eastAsia="仿宋"/>
          <w:sz w:val="32"/>
          <w:szCs w:val="32"/>
        </w:rPr>
        <w:t>不良反应上报药品1125例、医疗器械383例、化妆品81例。</w:t>
      </w:r>
      <w:r>
        <w:rPr>
          <w:rFonts w:hint="eastAsia" w:ascii="仿宋" w:hAnsi="仿宋" w:eastAsia="仿宋"/>
          <w:sz w:val="32"/>
          <w:szCs w:val="32"/>
          <w:lang w:val="en-US" w:eastAsia="zh-CN"/>
        </w:rPr>
        <w:t>三是</w:t>
      </w:r>
      <w:r>
        <w:rPr>
          <w:rFonts w:hint="eastAsia" w:ascii="仿宋" w:hAnsi="仿宋" w:eastAsia="仿宋"/>
          <w:sz w:val="32"/>
          <w:szCs w:val="32"/>
        </w:rPr>
        <w:t>特种设备与计量监管强化</w:t>
      </w:r>
      <w:r>
        <w:rPr>
          <w:rFonts w:hint="eastAsia" w:ascii="仿宋" w:hAnsi="仿宋" w:eastAsia="仿宋"/>
          <w:sz w:val="32"/>
          <w:szCs w:val="32"/>
          <w:lang w:eastAsia="zh-CN"/>
        </w:rPr>
        <w:t>。</w:t>
      </w:r>
      <w:r>
        <w:rPr>
          <w:rFonts w:hint="eastAsia" w:ascii="仿宋" w:hAnsi="仿宋" w:eastAsia="仿宋"/>
          <w:sz w:val="32"/>
          <w:szCs w:val="32"/>
        </w:rPr>
        <w:t>开展电梯、燃气领域专项整治，2家液化气充装单位完成19078只钢瓶信息化建档；推进“特卫士”系统试运行，开展应急演练10次；规范水电气暖价格行为，立案查处未明码标价案件4起，罚款0.2万元。</w:t>
      </w:r>
      <w:r>
        <w:rPr>
          <w:rFonts w:hint="eastAsia" w:ascii="仿宋" w:hAnsi="仿宋" w:eastAsia="仿宋"/>
          <w:sz w:val="32"/>
          <w:szCs w:val="32"/>
          <w:lang w:val="en-US" w:eastAsia="zh-CN"/>
        </w:rPr>
        <w:t>四是</w:t>
      </w:r>
      <w:r>
        <w:rPr>
          <w:rFonts w:hint="eastAsia" w:ascii="仿宋" w:hAnsi="仿宋" w:eastAsia="仿宋"/>
          <w:sz w:val="32"/>
          <w:szCs w:val="32"/>
        </w:rPr>
        <w:t>大气质量协同改善</w:t>
      </w:r>
      <w:r>
        <w:rPr>
          <w:rFonts w:hint="eastAsia" w:ascii="仿宋" w:hAnsi="仿宋" w:eastAsia="仿宋"/>
          <w:sz w:val="32"/>
          <w:szCs w:val="32"/>
          <w:lang w:eastAsia="zh-CN"/>
        </w:rPr>
        <w:t>。</w:t>
      </w:r>
      <w:r>
        <w:rPr>
          <w:rFonts w:hint="eastAsia" w:ascii="仿宋" w:hAnsi="仿宋" w:eastAsia="仿宋"/>
          <w:sz w:val="32"/>
          <w:szCs w:val="32"/>
        </w:rPr>
        <w:t>排查种养殖大棚607户、场站453户，实现散煤清零；检查餐饮单位1400家次，整改油烟问题46家；抽检成品油、车用尿素，合格率100%。</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市场秩序优环境，服务发展增动能</w:t>
      </w:r>
      <w:r>
        <w:rPr>
          <w:rFonts w:hint="eastAsia" w:ascii="仿宋" w:hAnsi="仿宋" w:eastAsia="仿宋"/>
          <w:sz w:val="32"/>
          <w:szCs w:val="32"/>
          <w:lang w:eastAsia="zh-CN"/>
        </w:rPr>
        <w:t>。</w:t>
      </w:r>
      <w:r>
        <w:rPr>
          <w:rFonts w:hint="eastAsia" w:ascii="仿宋" w:hAnsi="仿宋" w:eastAsia="仿宋"/>
          <w:sz w:val="32"/>
          <w:szCs w:val="32"/>
          <w:lang w:val="en-US" w:eastAsia="zh-CN"/>
        </w:rPr>
        <w:t>一是</w:t>
      </w:r>
      <w:r>
        <w:rPr>
          <w:rFonts w:hint="eastAsia" w:ascii="仿宋" w:hAnsi="仿宋" w:eastAsia="仿宋"/>
          <w:sz w:val="32"/>
          <w:szCs w:val="32"/>
        </w:rPr>
        <w:t>信用监管提质</w:t>
      </w:r>
      <w:r>
        <w:rPr>
          <w:rFonts w:hint="eastAsia" w:ascii="仿宋" w:hAnsi="仿宋" w:eastAsia="仿宋"/>
          <w:sz w:val="32"/>
          <w:szCs w:val="32"/>
          <w:lang w:eastAsia="zh-CN"/>
        </w:rPr>
        <w:t>。</w:t>
      </w:r>
      <w:r>
        <w:rPr>
          <w:rFonts w:hint="eastAsia" w:ascii="仿宋" w:hAnsi="仿宋" w:eastAsia="仿宋"/>
          <w:sz w:val="32"/>
          <w:szCs w:val="32"/>
        </w:rPr>
        <w:t>牵头“双随机、一公开”工作，制定跨部门联合抽查计划31次，认领抽查事项524个；移出经营异常名录企业265户，恢复个体户正常状态390户，开展“信用护航・赋能未来”帮扶活动2场。</w:t>
      </w:r>
      <w:r>
        <w:rPr>
          <w:rFonts w:hint="eastAsia" w:ascii="仿宋" w:hAnsi="仿宋" w:eastAsia="仿宋"/>
          <w:sz w:val="32"/>
          <w:szCs w:val="32"/>
          <w:lang w:val="en-US" w:eastAsia="zh-CN"/>
        </w:rPr>
        <w:t>二是</w:t>
      </w:r>
      <w:r>
        <w:rPr>
          <w:rFonts w:hint="eastAsia" w:ascii="仿宋" w:hAnsi="仿宋" w:eastAsia="仿宋"/>
          <w:sz w:val="32"/>
          <w:szCs w:val="32"/>
        </w:rPr>
        <w:t>知识产权赋能</w:t>
      </w:r>
      <w:r>
        <w:rPr>
          <w:rFonts w:hint="eastAsia" w:ascii="仿宋" w:hAnsi="仿宋" w:eastAsia="仿宋"/>
          <w:sz w:val="32"/>
          <w:szCs w:val="32"/>
          <w:lang w:eastAsia="zh-CN"/>
        </w:rPr>
        <w:t>。</w:t>
      </w:r>
      <w:r>
        <w:rPr>
          <w:rFonts w:hint="eastAsia" w:ascii="仿宋" w:hAnsi="仿宋" w:eastAsia="仿宋"/>
          <w:sz w:val="32"/>
          <w:szCs w:val="32"/>
        </w:rPr>
        <w:t>举办知识产权宣传周活动4场，发放资料900余份；帮扶企业争取知识产权奖励补助22万元，指导2家企业获马德里国际商标注册奖补；查处商标侵权案件6起，罚款2.23万元。</w:t>
      </w:r>
      <w:r>
        <w:rPr>
          <w:rFonts w:hint="eastAsia" w:ascii="仿宋" w:hAnsi="仿宋" w:eastAsia="仿宋"/>
          <w:sz w:val="32"/>
          <w:szCs w:val="32"/>
          <w:lang w:val="en-US" w:eastAsia="zh-CN"/>
        </w:rPr>
        <w:t>三是</w:t>
      </w:r>
      <w:r>
        <w:rPr>
          <w:rFonts w:hint="eastAsia" w:ascii="仿宋" w:hAnsi="仿宋" w:eastAsia="仿宋"/>
          <w:sz w:val="32"/>
          <w:szCs w:val="32"/>
        </w:rPr>
        <w:t>质量发展提速</w:t>
      </w:r>
      <w:r>
        <w:rPr>
          <w:rFonts w:hint="eastAsia" w:ascii="仿宋" w:hAnsi="仿宋" w:eastAsia="仿宋"/>
          <w:sz w:val="32"/>
          <w:szCs w:val="32"/>
          <w:lang w:eastAsia="zh-CN"/>
        </w:rPr>
        <w:t>。</w:t>
      </w:r>
      <w:r>
        <w:rPr>
          <w:rFonts w:hint="eastAsia" w:ascii="仿宋" w:hAnsi="仿宋" w:eastAsia="仿宋"/>
          <w:sz w:val="32"/>
          <w:szCs w:val="32"/>
        </w:rPr>
        <w:t>成功入选国家级质量强区培育名单，申报省级电子信息产业链供应链质量联动提升试点；推动“石质贷”落地，促成企业获贷1500万元；助企引智聘任外籍专家3名，质量基础设施“</w:t>
      </w:r>
      <w:r>
        <w:rPr>
          <w:rFonts w:hint="eastAsia" w:ascii="仿宋" w:hAnsi="仿宋" w:eastAsia="仿宋"/>
          <w:sz w:val="32"/>
          <w:szCs w:val="32"/>
          <w:lang w:eastAsia="zh-CN"/>
        </w:rPr>
        <w:t>一</w:t>
      </w:r>
      <w:r>
        <w:rPr>
          <w:rFonts w:hint="eastAsia" w:ascii="仿宋" w:hAnsi="仿宋" w:eastAsia="仿宋"/>
          <w:sz w:val="32"/>
          <w:szCs w:val="32"/>
        </w:rPr>
        <w:t>站式”服务平台入驻企业1197家。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执法维权促公平，共治格局筑和谐</w:t>
      </w:r>
      <w:r>
        <w:rPr>
          <w:rFonts w:hint="eastAsia" w:ascii="仿宋" w:hAnsi="仿宋" w:eastAsia="仿宋"/>
          <w:sz w:val="32"/>
          <w:szCs w:val="32"/>
          <w:lang w:eastAsia="zh-CN"/>
        </w:rPr>
        <w:t>。</w:t>
      </w:r>
      <w:r>
        <w:rPr>
          <w:rFonts w:hint="eastAsia" w:ascii="仿宋" w:hAnsi="仿宋" w:eastAsia="仿宋"/>
          <w:sz w:val="32"/>
          <w:szCs w:val="32"/>
          <w:lang w:val="en-US" w:eastAsia="zh-CN"/>
        </w:rPr>
        <w:t>一是</w:t>
      </w:r>
      <w:r>
        <w:rPr>
          <w:rFonts w:hint="eastAsia" w:ascii="仿宋" w:hAnsi="仿宋" w:eastAsia="仿宋"/>
          <w:sz w:val="32"/>
          <w:szCs w:val="32"/>
        </w:rPr>
        <w:t>专项整治护民生</w:t>
      </w:r>
      <w:r>
        <w:rPr>
          <w:rFonts w:hint="eastAsia" w:ascii="仿宋" w:hAnsi="仿宋" w:eastAsia="仿宋"/>
          <w:sz w:val="32"/>
          <w:szCs w:val="32"/>
          <w:lang w:eastAsia="zh-CN"/>
        </w:rPr>
        <w:t>。</w:t>
      </w:r>
      <w:r>
        <w:rPr>
          <w:rFonts w:hint="eastAsia" w:ascii="仿宋" w:hAnsi="仿宋" w:eastAsia="仿宋"/>
          <w:sz w:val="32"/>
          <w:szCs w:val="32"/>
        </w:rPr>
        <w:t>开展扫黑除恶、扫黄打非检查335户次，排查殡葬领域问题83处，办结案件9起；打击传销，立案查处33人涉嫌传销案件；规范教育、物业等领域收费，检查教育机构9家、物业17户次。</w:t>
      </w:r>
      <w:r>
        <w:rPr>
          <w:rFonts w:hint="eastAsia" w:ascii="仿宋" w:hAnsi="仿宋" w:eastAsia="仿宋"/>
          <w:sz w:val="32"/>
          <w:szCs w:val="32"/>
          <w:lang w:val="en-US" w:eastAsia="zh-CN"/>
        </w:rPr>
        <w:t>二是</w:t>
      </w:r>
      <w:r>
        <w:rPr>
          <w:rFonts w:hint="eastAsia" w:ascii="仿宋" w:hAnsi="仿宋" w:eastAsia="仿宋"/>
          <w:sz w:val="32"/>
          <w:szCs w:val="32"/>
        </w:rPr>
        <w:t>消费维权扩面</w:t>
      </w:r>
      <w:r>
        <w:rPr>
          <w:rFonts w:hint="eastAsia" w:ascii="仿宋" w:hAnsi="仿宋" w:eastAsia="仿宋"/>
          <w:sz w:val="32"/>
          <w:szCs w:val="32"/>
          <w:lang w:eastAsia="zh-CN"/>
        </w:rPr>
        <w:t>。</w:t>
      </w:r>
      <w:r>
        <w:rPr>
          <w:rFonts w:hint="eastAsia" w:ascii="仿宋" w:hAnsi="仿宋" w:eastAsia="仿宋"/>
          <w:sz w:val="32"/>
          <w:szCs w:val="32"/>
        </w:rPr>
        <w:t>3・15期间发放宣传资料2000份，开展农村消费维权宣传活动；消费维权服务中心受理咨询投诉69件，办结率100%，投诉举报中心转办事项8886件，办前回访全覆盖。</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pStyle w:val="12"/>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1.规范市场监督与管理</w:t>
      </w:r>
    </w:p>
    <w:p>
      <w:pPr>
        <w:pStyle w:val="12"/>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依法规范和维护全市各类市场经营秩序，监督管理市场交易行为。开展各项专项整治活动（如成品油、假驴肉、注水肉等），开展对化肥、成品油、电器等流通领域商品质量进行分批次抽检，打击假冒伪劣产品，规范各类市场主体的经营行为，确保各类市场不出现重大事故，使全区的市场秩序好于上年；加强对食品生产、流通、餐饮、保健品等各环节进行强力监管，及时发现和排除食品安全问题，确保食品生产、流通、餐饮环节和保健品不出现重大事故；规范重大活动餐饮服务单位食品监管，确保大型政治、经济、文化、体育活动以及在我区范围内举办各类大型会议、展览会和赛事等活动期间的餐饮服务食品安全；全面加强对基本药物（医疗器械及包装材料）及化妆品的质量监管指导，监督药品生产企业严格按照药品标准进行生产，及时发现制假售假问题，做好药物不良反应监测及调查处置；建立统一的市场监管信息平台，对网络市场进行监管；加快部门之间、上下级之间监管信息的互联互通，依托河北省市场主体信用信息公示系统，整合形成统一的市场监管信息平台；对户外非法广告，餐厨废弃物收集，农贸市场规范管理，各类食杂店监管，无照经营查处。</w:t>
      </w:r>
    </w:p>
    <w:p>
      <w:pPr>
        <w:pStyle w:val="12"/>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完成全区加油站和加油点成品油44批次抽检，规范成品油市场，要求成品油达到国家标准；对生产流通领域商品进行检测127批次，完成率须达到100%，抽查覆盖率达到100%。依法查处无照经营，查处传销违法行为，打假治劣，发现的企业违法行为查办及时，查办及时率达到100%；对食品和食品农产品抽检2068批次，抽查覆盖率达到95%以上，抽查产品平均合格率达到95%以上。</w:t>
      </w:r>
    </w:p>
    <w:p>
      <w:pPr>
        <w:pStyle w:val="12"/>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2.提升执法监管能力建设</w:t>
      </w:r>
    </w:p>
    <w:p>
      <w:pPr>
        <w:pStyle w:val="12"/>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加强社会信用体系衔接，实现“一处违法、处处受限”，配合有关部门建立健全跨部门联动响应机制和失信惩戒机制，对存在违法行为的市场主体，加大行政处罚和信用约束力度；开展“市场秩序优化”专项行动，切实维护良好市场秩序，加强重点领域执法力度，坚持查处与规范并重，加大打击侵权假冒案件力度，强化打击传销力度，开展反不正当竞争执法工作，加强广告市场监管，加强商标专用权保护力度，加大无照经营查处力度，进一步增强排查力度，确保同一辖区内的无照经营比例低于上一年度，深入推进合同格式条款整治行动，开展“12315护民生”专项行动，切实维护消费者合法权益。</w:t>
      </w:r>
    </w:p>
    <w:p>
      <w:pPr>
        <w:pStyle w:val="12"/>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组织开展各类专项执法行动5次以上，多次对企业开展行政指导，查处性质恶劣、跨区域、社会影响大、严重损害群众利益和破坏市场秩序的大案要案，规范企业市场行为。违法案件受理办结率达到100%。</w:t>
      </w:r>
    </w:p>
    <w:p>
      <w:pPr>
        <w:pStyle w:val="12"/>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3.做好产品质量检验检测及特种设备监察工作</w:t>
      </w:r>
    </w:p>
    <w:p>
      <w:pPr>
        <w:pStyle w:val="12"/>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负责好全区计量器具检定工作；对各执法科特种设备安全监察工作进行协调、沟通、监督、指导并做好特种设备安全事故现场调查处理及上报工作，负责全区燃气、供热、气体充装、旅游景点、仓储物流企业的管理；负责本辖区的特种设备定检完成情况。</w:t>
      </w:r>
    </w:p>
    <w:p>
      <w:pPr>
        <w:pStyle w:val="12"/>
        <w:ind w:left="0" w:leftChars="0"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绩效指标：特种设备检验检测不少于5批次；特种设备检验检测完成率要达到100%；完成180台标准计量器具及安全阀门的周期检定，标准计量器具的周期检定率100%。</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pPr>
        <w:widowControl w:val="0"/>
        <w:numPr>
          <w:ilvl w:val="0"/>
          <w:numId w:val="0"/>
        </w:numPr>
        <w:wordWrap/>
        <w:spacing w:line="560" w:lineRule="exact"/>
        <w:ind w:right="0" w:rightChars="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2025年，我部门的各项经费支出投入合理，资金落实到位，使用规范透明，监督及时有效，扎实推进了市场主体发展、食品药品安全监管和特种设备安全监察等工作。总体来看，我局整体支出完成情况好，取得了良好的社会效益，绩效评价总体得分为98分，自评为优秀等次。</w:t>
      </w:r>
    </w:p>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00000000000000000"/>
    <w:charset w:val="86"/>
    <w:family w:val="script"/>
    <w:pitch w:val="default"/>
    <w:sig w:usb0="A00002BF" w:usb1="184F6CFA" w:usb2="00000012"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2000000000000000000"/>
    <w:charset w:val="86"/>
    <w:family w:val="auto"/>
    <w:pitch w:val="default"/>
    <w:sig w:usb0="A00002BF" w:usb1="38CF7CFA" w:usb2="00082016" w:usb3="00000000" w:csb0="00040001"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MS PGothic">
    <w:panose1 w:val="020B0600070205080204"/>
    <w:charset w:val="80"/>
    <w:family w:val="auto"/>
    <w:pitch w:val="default"/>
    <w:sig w:usb0="E00002FF" w:usb1="6AC7FDFB" w:usb2="00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Quad Arrow 3073" o:spid="_x0000_s3073"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1">
    <w:nsid w:val="60E43859"/>
    <w:multiLevelType w:val="singleLevel"/>
    <w:tmpl w:val="60E43859"/>
    <w:lvl w:ilvl="0" w:tentative="0">
      <w:start w:val="2"/>
      <w:numFmt w:val="chineseCounting"/>
      <w:suff w:val="nothing"/>
      <w:lvlText w:val="（%1）"/>
      <w:lvlJc w:val="left"/>
      <w:rPr>
        <w:rFonts w:hint="eastAsia"/>
      </w:rPr>
    </w:lvl>
  </w:abstractNum>
  <w:abstractNum w:abstractNumId="2">
    <w:nsid w:val="6B8B63A8"/>
    <w:multiLevelType w:val="singleLevel"/>
    <w:tmpl w:val="6B8B63A8"/>
    <w:lvl w:ilvl="0" w:tentative="0">
      <w:start w:val="2"/>
      <w:numFmt w:val="chineseCounting"/>
      <w:suff w:val="nothing"/>
      <w:lvlText w:val="（%1）"/>
      <w:lvlJc w:val="left"/>
      <w:rPr>
        <w:rFonts w:hint="eastAsia"/>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B713F"/>
    <w:rsid w:val="00376610"/>
    <w:rsid w:val="007B43E1"/>
    <w:rsid w:val="007E6C1F"/>
    <w:rsid w:val="008E3731"/>
    <w:rsid w:val="00956A93"/>
    <w:rsid w:val="009E575C"/>
    <w:rsid w:val="009F674E"/>
    <w:rsid w:val="00AF167E"/>
    <w:rsid w:val="00AF566A"/>
    <w:rsid w:val="00B478EA"/>
    <w:rsid w:val="00B6553A"/>
    <w:rsid w:val="00BC6576"/>
    <w:rsid w:val="00C66976"/>
    <w:rsid w:val="00CE06BA"/>
    <w:rsid w:val="00E00E65"/>
    <w:rsid w:val="00F441CC"/>
    <w:rsid w:val="01B104CA"/>
    <w:rsid w:val="02106AB0"/>
    <w:rsid w:val="02B43A28"/>
    <w:rsid w:val="03BE7618"/>
    <w:rsid w:val="046F331E"/>
    <w:rsid w:val="069A66BE"/>
    <w:rsid w:val="07956271"/>
    <w:rsid w:val="08687FE8"/>
    <w:rsid w:val="09647B7B"/>
    <w:rsid w:val="09721397"/>
    <w:rsid w:val="09900D8B"/>
    <w:rsid w:val="0BB63BED"/>
    <w:rsid w:val="0CA36480"/>
    <w:rsid w:val="0DFF73B3"/>
    <w:rsid w:val="0EB97A43"/>
    <w:rsid w:val="0EBD2122"/>
    <w:rsid w:val="0F214EAE"/>
    <w:rsid w:val="11B71E6A"/>
    <w:rsid w:val="123C3D47"/>
    <w:rsid w:val="16A3322F"/>
    <w:rsid w:val="1AAF0063"/>
    <w:rsid w:val="1BE140DE"/>
    <w:rsid w:val="1C9C6D7D"/>
    <w:rsid w:val="1D6A2C4E"/>
    <w:rsid w:val="1FA60835"/>
    <w:rsid w:val="22FE0FF6"/>
    <w:rsid w:val="248C197D"/>
    <w:rsid w:val="252959AF"/>
    <w:rsid w:val="254B1EBF"/>
    <w:rsid w:val="277A6671"/>
    <w:rsid w:val="292D35B7"/>
    <w:rsid w:val="293E1EDC"/>
    <w:rsid w:val="29D81C33"/>
    <w:rsid w:val="2BA04583"/>
    <w:rsid w:val="2E870FE2"/>
    <w:rsid w:val="2F535F14"/>
    <w:rsid w:val="32547CAE"/>
    <w:rsid w:val="32817910"/>
    <w:rsid w:val="33EB6CFF"/>
    <w:rsid w:val="35A12947"/>
    <w:rsid w:val="37051E5B"/>
    <w:rsid w:val="37387040"/>
    <w:rsid w:val="3B625C0A"/>
    <w:rsid w:val="3C3144CC"/>
    <w:rsid w:val="3CEE1963"/>
    <w:rsid w:val="3D014BA4"/>
    <w:rsid w:val="3FAB22C1"/>
    <w:rsid w:val="436B78D3"/>
    <w:rsid w:val="44197234"/>
    <w:rsid w:val="4C9C27FE"/>
    <w:rsid w:val="4CAE2ED6"/>
    <w:rsid w:val="4D0D191B"/>
    <w:rsid w:val="512260B4"/>
    <w:rsid w:val="5125272A"/>
    <w:rsid w:val="51273ADE"/>
    <w:rsid w:val="52BD6ACB"/>
    <w:rsid w:val="55537534"/>
    <w:rsid w:val="561A74F1"/>
    <w:rsid w:val="574D2D46"/>
    <w:rsid w:val="579A2E45"/>
    <w:rsid w:val="58255193"/>
    <w:rsid w:val="58E65065"/>
    <w:rsid w:val="5921524A"/>
    <w:rsid w:val="597244E8"/>
    <w:rsid w:val="5AFD68B4"/>
    <w:rsid w:val="5E1501E6"/>
    <w:rsid w:val="5EB71C30"/>
    <w:rsid w:val="606467B1"/>
    <w:rsid w:val="60BB1188"/>
    <w:rsid w:val="62694894"/>
    <w:rsid w:val="665D0100"/>
    <w:rsid w:val="66A048D2"/>
    <w:rsid w:val="66AF0CE5"/>
    <w:rsid w:val="686C22EE"/>
    <w:rsid w:val="6A621215"/>
    <w:rsid w:val="6AC537CF"/>
    <w:rsid w:val="6CBD2550"/>
    <w:rsid w:val="6CC57162"/>
    <w:rsid w:val="6E5B14A6"/>
    <w:rsid w:val="711B255E"/>
    <w:rsid w:val="737465FA"/>
    <w:rsid w:val="74045149"/>
    <w:rsid w:val="77247C84"/>
    <w:rsid w:val="78120353"/>
    <w:rsid w:val="787E428C"/>
    <w:rsid w:val="7BB51E06"/>
    <w:rsid w:val="7C387F7C"/>
    <w:rsid w:val="7C955444"/>
    <w:rsid w:val="7F7D2A23"/>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4">
    <w:name w:val="heading 1"/>
    <w:basedOn w:val="1"/>
    <w:next w:val="1"/>
    <w:qFormat/>
    <w:uiPriority w:val="99"/>
    <w:pPr>
      <w:keepNext/>
      <w:keepLines/>
      <w:spacing w:before="340" w:after="330" w:line="578" w:lineRule="auto"/>
      <w:outlineLvl w:val="0"/>
    </w:pPr>
    <w:rPr>
      <w:b/>
      <w:bCs/>
      <w:kern w:val="44"/>
      <w:sz w:val="44"/>
      <w:szCs w:val="44"/>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customStyle="1" w:styleId="2">
    <w:name w:val="正文-公1"/>
    <w:basedOn w:val="3"/>
    <w:next w:val="1"/>
    <w:qFormat/>
    <w:uiPriority w:val="0"/>
    <w:pPr>
      <w:ind w:firstLine="200" w:firstLineChars="200"/>
    </w:pPr>
  </w:style>
  <w:style w:type="paragraph" w:customStyle="1" w:styleId="3">
    <w:name w:val="正文 New New New New New New New New New New New New New New New New New New New New New New New New New New New New New New New New New New New New New New New New New New New New New New New New New New New New New New New New New New New New New New Ne"/>
    <w:next w:val="2"/>
    <w:qFormat/>
    <w:uiPriority w:val="0"/>
    <w:pPr>
      <w:widowControl w:val="0"/>
      <w:jc w:val="both"/>
    </w:pPr>
    <w:rPr>
      <w:rFonts w:ascii="Times New Roman" w:hAnsi="Times New Roman" w:eastAsia="宋体" w:cs="Times New Roman"/>
      <w:kern w:val="2"/>
      <w:sz w:val="21"/>
      <w:lang w:val="en-US" w:eastAsia="zh-CN"/>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7">
    <w:name w:val="Subtitle"/>
    <w:basedOn w:val="1"/>
    <w:next w:val="1"/>
    <w:qFormat/>
    <w:uiPriority w:val="0"/>
    <w:pPr>
      <w:spacing w:line="700" w:lineRule="exact"/>
      <w:jc w:val="center"/>
      <w:outlineLvl w:val="1"/>
    </w:pPr>
    <w:rPr>
      <w:rFonts w:ascii="Arial" w:hAnsi="Arial" w:eastAsia="方正小标宋简体" w:cs="Arial"/>
      <w:b/>
      <w:bCs/>
      <w:kern w:val="28"/>
      <w:sz w:val="44"/>
      <w:szCs w:val="44"/>
    </w:rPr>
  </w:style>
  <w:style w:type="paragraph" w:customStyle="1" w:styleId="10">
    <w:name w:val="Normal Indent1"/>
    <w:basedOn w:val="1"/>
    <w:next w:val="7"/>
    <w:qFormat/>
    <w:uiPriority w:val="0"/>
    <w:pPr>
      <w:ind w:firstLine="420" w:firstLineChars="200"/>
    </w:pPr>
    <w:rPr>
      <w:rFonts w:eastAsia="仿宋_GB2312"/>
      <w:sz w:val="30"/>
    </w:rPr>
  </w:style>
  <w:style w:type="paragraph" w:customStyle="1" w:styleId="11">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2">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579</Words>
  <Characters>596</Characters>
  <Lines>4</Lines>
  <Paragraphs>1</Paragraphs>
  <TotalTime>74</TotalTime>
  <ScaleCrop>false</ScaleCrop>
  <LinksUpToDate>false</LinksUpToDate>
  <CharactersWithSpaces>618</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admin8</cp:lastModifiedBy>
  <cp:lastPrinted>2024-03-06T07:40:00Z</cp:lastPrinted>
  <dcterms:modified xsi:type="dcterms:W3CDTF">2026-05-14T01:33:31Z</dcterms:modified>
  <dc:title>附件3：</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96934721B1514D3FBAA28020338CE855_12</vt:lpwstr>
  </property>
  <property fmtid="{D5CDD505-2E9C-101B-9397-08002B2CF9AE}" pid="4" name="KSOTemplateDocerSaveRecord">
    <vt:lpwstr>eyJoZGlkIjoiNDYwYTg2YzZjOTgxYTI5MDNjNmQwYjRiMTRmY2I4OWMiLCJ1c2VySWQiOiIxNzUwMzQ2NjM4In0=</vt:lpwstr>
  </property>
</Properties>
</file>