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356190">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1066FE73">
      <w:pPr>
        <w:spacing w:line="560" w:lineRule="exact"/>
        <w:jc w:val="center"/>
        <w:rPr>
          <w:rFonts w:ascii="宋体" w:hAnsi="宋体" w:cs="宋体"/>
          <w:b/>
          <w:bCs/>
          <w:sz w:val="44"/>
          <w:szCs w:val="44"/>
        </w:rPr>
      </w:pPr>
    </w:p>
    <w:p w14:paraId="653462EF">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石家庄市鹿泉区农业农村局</w:t>
      </w:r>
    </w:p>
    <w:p w14:paraId="10C28A8C">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0D11B93">
      <w:pPr>
        <w:spacing w:line="560" w:lineRule="exact"/>
        <w:jc w:val="center"/>
        <w:rPr>
          <w:rFonts w:ascii="华文楷体" w:eastAsia="华文楷体"/>
          <w:sz w:val="32"/>
          <w:szCs w:val="32"/>
        </w:rPr>
      </w:pPr>
    </w:p>
    <w:p w14:paraId="704D427E">
      <w:pPr>
        <w:spacing w:line="560" w:lineRule="exact"/>
        <w:jc w:val="center"/>
        <w:rPr>
          <w:rFonts w:ascii="华文楷体" w:eastAsia="华文楷体"/>
          <w:sz w:val="32"/>
          <w:szCs w:val="32"/>
        </w:rPr>
      </w:pPr>
    </w:p>
    <w:p w14:paraId="0B84E44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石家庄市鹿泉区农业农村</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5E44212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E0D482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4E5C30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部门职能</w:t>
      </w:r>
    </w:p>
    <w:p w14:paraId="18C9A8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统筹研究和组织实施全区“三农”工作的发展战略、中长期规划、重大政策</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负责全区农业综合执法</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协调推动发展全区农村社会事业、农村公共服务、农村文化、农村基础设施和乡村治理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拟订区级深化农村经济体制改革和巩固完善农村基本经营制度的政策</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指导全区乡村产业、农产品加工业和休闲农业发展工作</w:t>
      </w:r>
      <w:r>
        <w:rPr>
          <w:rFonts w:hint="eastAsia" w:ascii="仿宋_GB2312" w:hAnsi="仿宋_GB2312" w:eastAsia="仿宋_GB2312" w:cs="仿宋_GB2312"/>
          <w:bCs/>
          <w:sz w:val="32"/>
          <w:szCs w:val="32"/>
          <w:lang w:eastAsia="zh-CN"/>
        </w:rPr>
        <w:t>；</w:t>
      </w:r>
    </w:p>
    <w:p w14:paraId="6D90697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负责全区种植业、畜牧业、渔业、农垦、农业机械化等农业各产业的监督管理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负责全区农产品质量安全监督管理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负责全区农业资源保护、开发与利用</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负责有关农业生产资料和农业投入品的监督管理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负责农业防灾减灾、农作物重大病虫害预测预报及防治工作</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负责农业投资管理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推动农业科技体制改革和农业科技创新体系建设</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负责农业农村人才工作。牵头开展农业对外合作工作</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完成区委、区政府和区委农村工作领导小组交办的其他任务。</w:t>
      </w:r>
    </w:p>
    <w:p w14:paraId="232E820A">
      <w:pPr>
        <w:adjustRightInd w:val="0"/>
        <w:snapToGrid w:val="0"/>
        <w:spacing w:line="560" w:lineRule="exact"/>
        <w:ind w:firstLine="640" w:firstLineChars="200"/>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lang w:eastAsia="zh-CN"/>
        </w:rPr>
        <w:t>机构设置</w:t>
      </w:r>
    </w:p>
    <w:p w14:paraId="22C4FF7B">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区农业农村局</w:t>
      </w:r>
      <w:r>
        <w:rPr>
          <w:rFonts w:hint="eastAsia" w:ascii="仿宋_GB2312" w:hAnsi="仿宋_GB2312" w:eastAsia="仿宋_GB2312" w:cs="仿宋_GB2312"/>
          <w:sz w:val="32"/>
          <w:szCs w:val="32"/>
          <w:lang w:eastAsia="zh-CN"/>
        </w:rPr>
        <w:t>机关</w:t>
      </w:r>
      <w:r>
        <w:rPr>
          <w:rFonts w:hint="eastAsia" w:ascii="仿宋_GB2312" w:hAnsi="仿宋_GB2312" w:eastAsia="仿宋_GB2312" w:cs="仿宋_GB2312"/>
          <w:sz w:val="32"/>
          <w:szCs w:val="32"/>
        </w:rPr>
        <w:t>内设办公室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农村社会事业</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发展规划</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农产品质量安全监督管理</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种植业</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畜牧水产</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医政药政与饲料</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（畜禽定点屠宰管理办公室）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项目监督与农田建设管理</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（农业机械化管理</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、区委农办秘书股、乡村振兴股。</w:t>
      </w:r>
    </w:p>
    <w:p w14:paraId="2F401675">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下属</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lang w:eastAsia="zh-CN"/>
        </w:rPr>
        <w:t>个事业单位：石家庄市鹿泉区农业经济经营管理站、石家庄市鹿泉区乡村振兴服务中心、石家庄市鹿泉区农业行政综合执法大队、石家庄市鹿泉区动物疫病预防控制中心、石家庄市鹿泉区动物卫生监督所、石家庄市鹿泉区农业产业化服务中心、石家庄市鹿泉区农业机械化技术推广站、石家庄市鹿泉区农产品综合质检站、石家庄市鹿泉区农业技术推广中心、石家庄市鹿泉区农机安全监理站、石家庄市鹿泉区新能源服务中心、河北省农业广播电视学校石家庄市鹿泉区分校、石家庄市鹿泉区植物保护检疫站、石家庄市鹿泉区水产技术推广中心、石家庄市鹿泉区气象灾害防御中心。</w:t>
      </w:r>
    </w:p>
    <w:p w14:paraId="21CE5D30">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42496DE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年预算收入</w:t>
      </w:r>
      <w:r>
        <w:rPr>
          <w:rFonts w:hint="eastAsia" w:ascii="仿宋_GB2312" w:hAnsi="仿宋_GB2312" w:eastAsia="仿宋_GB2312" w:cs="仿宋_GB2312"/>
          <w:bCs/>
          <w:sz w:val="32"/>
          <w:szCs w:val="32"/>
          <w:lang w:val="en-US" w:eastAsia="zh-CN"/>
        </w:rPr>
        <w:t>12125.05</w:t>
      </w:r>
      <w:r>
        <w:rPr>
          <w:rFonts w:hint="eastAsia" w:ascii="仿宋_GB2312" w:hAnsi="仿宋_GB2312" w:eastAsia="仿宋_GB2312" w:cs="仿宋_GB2312"/>
          <w:bCs/>
          <w:sz w:val="32"/>
          <w:szCs w:val="32"/>
        </w:rPr>
        <w:t>万元，其中：公共预算收入</w:t>
      </w:r>
      <w:r>
        <w:rPr>
          <w:rFonts w:hint="eastAsia" w:ascii="仿宋_GB2312" w:hAnsi="仿宋_GB2312" w:eastAsia="仿宋_GB2312" w:cs="仿宋_GB2312"/>
          <w:bCs/>
          <w:sz w:val="32"/>
          <w:szCs w:val="32"/>
          <w:lang w:val="en-US" w:eastAsia="zh-CN"/>
        </w:rPr>
        <w:t>11363.28</w:t>
      </w:r>
      <w:r>
        <w:rPr>
          <w:rFonts w:hint="eastAsia" w:ascii="仿宋_GB2312" w:hAnsi="仿宋_GB2312" w:eastAsia="仿宋_GB2312" w:cs="仿宋_GB2312"/>
          <w:bCs/>
          <w:sz w:val="32"/>
          <w:szCs w:val="32"/>
        </w:rPr>
        <w:t>万元，基金预算收入</w:t>
      </w:r>
      <w:r>
        <w:rPr>
          <w:rFonts w:hint="eastAsia" w:ascii="仿宋_GB2312" w:hAnsi="仿宋_GB2312" w:eastAsia="仿宋_GB2312" w:cs="仿宋_GB2312"/>
          <w:bCs/>
          <w:sz w:val="32"/>
          <w:szCs w:val="32"/>
          <w:lang w:val="en-US" w:eastAsia="zh-CN"/>
        </w:rPr>
        <w:t>631.78</w:t>
      </w:r>
      <w:r>
        <w:rPr>
          <w:rFonts w:hint="eastAsia" w:ascii="仿宋_GB2312" w:hAnsi="仿宋_GB2312" w:eastAsia="仿宋_GB2312" w:cs="仿宋_GB2312"/>
          <w:bCs/>
          <w:sz w:val="32"/>
          <w:szCs w:val="32"/>
        </w:rPr>
        <w:t>万元，</w:t>
      </w:r>
      <w:r>
        <w:rPr>
          <w:rFonts w:hint="eastAsia" w:ascii="仿宋_GB2312" w:hAnsi="仿宋_GB2312" w:eastAsia="仿宋_GB2312" w:cs="仿宋_GB2312"/>
          <w:bCs/>
          <w:sz w:val="32"/>
          <w:szCs w:val="32"/>
          <w:lang w:eastAsia="zh-CN"/>
        </w:rPr>
        <w:t>其他收入</w:t>
      </w:r>
      <w:r>
        <w:rPr>
          <w:rFonts w:hint="eastAsia" w:ascii="仿宋_GB2312" w:hAnsi="仿宋_GB2312" w:eastAsia="仿宋_GB2312" w:cs="仿宋_GB2312"/>
          <w:bCs/>
          <w:sz w:val="32"/>
          <w:szCs w:val="32"/>
          <w:lang w:val="en-US" w:eastAsia="zh-CN"/>
        </w:rPr>
        <w:t>115.62万元，</w:t>
      </w:r>
      <w:r>
        <w:rPr>
          <w:rFonts w:hint="eastAsia" w:ascii="仿宋_GB2312" w:hAnsi="仿宋_GB2312" w:eastAsia="仿宋_GB2312" w:cs="仿宋_GB2312"/>
          <w:bCs/>
          <w:sz w:val="32"/>
          <w:szCs w:val="32"/>
        </w:rPr>
        <w:t>上年结转</w:t>
      </w:r>
      <w:r>
        <w:rPr>
          <w:rFonts w:hint="eastAsia" w:ascii="仿宋_GB2312" w:hAnsi="仿宋_GB2312" w:eastAsia="仿宋_GB2312" w:cs="仿宋_GB2312"/>
          <w:bCs/>
          <w:sz w:val="32"/>
          <w:szCs w:val="32"/>
          <w:lang w:val="en-US" w:eastAsia="zh-CN"/>
        </w:rPr>
        <w:t>14.36</w:t>
      </w:r>
      <w:r>
        <w:rPr>
          <w:rFonts w:hint="eastAsia" w:ascii="仿宋_GB2312" w:hAnsi="仿宋_GB2312" w:eastAsia="仿宋_GB2312" w:cs="仿宋_GB2312"/>
          <w:bCs/>
          <w:sz w:val="32"/>
          <w:szCs w:val="32"/>
        </w:rPr>
        <w:t>万元。202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年支出预算</w:t>
      </w:r>
      <w:r>
        <w:rPr>
          <w:rFonts w:hint="eastAsia" w:ascii="仿宋_GB2312" w:hAnsi="仿宋_GB2312" w:eastAsia="仿宋_GB2312" w:cs="仿宋_GB2312"/>
          <w:bCs/>
          <w:sz w:val="32"/>
          <w:szCs w:val="32"/>
          <w:lang w:val="en-US" w:eastAsia="zh-CN"/>
        </w:rPr>
        <w:t>12120.26</w:t>
      </w:r>
      <w:r>
        <w:rPr>
          <w:rFonts w:hint="eastAsia" w:ascii="仿宋_GB2312" w:hAnsi="仿宋_GB2312" w:eastAsia="仿宋_GB2312" w:cs="仿宋_GB2312"/>
          <w:bCs/>
          <w:sz w:val="32"/>
          <w:szCs w:val="32"/>
        </w:rPr>
        <w:t>万元，其中基本支出</w:t>
      </w:r>
      <w:r>
        <w:rPr>
          <w:rFonts w:hint="eastAsia" w:ascii="仿宋_GB2312" w:hAnsi="仿宋_GB2312" w:eastAsia="仿宋_GB2312" w:cs="仿宋_GB2312"/>
          <w:bCs/>
          <w:sz w:val="32"/>
          <w:szCs w:val="32"/>
          <w:lang w:val="en-US" w:eastAsia="zh-CN"/>
        </w:rPr>
        <w:t>4412.96万</w:t>
      </w:r>
      <w:r>
        <w:rPr>
          <w:rFonts w:hint="eastAsia" w:ascii="仿宋_GB2312" w:hAnsi="仿宋_GB2312" w:eastAsia="仿宋_GB2312" w:cs="仿宋_GB2312"/>
          <w:bCs/>
          <w:sz w:val="32"/>
          <w:szCs w:val="32"/>
        </w:rPr>
        <w:t>元；项目支出</w:t>
      </w:r>
      <w:r>
        <w:rPr>
          <w:rFonts w:hint="eastAsia" w:ascii="仿宋_GB2312" w:hAnsi="仿宋_GB2312" w:eastAsia="仿宋_GB2312" w:cs="仿宋_GB2312"/>
          <w:bCs/>
          <w:sz w:val="32"/>
          <w:szCs w:val="32"/>
          <w:lang w:val="en-US" w:eastAsia="zh-CN"/>
        </w:rPr>
        <w:t>7707.30</w:t>
      </w:r>
      <w:r>
        <w:rPr>
          <w:rFonts w:hint="eastAsia" w:ascii="仿宋_GB2312" w:hAnsi="仿宋_GB2312" w:eastAsia="仿宋_GB2312" w:cs="仿宋_GB2312"/>
          <w:bCs/>
          <w:sz w:val="32"/>
          <w:szCs w:val="32"/>
        </w:rPr>
        <w:t>万元，主要为</w:t>
      </w:r>
      <w:r>
        <w:rPr>
          <w:rFonts w:hint="eastAsia" w:ascii="仿宋_GB2312" w:hAnsi="仿宋_GB2312" w:eastAsia="仿宋_GB2312" w:cs="仿宋_GB2312"/>
          <w:bCs/>
          <w:sz w:val="32"/>
          <w:szCs w:val="32"/>
          <w:lang w:eastAsia="zh-CN"/>
        </w:rPr>
        <w:t>奶业振兴资金、农村人居环境整治资金、高标准农田建设资金等</w:t>
      </w:r>
      <w:r>
        <w:rPr>
          <w:rFonts w:hint="eastAsia" w:ascii="仿宋_GB2312" w:hAnsi="仿宋_GB2312" w:eastAsia="仿宋_GB2312" w:cs="仿宋_GB2312"/>
          <w:bCs/>
          <w:sz w:val="32"/>
          <w:szCs w:val="32"/>
        </w:rPr>
        <w:t>。</w:t>
      </w:r>
    </w:p>
    <w:p w14:paraId="5ED5B819">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FC1448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一是全力保障粮食和重要农作物生产。落实粮食安全党政同责，将粮食生产任务进行分解、落实到地块，保证粮食播种面积，保障粮食生产和重要农产品供给，推进高标准农田建设。    </w:t>
      </w:r>
    </w:p>
    <w:p w14:paraId="34F3F51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是有效推动农业高质量发展。优化区域布局，加快农业结构调整，落实“一减四增”，加快推进“一调优四促进”，提升农业科技创新水平、农业绿色发展水平，大力引进优良品种。培育打造一批区域公用品牌和农产品品牌，扩大品牌影响力，为农业高质量发展增添后劲。加大区财政资金扶持力度，扶持新型农业经营主体加快发展，推动农业特色产业基地建设，撬动更多社会资本投入农业特色产业，促进农业品牌与旅游品牌、地域品牌的有机融合、相互借力，提高农产品附加值，切实增加农民收入。</w:t>
      </w:r>
    </w:p>
    <w:p w14:paraId="4609063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是持续推进乡村振兴战略落地见效。把握好全国乡村振兴示范创建、省市级乡村振兴示范区创建契机，抓重点、补短板，全面推进产业、人才、文化、生态、组织“五大振兴”。落实好区委农办工作职责，加强与省、市农办的沟通，做好各项考核评比工作，力争我区乡村振兴工作在省市名列前茅。</w:t>
      </w:r>
    </w:p>
    <w:p w14:paraId="6A6AF62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是重点抓好乡村建设工作。抓重点、补短板、强弱项，纵深推进农村人居环境整治，在全域美丽乡村建设的基础上，按照有规划、有产业、有主题、有特色、有形象“五有”标准，进一步完善村庄基础设施，挖掘村庄特色，争创美丽乡村精品村，推进美丽乡村片区打造，助推乡村特色产业发展，以美丽乡村打造催生乡村“美丽经济”。逐步完善乡村治理体系，在全国乡村治理体系建设试点建设基础上，逐步形成可复制可推广的乡村治理鹿泉经验。</w:t>
      </w:r>
    </w:p>
    <w:p w14:paraId="3B199BD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是深化农村重点领域改革。健全宅基地管理机制，探索形成闲置宅基地闲置住宅盘活利用有效方式和机制。深化农村集体产权制度改革，积极探索农村集体经济新的实现形式和运行机制，促进村级集体经济持续健康发展。</w:t>
      </w:r>
    </w:p>
    <w:p w14:paraId="2FF3588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六是巩固拓展脱贫攻坚成果</w:t>
      </w:r>
      <w:r>
        <w:rPr>
          <w:rFonts w:hint="eastAsia" w:ascii="仿宋" w:hAnsi="仿宋" w:eastAsia="仿宋"/>
          <w:sz w:val="32"/>
          <w:szCs w:val="32"/>
          <w:lang w:val="en-US" w:eastAsia="zh-CN"/>
        </w:rPr>
        <w:t>同</w:t>
      </w:r>
      <w:r>
        <w:rPr>
          <w:rFonts w:hint="eastAsia" w:ascii="仿宋" w:hAnsi="仿宋" w:eastAsia="仿宋"/>
          <w:sz w:val="32"/>
          <w:szCs w:val="32"/>
        </w:rPr>
        <w:t>乡村振兴有效衔接。持续健全完善防止返贫动态监测和帮扶机制，确保不发生返贫风险，加强向上问计，把“问计”融进全面工作，明确任务、明晰职能，以“问计”引领巩固拓展脱贫攻坚成果。</w:t>
      </w:r>
    </w:p>
    <w:p w14:paraId="4D9E0090">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A841842">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FB9F242">
      <w:pPr>
        <w:spacing w:line="560" w:lineRule="exact"/>
        <w:rPr>
          <w:rFonts w:hint="eastAsia" w:ascii="仿宋" w:hAnsi="仿宋" w:eastAsia="仿宋"/>
          <w:sz w:val="32"/>
          <w:szCs w:val="32"/>
        </w:rPr>
      </w:pPr>
      <w:r>
        <w:rPr>
          <w:rFonts w:hint="eastAsia" w:ascii="仿宋" w:hAnsi="仿宋" w:eastAsia="仿宋"/>
          <w:sz w:val="32"/>
          <w:szCs w:val="32"/>
        </w:rPr>
        <w:t xml:space="preserve">    评价资料收集：要求业务科室准备好绩效评价所需的佐证材料，其中评价指标应有对应的佐证材料相关指标的实现情况。</w:t>
      </w:r>
    </w:p>
    <w:p w14:paraId="081F835F">
      <w:pPr>
        <w:spacing w:line="560" w:lineRule="exact"/>
        <w:rPr>
          <w:rFonts w:ascii="仿宋" w:hAnsi="仿宋" w:eastAsia="仿宋"/>
          <w:sz w:val="32"/>
          <w:szCs w:val="32"/>
        </w:rPr>
      </w:pPr>
      <w:r>
        <w:rPr>
          <w:rFonts w:hint="eastAsia" w:ascii="仿宋" w:hAnsi="仿宋" w:eastAsia="仿宋"/>
          <w:sz w:val="32"/>
          <w:szCs w:val="32"/>
        </w:rPr>
        <w:t>评价过程：1.通过对相关资料的原件、数据来源及计算方法等，进一步核实自评材料及佐证材料的客观性、真实性、准确性，确保相关内容真实可靠，满足评价报告的需要。2.通过仔细查阅实施、管理等各项过程材料，补充评审评价深度的不足，进一步把握评价项目及预算执行的规范性。</w:t>
      </w:r>
    </w:p>
    <w:p w14:paraId="3EF200F2">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EE07316">
      <w:pPr>
        <w:widowControl w:val="0"/>
        <w:wordWrap/>
        <w:spacing w:line="560" w:lineRule="exact"/>
        <w:ind w:left="0" w:leftChars="0" w:right="0" w:firstLine="640" w:firstLineChars="200"/>
        <w:textAlignment w:val="auto"/>
        <w:outlineLvl w:val="9"/>
        <w:rPr>
          <w:rFonts w:hint="eastAsia" w:ascii="仿宋" w:hAnsi="仿宋" w:eastAsia="仿宋" w:cs="仿宋"/>
          <w:b/>
          <w:bCs/>
          <w:sz w:val="32"/>
          <w:szCs w:val="32"/>
        </w:rPr>
      </w:pPr>
      <w:r>
        <w:rPr>
          <w:rFonts w:hint="eastAsia" w:ascii="楷体" w:hAnsi="楷体" w:eastAsia="楷体" w:cs="楷体_GB2312"/>
          <w:bCs/>
          <w:sz w:val="32"/>
          <w:szCs w:val="32"/>
          <w:lang w:val="en-US" w:eastAsia="zh-CN"/>
        </w:rPr>
        <w:t xml:space="preserve"> </w:t>
      </w:r>
      <w:r>
        <w:rPr>
          <w:rFonts w:hint="eastAsia" w:ascii="仿宋" w:hAnsi="仿宋" w:eastAsia="仿宋" w:cs="仿宋"/>
          <w:kern w:val="2"/>
          <w:sz w:val="32"/>
          <w:szCs w:val="32"/>
          <w:lang w:val="en-US" w:eastAsia="zh-CN" w:bidi="ar-SA"/>
        </w:rPr>
        <w:t>2025年度预算项目绩效自评采用对比法、因素分析法、审核法，由项目实施股室对各项目进行综合评价，包括项目预算资金的投入、执行及项目年度预期目标、产出指标、效益指标的预期指标值与实际完成值的评定，以打分的形式评价预算项目年度绩效指标完成情况。</w:t>
      </w:r>
      <w:r>
        <w:rPr>
          <w:rFonts w:hint="eastAsia" w:ascii="仿宋" w:hAnsi="仿宋" w:eastAsia="仿宋" w:cs="仿宋"/>
          <w:b/>
          <w:bCs/>
          <w:sz w:val="32"/>
          <w:szCs w:val="32"/>
        </w:rPr>
        <w:t xml:space="preserve">    </w:t>
      </w:r>
    </w:p>
    <w:p w14:paraId="2371AED1">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E3DA91C">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AADA81D">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w:t>
      </w:r>
      <w:r>
        <w:rPr>
          <w:rFonts w:hint="eastAsia" w:ascii="仿宋" w:hAnsi="仿宋" w:eastAsia="仿宋"/>
          <w:sz w:val="32"/>
          <w:szCs w:val="32"/>
          <w:lang w:val="en-US" w:eastAsia="zh-CN"/>
        </w:rPr>
        <w:t>25</w:t>
      </w:r>
      <w:r>
        <w:rPr>
          <w:rFonts w:hint="eastAsia" w:ascii="仿宋" w:hAnsi="仿宋" w:eastAsia="仿宋"/>
          <w:sz w:val="32"/>
          <w:szCs w:val="32"/>
        </w:rPr>
        <w:t xml:space="preserve">年，我局继续深入学习贯彻习近平总书记关于“三农”工作的重要论述和各级农村工作会议精神，不折不扣落实好中央、省、市关于“三农”工作的重要部署，全面推进乡村振兴，保障粮食和重要农产品稳定安全供给，推进农业高质量发展，深化农村地区改革，谋划建设宜居宜业和美乡村，让农业成为有奔头的产业，让农民成为有吸引力的职业，让农村成为安居乐业的美丽家园。  </w:t>
      </w:r>
    </w:p>
    <w:p w14:paraId="48A8FBD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一是全力保障粮食和重要农作物生产。</w:t>
      </w:r>
    </w:p>
    <w:p w14:paraId="25A4D18E">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二是有效推动农业高质量发展。</w:t>
      </w:r>
    </w:p>
    <w:p w14:paraId="54AB7A2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三是持续推进乡村振兴战略落地见效。</w:t>
      </w:r>
    </w:p>
    <w:p w14:paraId="2ECC9A0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四是重点抓好乡村建设工作。</w:t>
      </w:r>
    </w:p>
    <w:p w14:paraId="166379AB">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五是深化农村重点领域改革。</w:t>
      </w:r>
    </w:p>
    <w:p w14:paraId="4A400977">
      <w:pPr>
        <w:spacing w:line="560" w:lineRule="exact"/>
        <w:ind w:firstLine="640" w:firstLineChars="200"/>
        <w:rPr>
          <w:rFonts w:hint="eastAsia" w:ascii="仿宋" w:hAnsi="仿宋" w:eastAsia="仿宋" w:cs="楷体_GB2312"/>
          <w:b/>
          <w:bCs/>
          <w:sz w:val="32"/>
          <w:szCs w:val="32"/>
        </w:rPr>
      </w:pPr>
      <w:r>
        <w:rPr>
          <w:rFonts w:hint="eastAsia" w:ascii="仿宋" w:hAnsi="仿宋" w:eastAsia="仿宋"/>
          <w:sz w:val="32"/>
          <w:szCs w:val="32"/>
        </w:rPr>
        <w:t>六是巩固拓展脱贫攻坚成果</w:t>
      </w:r>
      <w:r>
        <w:rPr>
          <w:rFonts w:hint="eastAsia" w:ascii="仿宋" w:hAnsi="仿宋" w:eastAsia="仿宋"/>
          <w:sz w:val="32"/>
          <w:szCs w:val="32"/>
          <w:lang w:val="en-US" w:eastAsia="zh-CN"/>
        </w:rPr>
        <w:t>同</w:t>
      </w:r>
      <w:r>
        <w:rPr>
          <w:rFonts w:hint="eastAsia" w:ascii="仿宋" w:hAnsi="仿宋" w:eastAsia="仿宋"/>
          <w:sz w:val="32"/>
          <w:szCs w:val="32"/>
        </w:rPr>
        <w:t>乡村振兴有效衔接。</w:t>
      </w:r>
    </w:p>
    <w:p w14:paraId="42208E9A">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24A564F1">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（一）支持农牧渔业产业化</w:t>
      </w:r>
    </w:p>
    <w:p w14:paraId="63B42CA6">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拉伸农牧渔业产业链条，提升农产品水产品附加值，增加农民渔民收入，创造县域经济发展新增长点。</w:t>
      </w:r>
    </w:p>
    <w:p w14:paraId="3C91B48C">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绩效目标包括: 提高农产品产量、提高蔬菜品质；推动园区农业基础设施、科技进步、质量安全、生态环保水平显著提升，扶持休闲渔业示范基地创建和渔业互保奖补项目</w:t>
      </w:r>
      <w:r>
        <w:rPr>
          <w:rFonts w:hint="eastAsia" w:ascii="仿宋" w:hAnsi="仿宋" w:eastAsia="仿宋"/>
          <w:sz w:val="32"/>
          <w:szCs w:val="32"/>
          <w:lang w:eastAsia="zh-CN"/>
        </w:rPr>
        <w:t>；</w:t>
      </w:r>
    </w:p>
    <w:p w14:paraId="0FD26B45">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完成情况：按提升农产品质量。</w:t>
      </w:r>
    </w:p>
    <w:p w14:paraId="54BE361C">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（二）扶持农畜产品、水产品生产</w:t>
      </w:r>
    </w:p>
    <w:p w14:paraId="16E4A536">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提高农牧渔产品产量和质量，优化产业结构提高经济效益，增加农民收入。</w:t>
      </w:r>
    </w:p>
    <w:p w14:paraId="43C25DC4">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 为保证肉蛋奶等产品产量对畜牧园区建设、龙头企业、养殖合作社等给予补贴；提高乳粉用奶源基地建设水平和奶源质量；优化畜牧产业空间布局，改善生态环境，推动畜牧业转型升级、持续发展；完成粮改饲种植面积和收贮量，提高种植户收入，降低养殖户饲喂成本；提高优质水产良种及苗种的生产供应能力，促进特色、主导养殖品种的良种覆盖率提高，增加渔民收入；对收集的病死畜禽进行补助。</w:t>
      </w:r>
    </w:p>
    <w:p w14:paraId="11A69176">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提高农牧渔产品产量和质量</w:t>
      </w:r>
      <w:r>
        <w:rPr>
          <w:rFonts w:hint="eastAsia" w:ascii="仿宋" w:hAnsi="仿宋" w:eastAsia="仿宋"/>
          <w:sz w:val="32"/>
          <w:szCs w:val="32"/>
          <w:lang w:eastAsia="zh-CN"/>
        </w:rPr>
        <w:t>。</w:t>
      </w:r>
    </w:p>
    <w:p w14:paraId="1CD82B0C">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（三）农业资源保护和生态建设</w:t>
      </w:r>
    </w:p>
    <w:p w14:paraId="15868B86">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建设生态农业，改善农村环境，实现农业可持续发展。</w:t>
      </w:r>
    </w:p>
    <w:p w14:paraId="3C635379">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 实现清洁能源的高效利用，减少大气污染排放，改善农村环境；开展秸秆综合利用，减少农作物秸秆焚烧，改善城乡居民生活条件；改善生态环境,促进畜禽养殖布局优化；土壤样品采集化验；进行耕地质量等级变更评价、耕地资源承载能力评价；推广配方肥技术；实现农作物秸秆的高效能源化利用，减少大气污染排放，改善农村环境；为保证乳粉业等产品产量对企业、养殖合作社等给予补贴。</w:t>
      </w:r>
    </w:p>
    <w:p w14:paraId="28DBC6D6">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建设生态农业，改善农村环境</w:t>
      </w:r>
      <w:r>
        <w:rPr>
          <w:rFonts w:hint="eastAsia" w:ascii="仿宋" w:hAnsi="仿宋" w:eastAsia="仿宋"/>
          <w:sz w:val="32"/>
          <w:szCs w:val="32"/>
          <w:lang w:eastAsia="zh-CN"/>
        </w:rPr>
        <w:t>。</w:t>
      </w:r>
    </w:p>
    <w:p w14:paraId="440DA21A">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（四）农牧渔业科技支撑和公共服务</w:t>
      </w:r>
    </w:p>
    <w:p w14:paraId="3606CF0C">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提高农牧渔业机械化水平，建立健全农牧渔业科技服务和防灾减灾体系，推动农牧渔业生产向现代农业发展。</w:t>
      </w:r>
    </w:p>
    <w:p w14:paraId="1B99EAC3">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 开展耕地深松作业，通过实施农机深松作业，有效节约水资源，提高肥料利用率；落实农机购置补贴政策，开展农机新机具、新技术宣传培训，加强主要农作物生产关键环节所需的、大马力、高性能、绿色环保型农机装备推广力度；加强农业生产全程机械化作业推广力度；加强农产品质量安全监管体系建设，指导农产品检验检测体系建设和机构考核，依法实施符合安全标准的农产品认证和监督管理；组织开展农产品质量安全的监督检查。加强水产品质量安全监管体系建设，开展水产品质量安全监督检查，组织开展无公害水产品产地认定产品认证和监督管理；农业信息技术和产品研发、引进新技术、新品种、新成果、提高农业生产经营效益，带领周围农民增收致富；电子商务试点村建设、资料印刷、网上店铺开展网络营销和利用信息带动农民增收；以夯实粮食作物发展后劲提升蔬菜品质为核心，进一步加大新品种新技术的引进示范力度；加大防灾减灾新技术推广，引进新技术示范，开展新型肥料试验；开展植物防疫检疫及农作物病虫害监测预警，发布病虫情报，建立完善植物防疫和检疫体系。指导组织开展社会化防治；落实重大动物防疫政策，建立完善防疫体系，组织乡、村开展动物疫病防控工作，做好疫情诊断并组织扑疫，完善应急储备工作。</w:t>
      </w:r>
    </w:p>
    <w:p w14:paraId="6111AF91">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推动农牧渔业生产向现代农业发展</w:t>
      </w:r>
      <w:r>
        <w:rPr>
          <w:rFonts w:hint="eastAsia" w:ascii="仿宋" w:hAnsi="仿宋" w:eastAsia="仿宋"/>
          <w:sz w:val="32"/>
          <w:szCs w:val="32"/>
          <w:lang w:eastAsia="zh-CN"/>
        </w:rPr>
        <w:t>。</w:t>
      </w:r>
    </w:p>
    <w:p w14:paraId="27A4E905">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（五）完善农村经营管理体制</w:t>
      </w:r>
    </w:p>
    <w:p w14:paraId="3477CE19">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规范流转行为，优化资源配置，促进农民专业合作经济组织健康发展，加快新农村建设和城镇化进程。</w:t>
      </w:r>
    </w:p>
    <w:p w14:paraId="3A9AB3A4">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进一步完善农村土地承包关系，保护农民利益，促进规模化经营；提高农村财务人员、合作社财务人员业务素质；完成全区村级清产核资工作；促进土地加速流转；解决农村土地承包纠纷；促进新型农业经营主体发展。</w:t>
      </w:r>
    </w:p>
    <w:p w14:paraId="72F9B0CD">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加快新农村建设和城镇化进程</w:t>
      </w:r>
    </w:p>
    <w:p w14:paraId="6AE399D2">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（六）农牧渔业行政综合执法规范化建设</w:t>
      </w:r>
    </w:p>
    <w:p w14:paraId="2D195328">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开展农业行政综合执法体系建设，提升农业行政综合执法能力，提高农业行政综合执法效能。查处农资违法违规案件，维护农资市场秩序。</w:t>
      </w:r>
    </w:p>
    <w:p w14:paraId="10637A70">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 保障动物及动物产品安全；完善执法规范化建设相关制度，开展法律法规宣传，加强水产养殖户信息和捕捞渔船信息管理；查处违法行为，杜绝辖区内使用国家禁用药物或者淘汰的饲料、饲料添加剂的违法行为；保证出厂肉品质量安全。严厉打击私屠滥宰行为，保证我区肉产品质量安全。对畜禽屠宰从业人员全员培训并考核合格；加强农药执法监管力度，规范农资经营，提高执法水平。</w:t>
      </w:r>
    </w:p>
    <w:p w14:paraId="324FCCF0">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提升农业行政综合执法能力，提高农业行政综合执法效能</w:t>
      </w:r>
      <w:r>
        <w:rPr>
          <w:rFonts w:hint="eastAsia" w:ascii="仿宋" w:hAnsi="仿宋" w:eastAsia="仿宋"/>
          <w:sz w:val="32"/>
          <w:szCs w:val="32"/>
          <w:lang w:eastAsia="zh-CN"/>
        </w:rPr>
        <w:t>。</w:t>
      </w:r>
    </w:p>
    <w:p w14:paraId="455CC8A1">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（七）农业综合开发项目的组织管理</w:t>
      </w:r>
    </w:p>
    <w:p w14:paraId="2D0C111C">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支持农业发展，巩固和加强农业基础地位、提高农业综合生产能力，支持农业参与国际竞争、推进农业现代化。</w:t>
      </w:r>
    </w:p>
    <w:p w14:paraId="21D8041D">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（八）推进新农村建设</w:t>
      </w:r>
    </w:p>
    <w:p w14:paraId="5337D1C7">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通过实施美丽乡村、中心村、革命老区重点村建设，加快社会主义新农村建设进程。改善农村环境面貌，提升农民生产生活条件。对美丽乡村的经营理念、经营定位、经营目标、经营载体等进行统筹谋划和精心策划，通过经营美丽乡村，推动农村经济发展、促进农民增收，为新农村建设提供产业支撑。</w:t>
      </w:r>
    </w:p>
    <w:p w14:paraId="71F4D232">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（九）指导全区农业产业化工作</w:t>
      </w:r>
    </w:p>
    <w:p w14:paraId="438FC83D">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通过开展农业产业化工作，加快培育发展辐射面广、带动能力大、市场竞争能力强的国家、省、市级农业产业化龙头企业。提升全区农业产业化整体水平。</w:t>
      </w:r>
    </w:p>
    <w:p w14:paraId="0BEE90E1">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（十）指导推进农村改革</w:t>
      </w:r>
    </w:p>
    <w:p w14:paraId="2D3A1A20">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全面深化农村重点领域、关键环节改革，加快推进农业农村体制机制创新，增强全区农村经济社会发展活力。使农业增效、农民增收、农村增活力。全面推进村级民主管理制度体系和村务运作体系建设。</w:t>
      </w:r>
    </w:p>
    <w:p w14:paraId="15EBF1F2">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（十一）人居环境整治建设</w:t>
      </w:r>
    </w:p>
    <w:p w14:paraId="56A84C45">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（十二）乡村振兴</w:t>
      </w:r>
    </w:p>
    <w:p w14:paraId="055CA6ED">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统筹实施乡村振兴战略，负责乡村振兴战略各项日常工作。为确保我区乡村振兴工作扎实推进、取得实效，各项任务、目标圆满完成。</w:t>
      </w:r>
    </w:p>
    <w:p w14:paraId="01FB1F0D">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（十三）巩固脱贫</w:t>
      </w:r>
    </w:p>
    <w:p w14:paraId="2F22B941">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巩固脱贫攻坚成果</w:t>
      </w:r>
    </w:p>
    <w:p w14:paraId="21614401">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（十四）农业政务管理</w:t>
      </w:r>
    </w:p>
    <w:p w14:paraId="16A66D3A">
      <w:pPr>
        <w:spacing w:line="560" w:lineRule="exact"/>
        <w:ind w:firstLine="800" w:firstLineChars="250"/>
        <w:rPr>
          <w:rFonts w:ascii="仿宋" w:hAnsi="仿宋" w:eastAsia="仿宋"/>
          <w:sz w:val="32"/>
          <w:szCs w:val="32"/>
        </w:rPr>
      </w:pPr>
      <w:r>
        <w:rPr>
          <w:rFonts w:hint="eastAsia" w:ascii="仿宋" w:hAnsi="仿宋" w:eastAsia="仿宋"/>
          <w:sz w:val="32"/>
          <w:szCs w:val="32"/>
        </w:rPr>
        <w:t>保障各项农业工作的正常运行。绩效目标包括: 加强管理，</w:t>
      </w:r>
      <w:r>
        <w:rPr>
          <w:rFonts w:hint="eastAsia" w:ascii="仿宋" w:hAnsi="仿宋" w:eastAsia="仿宋"/>
          <w:sz w:val="32"/>
          <w:szCs w:val="32"/>
          <w:lang w:val="en-US" w:eastAsia="zh-CN"/>
        </w:rPr>
        <w:t>圆满</w:t>
      </w:r>
      <w:r>
        <w:rPr>
          <w:rFonts w:hint="eastAsia" w:ascii="仿宋" w:hAnsi="仿宋" w:eastAsia="仿宋"/>
          <w:sz w:val="32"/>
          <w:szCs w:val="32"/>
        </w:rPr>
        <w:t>完成区委、区政府交办任务；加强机关事务性管理，提高机关自身工作能力。</w:t>
      </w:r>
    </w:p>
    <w:p w14:paraId="7833CEC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6DAD45D">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截至2025年底，我部门共自评104个项目，其中，87个项目评分优秀，16个项目评分良好，1个项目评分一般（地膜科学使用回收项目）。</w:t>
      </w:r>
    </w:p>
    <w:p w14:paraId="3D651244">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187EC4E">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（一）存在的主要问题</w:t>
      </w:r>
    </w:p>
    <w:p w14:paraId="4B4091E9">
      <w:pPr>
        <w:spacing w:line="560" w:lineRule="exact"/>
        <w:ind w:firstLine="640" w:firstLineChars="200"/>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lang w:eastAsia="zh-CN"/>
        </w:rPr>
        <w:t>我部门预算执行进度较慢，主要原因为：</w:t>
      </w:r>
      <w:r>
        <w:rPr>
          <w:rFonts w:hint="eastAsia" w:ascii="仿宋_GB2312" w:hAnsi="仿宋_GB2312" w:eastAsia="仿宋_GB2312" w:cs="仿宋_GB2312"/>
          <w:bCs/>
          <w:sz w:val="32"/>
          <w:szCs w:val="32"/>
          <w:lang w:val="en-US" w:eastAsia="zh-CN"/>
        </w:rPr>
        <w:t>1、上级资金实施方案批复较晚；2、财政资金未能及时拨付。</w:t>
      </w:r>
    </w:p>
    <w:p w14:paraId="49960602">
      <w:pPr>
        <w:numPr>
          <w:ilvl w:val="0"/>
          <w:numId w:val="3"/>
        </w:num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针对问题提出具体的改进措施或建议</w:t>
      </w:r>
    </w:p>
    <w:p w14:paraId="0D991DE7">
      <w:pPr>
        <w:numPr>
          <w:ilvl w:val="0"/>
          <w:numId w:val="0"/>
        </w:numPr>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Cs/>
          <w:sz w:val="32"/>
          <w:szCs w:val="32"/>
          <w:lang w:val="en-US" w:eastAsia="zh-CN"/>
        </w:rPr>
        <w:t xml:space="preserve"> 对于上级资金实施方案批复较晚原因，我部门积极与上级部门沟通，早日下达批复方案，早日实施；</w:t>
      </w:r>
      <w:r>
        <w:rPr>
          <w:rFonts w:hint="eastAsia" w:ascii="仿宋_GB2312" w:hAnsi="仿宋_GB2312" w:eastAsia="仿宋_GB2312" w:cs="仿宋_GB2312"/>
          <w:kern w:val="2"/>
          <w:sz w:val="32"/>
          <w:szCs w:val="32"/>
          <w:lang w:val="en-US" w:eastAsia="zh-CN" w:bidi="ar-SA"/>
        </w:rPr>
        <w:t>对于由于财政资金未能及时拨付等原因导致未能及时支付、及预算不足而无法开展的项目，我部门将加强与财政沟通，及时拨付资金。</w:t>
      </w:r>
    </w:p>
    <w:p w14:paraId="6B716B35">
      <w:pPr>
        <w:spacing w:line="560" w:lineRule="exact"/>
        <w:rPr>
          <w:rFonts w:ascii="仿宋" w:hAnsi="仿宋" w:eastAsia="仿宋"/>
        </w:rPr>
      </w:pPr>
    </w:p>
    <w:p w14:paraId="542D7014">
      <w:pPr>
        <w:numPr>
          <w:ilvl w:val="0"/>
          <w:numId w:val="0"/>
        </w:numPr>
        <w:ind w:firstLine="420" w:firstLineChars="200"/>
        <w:rPr>
          <w:rFonts w:hint="eastAsia" w:ascii="仿宋_GB2312" w:hAnsi="仿宋_GB2312" w:eastAsia="仿宋_GB2312" w:cs="仿宋_GB2312"/>
          <w:bCs/>
          <w:sz w:val="32"/>
          <w:szCs w:val="32"/>
          <w:lang w:val="en-US" w:eastAsia="zh-CN"/>
        </w:rPr>
      </w:pPr>
      <w:r>
        <w:rPr>
          <w:rFonts w:hint="eastAsia" w:ascii="仿宋" w:hAnsi="仿宋" w:eastAsia="仿宋"/>
          <w:lang w:val="en-US" w:eastAsia="zh-CN"/>
        </w:rPr>
        <w:t xml:space="preserve">                               </w:t>
      </w:r>
      <w:r>
        <w:rPr>
          <w:rFonts w:hint="eastAsia" w:ascii="仿宋_GB2312" w:hAnsi="仿宋_GB2312" w:eastAsia="仿宋_GB2312" w:cs="仿宋_GB2312"/>
          <w:bCs/>
          <w:sz w:val="32"/>
          <w:szCs w:val="32"/>
          <w:lang w:val="en-US" w:eastAsia="zh-CN"/>
        </w:rPr>
        <w:t xml:space="preserve">     </w:t>
      </w:r>
    </w:p>
    <w:p w14:paraId="70CD9CFD">
      <w:pPr>
        <w:numPr>
          <w:ilvl w:val="0"/>
          <w:numId w:val="0"/>
        </w:numPr>
        <w:ind w:firstLine="640" w:firstLineChars="200"/>
        <w:rPr>
          <w:rFonts w:hint="eastAsia" w:ascii="仿宋_GB2312" w:hAnsi="仿宋_GB2312" w:eastAsia="仿宋_GB2312" w:cs="仿宋_GB2312"/>
          <w:bCs/>
          <w:sz w:val="32"/>
          <w:szCs w:val="32"/>
          <w:lang w:val="en-US" w:eastAsia="zh-CN"/>
        </w:rPr>
      </w:pPr>
    </w:p>
    <w:p w14:paraId="3E55DEAD">
      <w:pPr>
        <w:numPr>
          <w:ilvl w:val="0"/>
          <w:numId w:val="0"/>
        </w:numPr>
        <w:ind w:firstLine="4480" w:firstLineChars="1400"/>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 xml:space="preserve"> 石家庄市鹿泉区农业农村局</w:t>
      </w:r>
    </w:p>
    <w:p w14:paraId="74311188">
      <w:pPr>
        <w:numPr>
          <w:ilvl w:val="0"/>
          <w:numId w:val="0"/>
        </w:numPr>
        <w:ind w:firstLine="640" w:firstLineChars="200"/>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 xml:space="preserve">                             2026年5月10日</w:t>
      </w:r>
    </w:p>
    <w:p w14:paraId="5F347D69">
      <w:pPr>
        <w:bidi w:val="0"/>
        <w:rPr>
          <w:rFonts w:hint="default" w:ascii="Calibri" w:hAnsi="Calibri" w:eastAsia="宋体" w:cs="黑体"/>
          <w:kern w:val="2"/>
          <w:sz w:val="21"/>
          <w:szCs w:val="22"/>
          <w:lang w:val="en-US" w:eastAsia="zh-CN" w:bidi="ar-SA"/>
        </w:rPr>
      </w:pPr>
    </w:p>
    <w:p w14:paraId="5BDB1EF8">
      <w:pPr>
        <w:bidi w:val="0"/>
        <w:rPr>
          <w:rFonts w:hint="default"/>
          <w:lang w:val="en-US" w:eastAsia="zh-CN"/>
        </w:rPr>
      </w:pPr>
    </w:p>
    <w:p w14:paraId="7EC4832F">
      <w:pPr>
        <w:bidi w:val="0"/>
        <w:rPr>
          <w:rFonts w:hint="default"/>
          <w:lang w:val="en-US" w:eastAsia="zh-CN"/>
        </w:rPr>
      </w:pPr>
    </w:p>
    <w:p w14:paraId="20E1A2F5">
      <w:pPr>
        <w:bidi w:val="0"/>
        <w:rPr>
          <w:rFonts w:hint="default"/>
          <w:lang w:val="en-US" w:eastAsia="zh-CN"/>
        </w:rPr>
      </w:pPr>
    </w:p>
    <w:p w14:paraId="5BC68D1B">
      <w:pPr>
        <w:bidi w:val="0"/>
        <w:rPr>
          <w:rFonts w:hint="default"/>
          <w:lang w:val="en-US" w:eastAsia="zh-CN"/>
        </w:rPr>
      </w:pPr>
    </w:p>
    <w:p w14:paraId="2A5EADEB">
      <w:pPr>
        <w:tabs>
          <w:tab w:val="left" w:pos="7711"/>
        </w:tabs>
        <w:bidi w:val="0"/>
        <w:jc w:val="left"/>
        <w:rPr>
          <w:rFonts w:hint="default"/>
          <w:lang w:val="en-US" w:eastAsia="zh-CN"/>
        </w:rPr>
      </w:pPr>
      <w:r>
        <w:rPr>
          <w:rFonts w:hint="eastAsia"/>
          <w:lang w:val="en-US" w:eastAsia="zh-CN"/>
        </w:rPr>
        <w:tab/>
      </w: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37E2C6">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6D555A7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620E71B"/>
    <w:multiLevelType w:val="singleLevel"/>
    <w:tmpl w:val="6620E71B"/>
    <w:lvl w:ilvl="0" w:tentative="0">
      <w:start w:val="2"/>
      <w:numFmt w:val="chineseCounting"/>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6163BD1"/>
    <w:rsid w:val="07956271"/>
    <w:rsid w:val="07D2329C"/>
    <w:rsid w:val="09721397"/>
    <w:rsid w:val="0A981059"/>
    <w:rsid w:val="0ADD2F10"/>
    <w:rsid w:val="0B3705F5"/>
    <w:rsid w:val="0B587850"/>
    <w:rsid w:val="0BB63BED"/>
    <w:rsid w:val="0C1360CF"/>
    <w:rsid w:val="0C7D6517"/>
    <w:rsid w:val="0E4B06ED"/>
    <w:rsid w:val="0E664FCA"/>
    <w:rsid w:val="0EB97A43"/>
    <w:rsid w:val="0EBD2122"/>
    <w:rsid w:val="0F214EAE"/>
    <w:rsid w:val="10334033"/>
    <w:rsid w:val="11B71E6A"/>
    <w:rsid w:val="12444F04"/>
    <w:rsid w:val="138D5D2E"/>
    <w:rsid w:val="151439D2"/>
    <w:rsid w:val="1AAF0063"/>
    <w:rsid w:val="1BE140DE"/>
    <w:rsid w:val="245B04E5"/>
    <w:rsid w:val="248C197D"/>
    <w:rsid w:val="252959AF"/>
    <w:rsid w:val="277A6671"/>
    <w:rsid w:val="289C5AAF"/>
    <w:rsid w:val="28D50BDD"/>
    <w:rsid w:val="292D35B7"/>
    <w:rsid w:val="2AE952F3"/>
    <w:rsid w:val="2CA4752A"/>
    <w:rsid w:val="2DE541A9"/>
    <w:rsid w:val="2E3063D5"/>
    <w:rsid w:val="2FCB01B3"/>
    <w:rsid w:val="316762A6"/>
    <w:rsid w:val="32817910"/>
    <w:rsid w:val="33EB6CFF"/>
    <w:rsid w:val="34D82B47"/>
    <w:rsid w:val="35001A64"/>
    <w:rsid w:val="35A12947"/>
    <w:rsid w:val="365302AE"/>
    <w:rsid w:val="37387040"/>
    <w:rsid w:val="39E65C0C"/>
    <w:rsid w:val="3A900623"/>
    <w:rsid w:val="3B625C0A"/>
    <w:rsid w:val="3CEE1963"/>
    <w:rsid w:val="3D0D5546"/>
    <w:rsid w:val="3FDC54B5"/>
    <w:rsid w:val="436B78D3"/>
    <w:rsid w:val="46841EB6"/>
    <w:rsid w:val="49923F57"/>
    <w:rsid w:val="4BC51B6D"/>
    <w:rsid w:val="4C9C27FE"/>
    <w:rsid w:val="4D8C13BC"/>
    <w:rsid w:val="4EFB2ACC"/>
    <w:rsid w:val="50E6667A"/>
    <w:rsid w:val="512260B4"/>
    <w:rsid w:val="51795159"/>
    <w:rsid w:val="51FD5C6F"/>
    <w:rsid w:val="526E6C02"/>
    <w:rsid w:val="52BD6ACB"/>
    <w:rsid w:val="53227FDC"/>
    <w:rsid w:val="53F8304A"/>
    <w:rsid w:val="542260C4"/>
    <w:rsid w:val="554F368F"/>
    <w:rsid w:val="55537534"/>
    <w:rsid w:val="560F1140"/>
    <w:rsid w:val="561A74F1"/>
    <w:rsid w:val="56CC7B77"/>
    <w:rsid w:val="574E45D8"/>
    <w:rsid w:val="597244E8"/>
    <w:rsid w:val="5A777D7A"/>
    <w:rsid w:val="5C11209A"/>
    <w:rsid w:val="5CE0485E"/>
    <w:rsid w:val="5DA10CC4"/>
    <w:rsid w:val="5EB71C30"/>
    <w:rsid w:val="5FB05FBE"/>
    <w:rsid w:val="5FD671D1"/>
    <w:rsid w:val="619E7E5F"/>
    <w:rsid w:val="61E844B5"/>
    <w:rsid w:val="64287ECD"/>
    <w:rsid w:val="66800932"/>
    <w:rsid w:val="66AF0CE5"/>
    <w:rsid w:val="6AC537CF"/>
    <w:rsid w:val="6B375523"/>
    <w:rsid w:val="6BF97C4C"/>
    <w:rsid w:val="6C120F5B"/>
    <w:rsid w:val="6E5B14A6"/>
    <w:rsid w:val="6FAB428F"/>
    <w:rsid w:val="711B255E"/>
    <w:rsid w:val="73972979"/>
    <w:rsid w:val="76BA6958"/>
    <w:rsid w:val="77F34E5A"/>
    <w:rsid w:val="78F53054"/>
    <w:rsid w:val="79DA0720"/>
    <w:rsid w:val="7A176C48"/>
    <w:rsid w:val="7BB51E06"/>
    <w:rsid w:val="7C387F7C"/>
    <w:rsid w:val="7F215521"/>
    <w:rsid w:val="7FA86F8B"/>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5017</Words>
  <Characters>5099</Characters>
  <Lines>4</Lines>
  <Paragraphs>1</Paragraphs>
  <TotalTime>24</TotalTime>
  <ScaleCrop>false</ScaleCrop>
  <LinksUpToDate>false</LinksUpToDate>
  <CharactersWithSpaces>5200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许然</cp:lastModifiedBy>
  <cp:lastPrinted>2025-05-12T02:41:00Z</cp:lastPrinted>
  <dcterms:modified xsi:type="dcterms:W3CDTF">2026-05-28T02:37:40Z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96934721B1514D3FBAA28020338CE855_12</vt:lpwstr>
  </property>
  <property fmtid="{D5CDD505-2E9C-101B-9397-08002B2CF9AE}" pid="4" name="KSOTemplateDocerSaveRecord">
    <vt:lpwstr>eyJoZGlkIjoiYTlkOTUzYzNiZmNmOTBkZDY5NTY3ZDI1NDBjYjYwZTAiLCJ1c2VySWQiOiIxNzQ5ODY5MzQxIn0=</vt:lpwstr>
  </property>
</Properties>
</file>