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C950C0">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0E16F420">
      <w:pPr>
        <w:spacing w:line="560" w:lineRule="exact"/>
        <w:jc w:val="center"/>
        <w:rPr>
          <w:rFonts w:ascii="宋体" w:hAnsi="宋体" w:cs="宋体"/>
          <w:b/>
          <w:bCs/>
          <w:sz w:val="44"/>
          <w:szCs w:val="44"/>
        </w:rPr>
      </w:pPr>
    </w:p>
    <w:p w14:paraId="0B26C200">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石家庄市鹿泉区李村镇人民政府</w:t>
      </w:r>
    </w:p>
    <w:p w14:paraId="4D1FBE1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049099D">
      <w:pPr>
        <w:spacing w:line="560" w:lineRule="exact"/>
        <w:jc w:val="center"/>
        <w:rPr>
          <w:rFonts w:ascii="华文楷体" w:eastAsia="华文楷体"/>
          <w:sz w:val="32"/>
          <w:szCs w:val="32"/>
        </w:rPr>
      </w:pPr>
    </w:p>
    <w:p w14:paraId="381B239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贯彻落实石家庄市鹿泉区人民政府《关于全面实施预算绩效管理的实施意见》（鹿发〔2019〕8号）文件精神，遵循“科学性、规范性、客观性和公正性”的原则，对石家庄市鹿泉区李村镇人民政府202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280BCC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81DDE4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ACC006B">
      <w:pPr>
        <w:pStyle w:val="8"/>
        <w:spacing w:line="560" w:lineRule="exact"/>
        <w:ind w:firstLine="561"/>
        <w:rPr>
          <w:rFonts w:ascii="仿宋" w:hAnsi="仿宋" w:eastAsia="仿宋" w:cs="仿宋"/>
          <w:sz w:val="32"/>
          <w:szCs w:val="24"/>
        </w:rPr>
      </w:pPr>
      <w:r>
        <w:rPr>
          <w:rFonts w:ascii="仿宋" w:hAnsi="仿宋" w:eastAsia="仿宋" w:cs="仿宋"/>
          <w:sz w:val="32"/>
          <w:szCs w:val="24"/>
        </w:rPr>
        <w:t>1</w:t>
      </w:r>
      <w:r>
        <w:rPr>
          <w:rFonts w:hint="eastAsia" w:ascii="仿宋" w:hAnsi="仿宋" w:eastAsia="仿宋" w:cs="仿宋"/>
          <w:sz w:val="32"/>
          <w:szCs w:val="24"/>
        </w:rPr>
        <w:t>、部门职能：根据中共石家庄市鹿泉区委办公室石家庄市鹿泉区人民政府办公室关于印发《石家庄市鹿泉区李村镇党委、人大、政府职能配置、内设机构和人员编制规定》鹿办字〔</w:t>
      </w:r>
      <w:r>
        <w:rPr>
          <w:rFonts w:ascii="仿宋" w:hAnsi="仿宋" w:eastAsia="仿宋" w:cs="仿宋"/>
          <w:sz w:val="32"/>
          <w:szCs w:val="24"/>
        </w:rPr>
        <w:t>2024</w:t>
      </w:r>
      <w:r>
        <w:rPr>
          <w:rFonts w:hint="eastAsia" w:ascii="仿宋" w:hAnsi="仿宋" w:eastAsia="仿宋" w:cs="仿宋"/>
          <w:sz w:val="32"/>
          <w:szCs w:val="24"/>
        </w:rPr>
        <w:t>〕</w:t>
      </w:r>
      <w:r>
        <w:rPr>
          <w:rFonts w:ascii="仿宋" w:hAnsi="仿宋" w:eastAsia="仿宋" w:cs="仿宋"/>
          <w:sz w:val="32"/>
          <w:szCs w:val="24"/>
        </w:rPr>
        <w:t>8</w:t>
      </w:r>
      <w:r>
        <w:rPr>
          <w:rFonts w:hint="eastAsia" w:ascii="仿宋" w:hAnsi="仿宋" w:eastAsia="仿宋" w:cs="仿宋"/>
          <w:sz w:val="32"/>
          <w:szCs w:val="24"/>
        </w:rPr>
        <w:t>号</w:t>
      </w:r>
      <w:r>
        <w:rPr>
          <w:rFonts w:ascii="仿宋" w:hAnsi="仿宋" w:eastAsia="仿宋" w:cs="仿宋"/>
          <w:sz w:val="32"/>
          <w:szCs w:val="24"/>
        </w:rPr>
        <w:t>,</w:t>
      </w:r>
      <w:r>
        <w:rPr>
          <w:rFonts w:hint="eastAsia" w:ascii="仿宋" w:hAnsi="仿宋" w:eastAsia="仿宋" w:cs="仿宋"/>
          <w:sz w:val="32"/>
          <w:szCs w:val="24"/>
        </w:rPr>
        <w:t>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5D659D63">
      <w:pPr>
        <w:pStyle w:val="8"/>
        <w:spacing w:line="560" w:lineRule="exact"/>
        <w:ind w:firstLine="561"/>
        <w:rPr>
          <w:rFonts w:ascii="仿宋" w:hAnsi="仿宋" w:eastAsia="仿宋" w:cs="仿宋"/>
          <w:sz w:val="32"/>
          <w:szCs w:val="24"/>
        </w:rPr>
      </w:pPr>
      <w:r>
        <w:rPr>
          <w:rFonts w:ascii="仿宋" w:hAnsi="仿宋" w:eastAsia="仿宋" w:cs="仿宋"/>
          <w:sz w:val="32"/>
          <w:szCs w:val="24"/>
        </w:rPr>
        <w:t>2</w:t>
      </w:r>
      <w:r>
        <w:rPr>
          <w:rFonts w:hint="eastAsia" w:ascii="仿宋" w:hAnsi="仿宋" w:eastAsia="仿宋" w:cs="仿宋"/>
          <w:sz w:val="32"/>
          <w:szCs w:val="24"/>
        </w:rPr>
        <w:t>、机构情况，李村镇党委、人大、政府设</w:t>
      </w:r>
      <w:r>
        <w:rPr>
          <w:rFonts w:ascii="仿宋" w:hAnsi="仿宋" w:eastAsia="仿宋" w:cs="仿宋"/>
          <w:sz w:val="32"/>
          <w:szCs w:val="24"/>
        </w:rPr>
        <w:t>8</w:t>
      </w:r>
      <w:r>
        <w:rPr>
          <w:rFonts w:hint="eastAsia" w:ascii="仿宋" w:hAnsi="仿宋" w:eastAsia="仿宋" w:cs="仿宋"/>
          <w:sz w:val="32"/>
          <w:szCs w:val="24"/>
        </w:rPr>
        <w:t>个工作机构。</w:t>
      </w:r>
    </w:p>
    <w:p w14:paraId="724E3976">
      <w:pPr>
        <w:pStyle w:val="8"/>
        <w:spacing w:line="560" w:lineRule="exact"/>
        <w:ind w:firstLine="561"/>
        <w:rPr>
          <w:rFonts w:ascii="仿宋" w:hAnsi="仿宋" w:eastAsia="仿宋" w:cs="仿宋"/>
          <w:sz w:val="32"/>
          <w:szCs w:val="24"/>
        </w:rPr>
      </w:pPr>
      <w:r>
        <w:rPr>
          <w:rFonts w:hint="eastAsia" w:ascii="仿宋" w:hAnsi="仿宋" w:eastAsia="仿宋" w:cs="仿宋"/>
          <w:sz w:val="32"/>
          <w:szCs w:val="24"/>
        </w:rPr>
        <w:t>（一）内设机构</w:t>
      </w:r>
      <w:r>
        <w:rPr>
          <w:rFonts w:ascii="仿宋" w:hAnsi="仿宋" w:eastAsia="仿宋" w:cs="仿宋"/>
          <w:sz w:val="32"/>
          <w:szCs w:val="24"/>
        </w:rPr>
        <w:t>4</w:t>
      </w:r>
      <w:r>
        <w:rPr>
          <w:rFonts w:hint="eastAsia" w:ascii="仿宋" w:hAnsi="仿宋" w:eastAsia="仿宋" w:cs="仿宋"/>
          <w:sz w:val="32"/>
          <w:szCs w:val="24"/>
        </w:rPr>
        <w:t>个：</w:t>
      </w:r>
      <w:r>
        <w:rPr>
          <w:rFonts w:ascii="仿宋" w:hAnsi="仿宋" w:eastAsia="仿宋" w:cs="仿宋"/>
          <w:sz w:val="32"/>
          <w:szCs w:val="24"/>
        </w:rPr>
        <w:t>1</w:t>
      </w:r>
      <w:r>
        <w:rPr>
          <w:rFonts w:hint="eastAsia" w:ascii="仿宋" w:hAnsi="仿宋" w:eastAsia="仿宋" w:cs="仿宋"/>
          <w:sz w:val="32"/>
          <w:szCs w:val="24"/>
        </w:rPr>
        <w:t>、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r>
        <w:rPr>
          <w:rFonts w:ascii="仿宋" w:hAnsi="仿宋" w:eastAsia="仿宋" w:cs="仿宋"/>
          <w:sz w:val="32"/>
          <w:szCs w:val="24"/>
        </w:rPr>
        <w:t>2</w:t>
      </w:r>
      <w:r>
        <w:rPr>
          <w:rFonts w:hint="eastAsia" w:ascii="仿宋" w:hAnsi="仿宋" w:eastAsia="仿宋" w:cs="仿宋"/>
          <w:sz w:val="32"/>
          <w:szCs w:val="24"/>
        </w:rPr>
        <w:t>、党建工作办公室（挂人大主席团办公室牌子）。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w:t>
      </w:r>
      <w:r>
        <w:rPr>
          <w:rFonts w:ascii="仿宋" w:hAnsi="仿宋" w:eastAsia="仿宋" w:cs="仿宋"/>
          <w:sz w:val="32"/>
          <w:szCs w:val="24"/>
        </w:rPr>
        <w:t>;</w:t>
      </w:r>
      <w:r>
        <w:rPr>
          <w:rFonts w:hint="eastAsia" w:ascii="仿宋" w:hAnsi="仿宋" w:eastAsia="仿宋" w:cs="仿宋"/>
          <w:sz w:val="32"/>
          <w:szCs w:val="24"/>
        </w:rPr>
        <w:t>负责文物普查、保护和开发利用工作。负责指导基层自治和居民区建设工作，负责指导村（居）民委员会建立健全各项自治制度，指导村（居）民委员会的换届选举；负责社区工作者的日常管理工作，指导基层开展社区社会工作实践，收集、反映社情民意。</w:t>
      </w:r>
      <w:r>
        <w:rPr>
          <w:rFonts w:ascii="仿宋" w:hAnsi="仿宋" w:eastAsia="仿宋" w:cs="仿宋"/>
          <w:sz w:val="32"/>
          <w:szCs w:val="24"/>
        </w:rPr>
        <w:t>3</w:t>
      </w:r>
      <w:r>
        <w:rPr>
          <w:rFonts w:hint="eastAsia" w:ascii="仿宋" w:hAnsi="仿宋" w:eastAsia="仿宋" w:cs="仿宋"/>
          <w:sz w:val="32"/>
          <w:szCs w:val="24"/>
        </w:rPr>
        <w:t>、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w:t>
      </w:r>
      <w:r>
        <w:rPr>
          <w:rFonts w:ascii="仿宋" w:hAnsi="仿宋" w:eastAsia="仿宋" w:cs="仿宋"/>
          <w:sz w:val="32"/>
          <w:szCs w:val="24"/>
        </w:rPr>
        <w:t>.</w:t>
      </w:r>
      <w:r>
        <w:rPr>
          <w:rFonts w:hint="eastAsia" w:ascii="仿宋" w:hAnsi="仿宋" w:eastAsia="仿宋" w:cs="仿宋"/>
          <w:sz w:val="32"/>
          <w:szCs w:val="24"/>
        </w:rPr>
        <w:t>推动辖区特色产业提质增效。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r>
        <w:rPr>
          <w:rFonts w:ascii="仿宋" w:hAnsi="仿宋" w:eastAsia="仿宋" w:cs="仿宋"/>
          <w:sz w:val="32"/>
          <w:szCs w:val="24"/>
        </w:rPr>
        <w:t>4</w:t>
      </w:r>
      <w:r>
        <w:rPr>
          <w:rFonts w:hint="eastAsia" w:ascii="仿宋" w:hAnsi="仿宋" w:eastAsia="仿宋" w:cs="仿宋"/>
          <w:sz w:val="32"/>
          <w:szCs w:val="24"/>
        </w:rPr>
        <w:t>、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w:t>
      </w:r>
      <w:r>
        <w:rPr>
          <w:rFonts w:ascii="仿宋" w:hAnsi="仿宋" w:eastAsia="仿宋" w:cs="仿宋"/>
          <w:sz w:val="32"/>
          <w:szCs w:val="24"/>
        </w:rPr>
        <w:t>;</w:t>
      </w:r>
      <w:r>
        <w:rPr>
          <w:rFonts w:hint="eastAsia" w:ascii="仿宋" w:hAnsi="仿宋" w:eastAsia="仿宋" w:cs="仿宋"/>
          <w:sz w:val="32"/>
          <w:szCs w:val="24"/>
        </w:rPr>
        <w:t>负责加强群防群治组织建设，做好防范邪教工作；会同司法部门开展社区矫正、社区戒毒、社区康复工作，负责刑满释放人员安置帮教工作，负责做好未成年人保护工作。</w:t>
      </w:r>
    </w:p>
    <w:p w14:paraId="7B66789F">
      <w:pPr>
        <w:pStyle w:val="8"/>
        <w:spacing w:line="560" w:lineRule="exact"/>
        <w:ind w:firstLine="561"/>
        <w:rPr>
          <w:rFonts w:ascii="仿宋" w:hAnsi="仿宋" w:eastAsia="仿宋" w:cs="仿宋"/>
          <w:sz w:val="32"/>
          <w:szCs w:val="24"/>
        </w:rPr>
      </w:pPr>
      <w:r>
        <w:rPr>
          <w:rFonts w:hint="eastAsia" w:ascii="仿宋" w:hAnsi="仿宋" w:eastAsia="仿宋" w:cs="仿宋"/>
          <w:sz w:val="32"/>
          <w:szCs w:val="24"/>
        </w:rPr>
        <w:t>（二）所属事业单位</w:t>
      </w:r>
      <w:r>
        <w:rPr>
          <w:rFonts w:ascii="仿宋" w:hAnsi="仿宋" w:eastAsia="仿宋" w:cs="仿宋"/>
          <w:sz w:val="32"/>
          <w:szCs w:val="24"/>
        </w:rPr>
        <w:t>4</w:t>
      </w:r>
      <w:r>
        <w:rPr>
          <w:rFonts w:hint="eastAsia" w:ascii="仿宋" w:hAnsi="仿宋" w:eastAsia="仿宋" w:cs="仿宋"/>
          <w:sz w:val="32"/>
          <w:szCs w:val="24"/>
        </w:rPr>
        <w:t>个，规格为股级，经费形式为财政性资金基本保证</w:t>
      </w:r>
      <w:r>
        <w:rPr>
          <w:rFonts w:ascii="仿宋" w:hAnsi="仿宋" w:eastAsia="仿宋" w:cs="仿宋"/>
          <w:sz w:val="32"/>
          <w:szCs w:val="24"/>
        </w:rPr>
        <w:t>:5.</w:t>
      </w:r>
      <w:r>
        <w:rPr>
          <w:rFonts w:hint="eastAsia" w:ascii="仿宋" w:hAnsi="仿宋" w:eastAsia="仿宋" w:cs="仿宋"/>
          <w:sz w:val="32"/>
          <w:szCs w:val="24"/>
        </w:rPr>
        <w:t>综合行政执法队。核定财政性资金基本保证事业编制</w:t>
      </w:r>
      <w:r>
        <w:rPr>
          <w:rFonts w:ascii="仿宋" w:hAnsi="仿宋" w:eastAsia="仿宋" w:cs="仿宋"/>
          <w:sz w:val="32"/>
          <w:szCs w:val="24"/>
        </w:rPr>
        <w:t>25</w:t>
      </w:r>
      <w:r>
        <w:rPr>
          <w:rFonts w:hint="eastAsia" w:ascii="仿宋" w:hAnsi="仿宋" w:eastAsia="仿宋" w:cs="仿宋"/>
          <w:sz w:val="32"/>
          <w:szCs w:val="24"/>
        </w:rPr>
        <w:t>名，股级职数</w:t>
      </w:r>
      <w:r>
        <w:rPr>
          <w:rFonts w:ascii="仿宋" w:hAnsi="仿宋" w:eastAsia="仿宋" w:cs="仿宋"/>
          <w:sz w:val="32"/>
          <w:szCs w:val="24"/>
        </w:rPr>
        <w:t>1</w:t>
      </w:r>
      <w:r>
        <w:rPr>
          <w:rFonts w:hint="eastAsia" w:ascii="仿宋" w:hAnsi="仿宋" w:eastAsia="仿宋" w:cs="仿宋"/>
          <w:sz w:val="32"/>
          <w:szCs w:val="24"/>
        </w:rPr>
        <w:t>正</w:t>
      </w:r>
      <w:r>
        <w:rPr>
          <w:rFonts w:ascii="仿宋" w:hAnsi="仿宋" w:eastAsia="仿宋" w:cs="仿宋"/>
          <w:sz w:val="32"/>
          <w:szCs w:val="24"/>
        </w:rPr>
        <w:t>2</w:t>
      </w:r>
      <w:r>
        <w:rPr>
          <w:rFonts w:hint="eastAsia" w:ascii="仿宋" w:hAnsi="仿宋" w:eastAsia="仿宋" w:cs="仿宋"/>
          <w:sz w:val="32"/>
          <w:szCs w:val="24"/>
        </w:rPr>
        <w:t>副。根据有关法律法规和上部门授权、委托，承担城乡建设、自然资源、生态环境、文化市场、农业农村、安全生产、民族宗教等领域行政执法工作；配合区直有关部门、乡镇有关科室做好辖区内城乡建设、自然资源、生态环境、文化市场、农业农村、安全生产、民族宗教等领域监督巡查工作。</w:t>
      </w:r>
      <w:r>
        <w:rPr>
          <w:rFonts w:ascii="仿宋" w:hAnsi="仿宋" w:eastAsia="仿宋" w:cs="仿宋"/>
          <w:sz w:val="32"/>
          <w:szCs w:val="24"/>
        </w:rPr>
        <w:t>6.</w:t>
      </w:r>
      <w:r>
        <w:rPr>
          <w:rFonts w:hint="eastAsia" w:ascii="仿宋" w:hAnsi="仿宋" w:eastAsia="仿宋" w:cs="仿宋"/>
          <w:sz w:val="32"/>
          <w:szCs w:val="24"/>
        </w:rPr>
        <w:t>退役军人服务站。核定财政性资金基本保证事业编制</w:t>
      </w:r>
      <w:r>
        <w:rPr>
          <w:rFonts w:ascii="仿宋" w:hAnsi="仿宋" w:eastAsia="仿宋" w:cs="仿宋"/>
          <w:sz w:val="32"/>
          <w:szCs w:val="24"/>
        </w:rPr>
        <w:t>3</w:t>
      </w:r>
      <w:r>
        <w:rPr>
          <w:rFonts w:hint="eastAsia" w:ascii="仿宋" w:hAnsi="仿宋" w:eastAsia="仿宋" w:cs="仿宋"/>
          <w:sz w:val="32"/>
          <w:szCs w:val="24"/>
        </w:rPr>
        <w:t>名，股级职数</w:t>
      </w:r>
      <w:r>
        <w:rPr>
          <w:rFonts w:ascii="仿宋" w:hAnsi="仿宋" w:eastAsia="仿宋" w:cs="仿宋"/>
          <w:sz w:val="32"/>
          <w:szCs w:val="24"/>
        </w:rPr>
        <w:t>1</w:t>
      </w:r>
      <w:r>
        <w:rPr>
          <w:rFonts w:hint="eastAsia" w:ascii="仿宋" w:hAnsi="仿宋" w:eastAsia="仿宋" w:cs="仿宋"/>
          <w:sz w:val="32"/>
          <w:szCs w:val="24"/>
        </w:rPr>
        <w:t>正。负责退役军人就业创业扶持、拥军优属、优抚帮扶、走访慰问、信访接待、权益保障等工作；配合做好征兵、民兵、预备役、国防教育、国民经济动员、人民防空、国防交通、国防设施保护等国防动员相关工作。</w:t>
      </w:r>
      <w:r>
        <w:rPr>
          <w:rFonts w:ascii="仿宋" w:hAnsi="仿宋" w:eastAsia="仿宋" w:cs="仿宋"/>
          <w:sz w:val="32"/>
          <w:szCs w:val="24"/>
        </w:rPr>
        <w:t>7.</w:t>
      </w:r>
      <w:r>
        <w:rPr>
          <w:rFonts w:hint="eastAsia" w:ascii="仿宋" w:hAnsi="仿宋" w:eastAsia="仿宋" w:cs="仿宋"/>
          <w:sz w:val="32"/>
          <w:szCs w:val="24"/>
        </w:rPr>
        <w:t>行政综合服务中心。核定财政性资金基本保证事业编制</w:t>
      </w:r>
      <w:r>
        <w:rPr>
          <w:rFonts w:ascii="仿宋" w:hAnsi="仿宋" w:eastAsia="仿宋" w:cs="仿宋"/>
          <w:sz w:val="32"/>
          <w:szCs w:val="24"/>
        </w:rPr>
        <w:t>9</w:t>
      </w:r>
      <w:r>
        <w:rPr>
          <w:rFonts w:hint="eastAsia" w:ascii="仿宋" w:hAnsi="仿宋" w:eastAsia="仿宋" w:cs="仿宋"/>
          <w:sz w:val="32"/>
          <w:szCs w:val="24"/>
        </w:rPr>
        <w:t>名，股级职数</w:t>
      </w:r>
      <w:r>
        <w:rPr>
          <w:rFonts w:ascii="仿宋" w:hAnsi="仿宋" w:eastAsia="仿宋" w:cs="仿宋"/>
          <w:sz w:val="32"/>
          <w:szCs w:val="24"/>
        </w:rPr>
        <w:t>1</w:t>
      </w:r>
      <w:r>
        <w:rPr>
          <w:rFonts w:hint="eastAsia" w:ascii="仿宋" w:hAnsi="仿宋" w:eastAsia="仿宋" w:cs="仿宋"/>
          <w:sz w:val="32"/>
          <w:szCs w:val="24"/>
        </w:rPr>
        <w:t>正</w:t>
      </w:r>
      <w:r>
        <w:rPr>
          <w:rFonts w:ascii="仿宋" w:hAnsi="仿宋" w:eastAsia="仿宋" w:cs="仿宋"/>
          <w:sz w:val="32"/>
          <w:szCs w:val="24"/>
        </w:rPr>
        <w:t>1</w:t>
      </w:r>
      <w:r>
        <w:rPr>
          <w:rFonts w:hint="eastAsia" w:ascii="仿宋" w:hAnsi="仿宋" w:eastAsia="仿宋" w:cs="仿宋"/>
          <w:sz w:val="32"/>
          <w:szCs w:val="24"/>
        </w:rPr>
        <w:t>副。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r>
        <w:rPr>
          <w:rFonts w:ascii="仿宋" w:hAnsi="仿宋" w:eastAsia="仿宋" w:cs="仿宋"/>
          <w:sz w:val="32"/>
          <w:szCs w:val="24"/>
        </w:rPr>
        <w:t>8.</w:t>
      </w:r>
      <w:r>
        <w:rPr>
          <w:rFonts w:hint="eastAsia" w:ascii="仿宋" w:hAnsi="仿宋" w:eastAsia="仿宋" w:cs="仿宋"/>
          <w:sz w:val="32"/>
          <w:szCs w:val="24"/>
        </w:rPr>
        <w:t>农业综合服务中心。核定财政性资金基本保证事业编制</w:t>
      </w:r>
      <w:r>
        <w:rPr>
          <w:rFonts w:ascii="仿宋" w:hAnsi="仿宋" w:eastAsia="仿宋" w:cs="仿宋"/>
          <w:sz w:val="32"/>
          <w:szCs w:val="24"/>
        </w:rPr>
        <w:t>9</w:t>
      </w:r>
      <w:r>
        <w:rPr>
          <w:rFonts w:hint="eastAsia" w:ascii="仿宋" w:hAnsi="仿宋" w:eastAsia="仿宋" w:cs="仿宋"/>
          <w:sz w:val="32"/>
          <w:szCs w:val="24"/>
        </w:rPr>
        <w:t>名，股级职数</w:t>
      </w:r>
      <w:r>
        <w:rPr>
          <w:rFonts w:ascii="仿宋" w:hAnsi="仿宋" w:eastAsia="仿宋" w:cs="仿宋"/>
          <w:sz w:val="32"/>
          <w:szCs w:val="24"/>
        </w:rPr>
        <w:t>1</w:t>
      </w:r>
      <w:r>
        <w:rPr>
          <w:rFonts w:hint="eastAsia" w:ascii="仿宋" w:hAnsi="仿宋" w:eastAsia="仿宋" w:cs="仿宋"/>
          <w:sz w:val="32"/>
          <w:szCs w:val="24"/>
        </w:rPr>
        <w:t>正</w:t>
      </w:r>
      <w:r>
        <w:rPr>
          <w:rFonts w:ascii="仿宋" w:hAnsi="仿宋" w:eastAsia="仿宋" w:cs="仿宋"/>
          <w:sz w:val="32"/>
          <w:szCs w:val="24"/>
        </w:rPr>
        <w:t>1</w:t>
      </w:r>
      <w:r>
        <w:rPr>
          <w:rFonts w:hint="eastAsia" w:ascii="仿宋" w:hAnsi="仿宋" w:eastAsia="仿宋" w:cs="仿宋"/>
          <w:sz w:val="32"/>
          <w:szCs w:val="24"/>
        </w:rPr>
        <w:t>副。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村级资金核拨和监督管理等相关工作。负责新农村建设，推进和美乡村、美丽庭院创建工作；负责农村环境卫生工作，推进农村改厕、生活垃圾处理、生活污水治理等工作；负责推进农村移风易俗、文明创建等工作。</w:t>
      </w:r>
    </w:p>
    <w:p w14:paraId="01ADADBB">
      <w:pPr>
        <w:pStyle w:val="8"/>
        <w:spacing w:line="560" w:lineRule="exact"/>
        <w:ind w:firstLine="561"/>
        <w:rPr>
          <w:rFonts w:ascii="仿宋" w:hAnsi="仿宋" w:eastAsia="仿宋" w:cs="仿宋"/>
          <w:sz w:val="32"/>
          <w:szCs w:val="24"/>
        </w:rPr>
      </w:pPr>
      <w:r>
        <w:rPr>
          <w:rFonts w:hint="eastAsia" w:ascii="仿宋" w:hAnsi="仿宋" w:eastAsia="仿宋" w:cs="仿宋"/>
          <w:sz w:val="32"/>
          <w:szCs w:val="24"/>
        </w:rPr>
        <w:t>镇纪委（监察办公室）。核定行政编制</w:t>
      </w:r>
      <w:r>
        <w:rPr>
          <w:rFonts w:ascii="仿宋" w:hAnsi="仿宋" w:eastAsia="仿宋" w:cs="仿宋"/>
          <w:sz w:val="32"/>
          <w:szCs w:val="24"/>
        </w:rPr>
        <w:t>4</w:t>
      </w:r>
      <w:r>
        <w:rPr>
          <w:rFonts w:hint="eastAsia" w:ascii="仿宋" w:hAnsi="仿宋" w:eastAsia="仿宋" w:cs="仿宋"/>
          <w:sz w:val="32"/>
          <w:szCs w:val="24"/>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1558799F">
      <w:pPr>
        <w:pStyle w:val="8"/>
        <w:spacing w:line="560" w:lineRule="exact"/>
        <w:ind w:firstLine="561"/>
        <w:rPr>
          <w:rFonts w:ascii="仿宋" w:hAnsi="仿宋" w:eastAsia="仿宋" w:cs="仿宋"/>
          <w:sz w:val="32"/>
          <w:szCs w:val="24"/>
        </w:rPr>
      </w:pPr>
      <w:r>
        <w:rPr>
          <w:rFonts w:hint="eastAsia" w:ascii="仿宋" w:hAnsi="仿宋" w:eastAsia="仿宋" w:cs="仿宋"/>
          <w:sz w:val="32"/>
          <w:szCs w:val="24"/>
        </w:rPr>
        <w:t>人民武装部及工会、共青团、妇联等群团组织按有关章程和规定设置，在镇党委统一领导下开展工作。</w:t>
      </w:r>
    </w:p>
    <w:p w14:paraId="70AC7844">
      <w:pPr>
        <w:ind w:firstLine="640"/>
        <w:jc w:val="left"/>
        <w:rPr>
          <w:rFonts w:ascii="仿宋_GB2312" w:hAnsi="仿宋_GB2312" w:eastAsia="仿宋_GB2312" w:cs="仿宋_GB2312"/>
          <w:bCs/>
          <w:sz w:val="32"/>
          <w:szCs w:val="32"/>
        </w:rPr>
      </w:pPr>
      <w:r>
        <w:rPr>
          <w:rFonts w:hint="eastAsia" w:ascii="仿宋" w:hAnsi="仿宋" w:eastAsia="仿宋" w:cs="仿宋"/>
          <w:bCs/>
          <w:color w:val="000000"/>
          <w:sz w:val="32"/>
          <w:szCs w:val="32"/>
        </w:rPr>
        <w:t>机构设置</w:t>
      </w:r>
      <w:r>
        <w:rPr>
          <w:rFonts w:hint="eastAsia" w:ascii="仿宋_GB2312" w:hAnsi="仿宋_GB2312" w:eastAsia="仿宋_GB2312" w:cs="仿宋_GB2312"/>
          <w:bCs/>
          <w:color w:val="000000"/>
          <w:sz w:val="32"/>
          <w:szCs w:val="32"/>
        </w:rPr>
        <w:t>：</w:t>
      </w:r>
    </w:p>
    <w:p w14:paraId="369E2ED2">
      <w:pPr>
        <w:jc w:val="center"/>
        <w:rPr>
          <w:rFonts w:ascii="仿宋" w:hAnsi="仿宋" w:eastAsia="仿宋"/>
        </w:rPr>
      </w:pPr>
      <w:r>
        <w:rPr>
          <w:rFonts w:hint="eastAsia" w:ascii="仿宋" w:hAnsi="仿宋" w:eastAsia="仿宋" w:cs="方正小标宋_GBK"/>
          <w:color w:val="000000"/>
          <w:sz w:val="32"/>
        </w:rPr>
        <w:t>部门机构设置情况</w:t>
      </w:r>
    </w:p>
    <w:tbl>
      <w:tblPr>
        <w:tblStyle w:val="6"/>
        <w:tblpPr w:leftFromText="180" w:rightFromText="180" w:vertAnchor="text" w:horzAnchor="page" w:tblpX="1757" w:tblpY="497"/>
        <w:tblOverlap w:val="never"/>
        <w:tblW w:w="8858"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683"/>
        <w:gridCol w:w="1331"/>
        <w:gridCol w:w="1348"/>
        <w:gridCol w:w="2496"/>
      </w:tblGrid>
      <w:tr w14:paraId="48E5A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0" w:hRule="atLeast"/>
          <w:tblHeader/>
        </w:trPr>
        <w:tc>
          <w:tcPr>
            <w:tcW w:w="3683" w:type="dxa"/>
            <w:vAlign w:val="center"/>
          </w:tcPr>
          <w:p w14:paraId="64FDA5EA">
            <w:pPr>
              <w:pStyle w:val="9"/>
              <w:rPr>
                <w:rFonts w:ascii="仿宋" w:hAnsi="仿宋" w:eastAsia="仿宋"/>
              </w:rPr>
            </w:pPr>
            <w:r>
              <w:rPr>
                <w:rFonts w:hint="eastAsia" w:ascii="仿宋" w:hAnsi="仿宋" w:eastAsia="仿宋"/>
              </w:rPr>
              <w:t>单位名称</w:t>
            </w:r>
          </w:p>
        </w:tc>
        <w:tc>
          <w:tcPr>
            <w:tcW w:w="1331" w:type="dxa"/>
            <w:vAlign w:val="center"/>
          </w:tcPr>
          <w:p w14:paraId="59B35A9C">
            <w:pPr>
              <w:pStyle w:val="9"/>
              <w:rPr>
                <w:rFonts w:ascii="仿宋" w:hAnsi="仿宋" w:eastAsia="仿宋"/>
              </w:rPr>
            </w:pPr>
            <w:r>
              <w:rPr>
                <w:rFonts w:hint="eastAsia" w:ascii="仿宋" w:hAnsi="仿宋" w:eastAsia="仿宋"/>
              </w:rPr>
              <w:t>单位性质</w:t>
            </w:r>
          </w:p>
        </w:tc>
        <w:tc>
          <w:tcPr>
            <w:tcW w:w="1348" w:type="dxa"/>
            <w:vAlign w:val="center"/>
          </w:tcPr>
          <w:p w14:paraId="5025F9D9">
            <w:pPr>
              <w:pStyle w:val="9"/>
              <w:rPr>
                <w:rFonts w:ascii="仿宋" w:hAnsi="仿宋" w:eastAsia="仿宋"/>
              </w:rPr>
            </w:pPr>
            <w:r>
              <w:rPr>
                <w:rFonts w:hint="eastAsia" w:ascii="仿宋" w:hAnsi="仿宋" w:eastAsia="仿宋"/>
              </w:rPr>
              <w:t>单位规格</w:t>
            </w:r>
          </w:p>
        </w:tc>
        <w:tc>
          <w:tcPr>
            <w:tcW w:w="2496" w:type="dxa"/>
            <w:vAlign w:val="center"/>
          </w:tcPr>
          <w:p w14:paraId="15A7E890">
            <w:pPr>
              <w:pStyle w:val="9"/>
              <w:rPr>
                <w:rFonts w:ascii="仿宋" w:hAnsi="仿宋" w:eastAsia="仿宋"/>
              </w:rPr>
            </w:pPr>
            <w:r>
              <w:rPr>
                <w:rFonts w:hint="eastAsia" w:ascii="仿宋" w:hAnsi="仿宋" w:eastAsia="仿宋"/>
              </w:rPr>
              <w:t>经费保障形式</w:t>
            </w:r>
          </w:p>
        </w:tc>
      </w:tr>
      <w:tr w14:paraId="3554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2" w:hRule="atLeast"/>
        </w:trPr>
        <w:tc>
          <w:tcPr>
            <w:tcW w:w="3683" w:type="dxa"/>
            <w:vAlign w:val="center"/>
          </w:tcPr>
          <w:p w14:paraId="47A11CE1">
            <w:pPr>
              <w:pStyle w:val="10"/>
              <w:rPr>
                <w:rFonts w:ascii="仿宋" w:hAnsi="仿宋" w:eastAsia="仿宋"/>
              </w:rPr>
            </w:pPr>
            <w:r>
              <w:rPr>
                <w:rFonts w:hint="eastAsia" w:ascii="仿宋" w:hAnsi="仿宋" w:eastAsia="仿宋"/>
              </w:rPr>
              <w:t>石家庄市鹿泉区李村镇人民政府本级</w:t>
            </w:r>
          </w:p>
        </w:tc>
        <w:tc>
          <w:tcPr>
            <w:tcW w:w="1331" w:type="dxa"/>
            <w:vAlign w:val="center"/>
          </w:tcPr>
          <w:p w14:paraId="569B643B">
            <w:pPr>
              <w:pStyle w:val="11"/>
              <w:rPr>
                <w:rFonts w:ascii="仿宋" w:hAnsi="仿宋" w:eastAsia="仿宋"/>
              </w:rPr>
            </w:pPr>
            <w:r>
              <w:rPr>
                <w:rFonts w:hint="eastAsia" w:ascii="仿宋" w:hAnsi="仿宋" w:eastAsia="仿宋"/>
              </w:rPr>
              <w:t>行政</w:t>
            </w:r>
          </w:p>
        </w:tc>
        <w:tc>
          <w:tcPr>
            <w:tcW w:w="1348" w:type="dxa"/>
            <w:vAlign w:val="center"/>
          </w:tcPr>
          <w:p w14:paraId="08BF72A8">
            <w:pPr>
              <w:pStyle w:val="11"/>
              <w:rPr>
                <w:rFonts w:hint="eastAsia" w:ascii="仿宋" w:hAnsi="仿宋" w:eastAsia="仿宋"/>
                <w:lang w:eastAsia="zh-CN"/>
              </w:rPr>
            </w:pPr>
            <w:r>
              <w:rPr>
                <w:rFonts w:hint="eastAsia" w:ascii="仿宋" w:hAnsi="仿宋" w:eastAsia="仿宋"/>
                <w:lang w:val="en-US" w:eastAsia="zh-CN"/>
              </w:rPr>
              <w:t>正科级</w:t>
            </w:r>
          </w:p>
        </w:tc>
        <w:tc>
          <w:tcPr>
            <w:tcW w:w="2496" w:type="dxa"/>
            <w:vAlign w:val="center"/>
          </w:tcPr>
          <w:p w14:paraId="482766EA">
            <w:pPr>
              <w:pStyle w:val="11"/>
              <w:rPr>
                <w:rFonts w:ascii="仿宋" w:hAnsi="仿宋" w:eastAsia="仿宋"/>
              </w:rPr>
            </w:pPr>
            <w:r>
              <w:rPr>
                <w:rFonts w:hint="eastAsia" w:ascii="仿宋" w:hAnsi="仿宋" w:eastAsia="仿宋"/>
              </w:rPr>
              <w:t>财政拨款</w:t>
            </w:r>
          </w:p>
        </w:tc>
      </w:tr>
    </w:tbl>
    <w:p w14:paraId="6168C9EC">
      <w:pPr>
        <w:adjustRightInd w:val="0"/>
        <w:snapToGrid w:val="0"/>
        <w:spacing w:line="560" w:lineRule="exact"/>
        <w:ind w:firstLine="640" w:firstLineChars="200"/>
        <w:rPr>
          <w:rFonts w:hint="eastAsia" w:ascii="仿宋" w:hAnsi="仿宋" w:eastAsia="仿宋"/>
          <w:sz w:val="32"/>
          <w:szCs w:val="32"/>
        </w:rPr>
      </w:pPr>
      <w:r>
        <w:rPr>
          <w:rFonts w:ascii="仿宋" w:hAnsi="仿宋" w:eastAsia="仿宋" w:cs="仿宋"/>
          <w:kern w:val="0"/>
          <w:sz w:val="32"/>
          <w:szCs w:val="32"/>
        </w:rPr>
        <w:t>3.</w:t>
      </w:r>
      <w:r>
        <w:rPr>
          <w:rFonts w:hint="eastAsia" w:ascii="仿宋" w:hAnsi="仿宋" w:eastAsia="仿宋" w:cs="仿宋"/>
          <w:kern w:val="0"/>
          <w:sz w:val="32"/>
          <w:szCs w:val="32"/>
        </w:rPr>
        <w:t>资产情况：截至</w:t>
      </w:r>
      <w:r>
        <w:rPr>
          <w:rFonts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rPr>
        <w:t>年</w:t>
      </w:r>
      <w:r>
        <w:rPr>
          <w:rFonts w:ascii="仿宋" w:hAnsi="仿宋" w:eastAsia="仿宋" w:cs="仿宋"/>
          <w:kern w:val="0"/>
          <w:sz w:val="32"/>
          <w:szCs w:val="32"/>
        </w:rPr>
        <w:t>12</w:t>
      </w:r>
      <w:r>
        <w:rPr>
          <w:rFonts w:hint="eastAsia" w:ascii="仿宋" w:hAnsi="仿宋" w:eastAsia="仿宋" w:cs="仿宋"/>
          <w:kern w:val="0"/>
          <w:sz w:val="32"/>
          <w:szCs w:val="32"/>
        </w:rPr>
        <w:t>月</w:t>
      </w:r>
      <w:r>
        <w:rPr>
          <w:rFonts w:ascii="仿宋" w:hAnsi="仿宋" w:eastAsia="仿宋" w:cs="仿宋"/>
          <w:kern w:val="0"/>
          <w:sz w:val="32"/>
          <w:szCs w:val="32"/>
        </w:rPr>
        <w:t>31</w:t>
      </w:r>
      <w:r>
        <w:rPr>
          <w:rFonts w:hint="eastAsia" w:ascii="仿宋" w:hAnsi="仿宋" w:eastAsia="仿宋" w:cs="仿宋"/>
          <w:kern w:val="0"/>
          <w:sz w:val="32"/>
          <w:szCs w:val="32"/>
        </w:rPr>
        <w:t>日，</w:t>
      </w:r>
      <w:r>
        <w:rPr>
          <w:rFonts w:hint="eastAsia" w:ascii="仿宋" w:hAnsi="仿宋" w:eastAsia="仿宋" w:cs="仿宋"/>
          <w:color w:val="auto"/>
          <w:kern w:val="0"/>
          <w:sz w:val="32"/>
          <w:szCs w:val="32"/>
        </w:rPr>
        <w:t>固定资产</w:t>
      </w:r>
      <w:r>
        <w:rPr>
          <w:rFonts w:hint="eastAsia" w:ascii="仿宋" w:hAnsi="仿宋" w:eastAsia="仿宋" w:cs="仿宋"/>
          <w:color w:val="auto"/>
          <w:kern w:val="0"/>
          <w:sz w:val="32"/>
          <w:szCs w:val="32"/>
          <w:lang w:val="en-US" w:eastAsia="zh-CN"/>
        </w:rPr>
        <w:t>573.15</w:t>
      </w:r>
      <w:r>
        <w:rPr>
          <w:rFonts w:hint="eastAsia" w:ascii="仿宋" w:hAnsi="仿宋" w:eastAsia="仿宋" w:cs="仿宋"/>
          <w:color w:val="auto"/>
          <w:kern w:val="0"/>
          <w:sz w:val="32"/>
          <w:szCs w:val="32"/>
        </w:rPr>
        <w:t>万元，其中：房屋及构筑物</w:t>
      </w:r>
      <w:r>
        <w:rPr>
          <w:rFonts w:ascii="仿宋" w:hAnsi="仿宋" w:eastAsia="仿宋" w:cs="仿宋"/>
          <w:color w:val="auto"/>
          <w:kern w:val="0"/>
          <w:sz w:val="32"/>
          <w:szCs w:val="32"/>
        </w:rPr>
        <w:t>227.48</w:t>
      </w:r>
      <w:r>
        <w:rPr>
          <w:rFonts w:hint="eastAsia" w:ascii="仿宋" w:hAnsi="仿宋" w:eastAsia="仿宋" w:cs="仿宋"/>
          <w:color w:val="auto"/>
          <w:kern w:val="0"/>
          <w:sz w:val="32"/>
          <w:szCs w:val="32"/>
        </w:rPr>
        <w:t>万元，通用设备</w:t>
      </w:r>
      <w:r>
        <w:rPr>
          <w:rFonts w:hint="eastAsia" w:ascii="仿宋" w:hAnsi="仿宋" w:eastAsia="仿宋" w:cs="仿宋"/>
          <w:color w:val="auto"/>
          <w:kern w:val="0"/>
          <w:sz w:val="32"/>
          <w:szCs w:val="32"/>
          <w:lang w:val="en-US" w:eastAsia="zh-CN"/>
        </w:rPr>
        <w:t>312.25</w:t>
      </w:r>
      <w:r>
        <w:rPr>
          <w:rFonts w:hint="eastAsia" w:ascii="仿宋" w:hAnsi="仿宋" w:eastAsia="仿宋" w:cs="仿宋"/>
          <w:color w:val="auto"/>
          <w:kern w:val="0"/>
          <w:sz w:val="32"/>
          <w:szCs w:val="32"/>
        </w:rPr>
        <w:t>万元，专用设备</w:t>
      </w:r>
      <w:r>
        <w:rPr>
          <w:rFonts w:ascii="仿宋" w:hAnsi="仿宋" w:eastAsia="仿宋" w:cs="仿宋"/>
          <w:color w:val="auto"/>
          <w:kern w:val="0"/>
          <w:sz w:val="32"/>
          <w:szCs w:val="32"/>
        </w:rPr>
        <w:t>0</w:t>
      </w:r>
      <w:r>
        <w:rPr>
          <w:rFonts w:hint="eastAsia" w:ascii="仿宋" w:hAnsi="仿宋" w:eastAsia="仿宋" w:cs="仿宋"/>
          <w:color w:val="auto"/>
          <w:kern w:val="0"/>
          <w:sz w:val="32"/>
          <w:szCs w:val="32"/>
        </w:rPr>
        <w:t>万元，家具、用具、装具</w:t>
      </w:r>
      <w:r>
        <w:rPr>
          <w:rFonts w:hint="eastAsia" w:ascii="仿宋" w:hAnsi="仿宋" w:eastAsia="仿宋" w:cs="仿宋"/>
          <w:color w:val="auto"/>
          <w:kern w:val="0"/>
          <w:sz w:val="32"/>
          <w:szCs w:val="32"/>
          <w:lang w:val="en-US" w:eastAsia="zh-CN"/>
        </w:rPr>
        <w:t>33.42</w:t>
      </w:r>
      <w:r>
        <w:rPr>
          <w:rFonts w:hint="eastAsia" w:ascii="仿宋" w:hAnsi="仿宋" w:eastAsia="仿宋" w:cs="仿宋"/>
          <w:color w:val="auto"/>
          <w:kern w:val="0"/>
          <w:sz w:val="32"/>
          <w:szCs w:val="32"/>
        </w:rPr>
        <w:t>万元。</w:t>
      </w:r>
      <w:r>
        <w:rPr>
          <w:rFonts w:hint="eastAsia" w:ascii="仿宋" w:hAnsi="仿宋" w:eastAsia="仿宋" w:cs="仿宋"/>
          <w:kern w:val="0"/>
          <w:sz w:val="32"/>
          <w:szCs w:val="32"/>
          <w:lang w:val="en-US" w:eastAsia="zh-CN"/>
        </w:rPr>
        <w:t>无形资产0.18万元。</w:t>
      </w:r>
      <w:r>
        <w:rPr>
          <w:rFonts w:hint="eastAsia" w:ascii="仿宋" w:hAnsi="仿宋" w:eastAsia="仿宋" w:cs="仿宋"/>
          <w:kern w:val="0"/>
          <w:sz w:val="32"/>
          <w:szCs w:val="32"/>
        </w:rPr>
        <w:t>本部门共有车辆</w:t>
      </w:r>
      <w:r>
        <w:rPr>
          <w:rFonts w:ascii="仿宋" w:hAnsi="仿宋" w:eastAsia="仿宋" w:cs="仿宋"/>
          <w:kern w:val="0"/>
          <w:sz w:val="32"/>
          <w:szCs w:val="32"/>
        </w:rPr>
        <w:t>2</w:t>
      </w:r>
      <w:r>
        <w:rPr>
          <w:rFonts w:hint="eastAsia" w:ascii="仿宋" w:hAnsi="仿宋" w:eastAsia="仿宋" w:cs="仿宋"/>
          <w:kern w:val="0"/>
          <w:sz w:val="32"/>
          <w:szCs w:val="32"/>
        </w:rPr>
        <w:t>辆，与上年持平。其中，副部（省）级及以上领导用车</w:t>
      </w:r>
      <w:r>
        <w:rPr>
          <w:rFonts w:ascii="仿宋" w:hAnsi="仿宋" w:eastAsia="仿宋" w:cs="仿宋"/>
          <w:kern w:val="0"/>
          <w:sz w:val="32"/>
          <w:szCs w:val="32"/>
        </w:rPr>
        <w:t>0</w:t>
      </w:r>
      <w:r>
        <w:rPr>
          <w:rFonts w:hint="eastAsia" w:ascii="仿宋" w:hAnsi="仿宋" w:eastAsia="仿宋" w:cs="仿宋"/>
          <w:kern w:val="0"/>
          <w:sz w:val="32"/>
          <w:szCs w:val="32"/>
        </w:rPr>
        <w:t>辆，主要领导干部用车</w:t>
      </w:r>
      <w:r>
        <w:rPr>
          <w:rFonts w:ascii="仿宋" w:hAnsi="仿宋" w:eastAsia="仿宋" w:cs="仿宋"/>
          <w:kern w:val="0"/>
          <w:sz w:val="32"/>
          <w:szCs w:val="32"/>
        </w:rPr>
        <w:t xml:space="preserve"> 0</w:t>
      </w:r>
      <w:r>
        <w:rPr>
          <w:rFonts w:hint="eastAsia" w:ascii="仿宋" w:hAnsi="仿宋" w:eastAsia="仿宋" w:cs="仿宋"/>
          <w:kern w:val="0"/>
          <w:sz w:val="32"/>
          <w:szCs w:val="32"/>
        </w:rPr>
        <w:t>辆，机要通信用车</w:t>
      </w:r>
      <w:r>
        <w:rPr>
          <w:rFonts w:ascii="仿宋" w:hAnsi="仿宋" w:eastAsia="仿宋" w:cs="仿宋"/>
          <w:kern w:val="0"/>
          <w:sz w:val="32"/>
          <w:szCs w:val="32"/>
        </w:rPr>
        <w:t>0</w:t>
      </w:r>
      <w:r>
        <w:rPr>
          <w:rFonts w:hint="eastAsia" w:ascii="仿宋" w:hAnsi="仿宋" w:eastAsia="仿宋" w:cs="仿宋"/>
          <w:kern w:val="0"/>
          <w:sz w:val="32"/>
          <w:szCs w:val="32"/>
        </w:rPr>
        <w:t>辆，应急保障用车</w:t>
      </w:r>
      <w:r>
        <w:rPr>
          <w:rFonts w:ascii="仿宋" w:hAnsi="仿宋" w:eastAsia="仿宋" w:cs="仿宋"/>
          <w:kern w:val="0"/>
          <w:sz w:val="32"/>
          <w:szCs w:val="32"/>
        </w:rPr>
        <w:t>0</w:t>
      </w:r>
      <w:r>
        <w:rPr>
          <w:rFonts w:hint="eastAsia" w:ascii="仿宋" w:hAnsi="仿宋" w:eastAsia="仿宋" w:cs="仿宋"/>
          <w:kern w:val="0"/>
          <w:sz w:val="32"/>
          <w:szCs w:val="32"/>
        </w:rPr>
        <w:t>辆，执法执勤用车</w:t>
      </w:r>
      <w:r>
        <w:rPr>
          <w:rFonts w:ascii="仿宋" w:hAnsi="仿宋" w:eastAsia="仿宋" w:cs="仿宋"/>
          <w:kern w:val="0"/>
          <w:sz w:val="32"/>
          <w:szCs w:val="32"/>
        </w:rPr>
        <w:t>0</w:t>
      </w:r>
      <w:r>
        <w:rPr>
          <w:rFonts w:hint="eastAsia" w:ascii="仿宋" w:hAnsi="仿宋" w:eastAsia="仿宋" w:cs="仿宋"/>
          <w:kern w:val="0"/>
          <w:sz w:val="32"/>
          <w:szCs w:val="32"/>
        </w:rPr>
        <w:t>辆，特种专业技术用车</w:t>
      </w:r>
      <w:r>
        <w:rPr>
          <w:rFonts w:ascii="仿宋" w:hAnsi="仿宋" w:eastAsia="仿宋" w:cs="仿宋"/>
          <w:kern w:val="0"/>
          <w:sz w:val="32"/>
          <w:szCs w:val="32"/>
        </w:rPr>
        <w:t>0</w:t>
      </w:r>
      <w:r>
        <w:rPr>
          <w:rFonts w:hint="eastAsia" w:ascii="仿宋" w:hAnsi="仿宋" w:eastAsia="仿宋" w:cs="仿宋"/>
          <w:kern w:val="0"/>
          <w:sz w:val="32"/>
          <w:szCs w:val="32"/>
        </w:rPr>
        <w:t>辆，离退休干部用车</w:t>
      </w:r>
      <w:r>
        <w:rPr>
          <w:rFonts w:ascii="仿宋" w:hAnsi="仿宋" w:eastAsia="仿宋" w:cs="仿宋"/>
          <w:kern w:val="0"/>
          <w:sz w:val="32"/>
          <w:szCs w:val="32"/>
        </w:rPr>
        <w:t>0</w:t>
      </w:r>
      <w:r>
        <w:rPr>
          <w:rFonts w:hint="eastAsia" w:ascii="仿宋" w:hAnsi="仿宋" w:eastAsia="仿宋" w:cs="仿宋"/>
          <w:kern w:val="0"/>
          <w:sz w:val="32"/>
          <w:szCs w:val="32"/>
        </w:rPr>
        <w:t>辆，与上年持平</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其他用车</w:t>
      </w:r>
      <w:r>
        <w:rPr>
          <w:rFonts w:hint="eastAsia" w:ascii="仿宋" w:hAnsi="仿宋" w:eastAsia="仿宋" w:cs="仿宋"/>
          <w:kern w:val="0"/>
          <w:sz w:val="32"/>
          <w:szCs w:val="32"/>
          <w:lang w:val="en-US" w:eastAsia="zh-CN"/>
        </w:rPr>
        <w:t>0</w:t>
      </w:r>
      <w:r>
        <w:rPr>
          <w:rFonts w:hint="eastAsia" w:ascii="仿宋" w:hAnsi="仿宋" w:eastAsia="仿宋" w:cs="仿宋"/>
          <w:kern w:val="0"/>
          <w:sz w:val="32"/>
          <w:szCs w:val="32"/>
        </w:rPr>
        <w:t>辆</w:t>
      </w:r>
      <w:r>
        <w:rPr>
          <w:rFonts w:hint="eastAsia" w:ascii="仿宋" w:hAnsi="仿宋" w:eastAsia="仿宋" w:cs="仿宋"/>
          <w:kern w:val="0"/>
          <w:sz w:val="32"/>
          <w:szCs w:val="32"/>
          <w:lang w:eastAsia="zh-CN"/>
        </w:rPr>
        <w:t>（</w:t>
      </w:r>
      <w:r>
        <w:rPr>
          <w:rFonts w:hint="eastAsia" w:ascii="仿宋" w:hAnsi="仿宋" w:eastAsia="仿宋" w:cs="仿宋"/>
          <w:kern w:val="0"/>
          <w:sz w:val="32"/>
          <w:szCs w:val="32"/>
          <w:lang w:val="en-US" w:eastAsia="zh-CN"/>
        </w:rPr>
        <w:t>按照相关规定将非在编4辆车纳入到设备类固定资产中进行统计</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；单位价值</w:t>
      </w:r>
      <w:r>
        <w:rPr>
          <w:rFonts w:ascii="仿宋" w:hAnsi="仿宋" w:eastAsia="仿宋" w:cs="仿宋"/>
          <w:kern w:val="0"/>
          <w:sz w:val="32"/>
          <w:szCs w:val="32"/>
        </w:rPr>
        <w:t>100</w:t>
      </w:r>
      <w:r>
        <w:rPr>
          <w:rFonts w:hint="eastAsia" w:ascii="仿宋" w:hAnsi="仿宋" w:eastAsia="仿宋" w:cs="仿宋"/>
          <w:kern w:val="0"/>
          <w:sz w:val="32"/>
          <w:szCs w:val="32"/>
        </w:rPr>
        <w:t>万元以上设备（不含车辆）</w:t>
      </w:r>
      <w:r>
        <w:rPr>
          <w:rFonts w:ascii="仿宋" w:hAnsi="仿宋" w:eastAsia="仿宋" w:cs="仿宋"/>
          <w:kern w:val="0"/>
          <w:sz w:val="32"/>
          <w:szCs w:val="32"/>
        </w:rPr>
        <w:t>0</w:t>
      </w:r>
      <w:r>
        <w:rPr>
          <w:rFonts w:hint="eastAsia" w:ascii="仿宋" w:hAnsi="仿宋" w:eastAsia="仿宋" w:cs="仿宋"/>
          <w:kern w:val="0"/>
          <w:sz w:val="32"/>
          <w:szCs w:val="32"/>
        </w:rPr>
        <w:t>套，与上年持平。</w:t>
      </w:r>
    </w:p>
    <w:p w14:paraId="7858E7AA">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1E9D3571">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年度财政拨款本年收入</w:t>
      </w:r>
      <w:r>
        <w:rPr>
          <w:rFonts w:hint="eastAsia" w:ascii="仿宋" w:hAnsi="仿宋" w:eastAsia="仿宋" w:cs="仿宋"/>
          <w:sz w:val="32"/>
          <w:szCs w:val="32"/>
          <w:lang w:val="en-US" w:eastAsia="zh-CN"/>
        </w:rPr>
        <w:t>5130.44</w:t>
      </w:r>
      <w:r>
        <w:rPr>
          <w:rFonts w:hint="eastAsia" w:ascii="仿宋" w:hAnsi="仿宋" w:eastAsia="仿宋" w:cs="仿宋"/>
          <w:sz w:val="32"/>
          <w:szCs w:val="32"/>
        </w:rPr>
        <w:t>万元，比年初预算数</w:t>
      </w:r>
      <w:r>
        <w:rPr>
          <w:rFonts w:ascii="仿宋" w:hAnsi="仿宋" w:eastAsia="仿宋" w:cs="仿宋"/>
          <w:sz w:val="32"/>
          <w:szCs w:val="32"/>
        </w:rPr>
        <w:t xml:space="preserve"> </w:t>
      </w:r>
      <w:r>
        <w:rPr>
          <w:rFonts w:hint="eastAsia" w:ascii="仿宋" w:hAnsi="仿宋" w:eastAsia="仿宋" w:cs="仿宋"/>
          <w:sz w:val="32"/>
          <w:szCs w:val="32"/>
          <w:lang w:val="en-US" w:eastAsia="zh-CN"/>
        </w:rPr>
        <w:t>4242.61</w:t>
      </w:r>
      <w:r>
        <w:rPr>
          <w:rFonts w:hint="eastAsia" w:ascii="仿宋" w:hAnsi="仿宋" w:eastAsia="仿宋" w:cs="仿宋"/>
          <w:sz w:val="32"/>
          <w:szCs w:val="32"/>
        </w:rPr>
        <w:t>万元</w:t>
      </w:r>
      <w:r>
        <w:rPr>
          <w:rFonts w:hint="eastAsia" w:ascii="仿宋" w:hAnsi="仿宋" w:eastAsia="仿宋" w:cs="仿宋"/>
          <w:sz w:val="32"/>
          <w:szCs w:val="32"/>
          <w:lang w:val="en-US" w:eastAsia="zh-CN"/>
        </w:rPr>
        <w:t>增加</w:t>
      </w:r>
      <w:r>
        <w:rPr>
          <w:rFonts w:hint="eastAsia" w:ascii="仿宋" w:hAnsi="仿宋" w:eastAsia="仿宋" w:cs="仿宋"/>
          <w:sz w:val="32"/>
          <w:szCs w:val="32"/>
        </w:rPr>
        <w:t>了</w:t>
      </w:r>
      <w:r>
        <w:rPr>
          <w:rFonts w:hint="eastAsia" w:ascii="仿宋" w:hAnsi="仿宋" w:eastAsia="仿宋" w:cs="仿宋"/>
          <w:sz w:val="32"/>
          <w:szCs w:val="32"/>
          <w:lang w:val="en-US" w:eastAsia="zh-CN"/>
        </w:rPr>
        <w:t>887.83</w:t>
      </w:r>
      <w:r>
        <w:rPr>
          <w:rFonts w:hint="eastAsia" w:ascii="仿宋" w:hAnsi="仿宋" w:eastAsia="仿宋" w:cs="仿宋"/>
          <w:sz w:val="32"/>
          <w:szCs w:val="32"/>
        </w:rPr>
        <w:t>万元，</w:t>
      </w:r>
      <w:r>
        <w:rPr>
          <w:rFonts w:hint="eastAsia" w:ascii="仿宋" w:hAnsi="仿宋" w:eastAsia="仿宋" w:cs="仿宋"/>
          <w:sz w:val="32"/>
          <w:szCs w:val="32"/>
          <w:lang w:val="en-US" w:eastAsia="zh-CN"/>
        </w:rPr>
        <w:t>增加20.9</w:t>
      </w:r>
      <w:r>
        <w:rPr>
          <w:rFonts w:ascii="仿宋" w:hAnsi="仿宋" w:eastAsia="仿宋" w:cs="仿宋"/>
          <w:sz w:val="32"/>
          <w:szCs w:val="32"/>
        </w:rPr>
        <w:t>%</w:t>
      </w:r>
      <w:r>
        <w:rPr>
          <w:rFonts w:hint="eastAsia" w:ascii="仿宋" w:hAnsi="仿宋" w:eastAsia="仿宋" w:cs="仿宋"/>
          <w:sz w:val="32"/>
          <w:szCs w:val="32"/>
        </w:rPr>
        <w:t>。决算收入比预算</w:t>
      </w:r>
      <w:r>
        <w:rPr>
          <w:rFonts w:hint="eastAsia" w:ascii="仿宋" w:hAnsi="仿宋" w:eastAsia="仿宋" w:cs="仿宋"/>
          <w:sz w:val="32"/>
          <w:szCs w:val="32"/>
          <w:lang w:val="en-US" w:eastAsia="zh-CN"/>
        </w:rPr>
        <w:t>增加</w:t>
      </w:r>
      <w:r>
        <w:rPr>
          <w:rFonts w:hint="eastAsia" w:ascii="仿宋" w:hAnsi="仿宋" w:eastAsia="仿宋" w:cs="仿宋"/>
          <w:sz w:val="32"/>
          <w:szCs w:val="32"/>
        </w:rPr>
        <w:t>的主要原因</w:t>
      </w:r>
      <w:r>
        <w:rPr>
          <w:rFonts w:hint="eastAsia" w:ascii="仿宋_GB2312" w:hAnsi="仿宋_GB2312" w:eastAsia="仿宋_GB2312" w:cs="仿宋_GB2312"/>
          <w:sz w:val="32"/>
          <w:szCs w:val="32"/>
          <w:lang w:val="en-US" w:eastAsia="zh-CN"/>
        </w:rPr>
        <w:t>是项目类支出偿还杨丽英土地款1200万元</w:t>
      </w:r>
      <w:r>
        <w:rPr>
          <w:rFonts w:hint="eastAsia" w:ascii="仿宋" w:hAnsi="仿宋" w:eastAsia="仿宋" w:cs="仿宋"/>
          <w:sz w:val="32"/>
          <w:szCs w:val="32"/>
        </w:rPr>
        <w:t>。</w:t>
      </w:r>
    </w:p>
    <w:p w14:paraId="64EE22DD">
      <w:pPr>
        <w:adjustRightInd w:val="0"/>
        <w:snapToGrid w:val="0"/>
        <w:spacing w:line="560" w:lineRule="exact"/>
        <w:ind w:firstLine="640" w:firstLineChars="200"/>
        <w:rPr>
          <w:rFonts w:hint="eastAsia" w:ascii="楷体" w:hAnsi="楷体" w:eastAsia="楷体" w:cs="楷体_GB2312"/>
          <w:bCs/>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年度决算支出</w:t>
      </w:r>
      <w:r>
        <w:rPr>
          <w:rFonts w:hint="eastAsia" w:ascii="仿宋" w:hAnsi="仿宋" w:eastAsia="仿宋" w:cs="仿宋"/>
          <w:sz w:val="32"/>
          <w:szCs w:val="32"/>
          <w:lang w:val="en-US" w:eastAsia="zh-CN"/>
        </w:rPr>
        <w:t>5130.44</w:t>
      </w:r>
      <w:r>
        <w:rPr>
          <w:rFonts w:hint="eastAsia" w:ascii="仿宋" w:hAnsi="仿宋" w:eastAsia="仿宋" w:cs="仿宋"/>
          <w:sz w:val="32"/>
          <w:szCs w:val="32"/>
        </w:rPr>
        <w:t>万元，比</w:t>
      </w:r>
      <w:r>
        <w:rPr>
          <w:rFonts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年决算支出</w:t>
      </w:r>
      <w:r>
        <w:rPr>
          <w:rFonts w:hint="eastAsia" w:ascii="仿宋" w:hAnsi="仿宋" w:eastAsia="仿宋" w:cs="仿宋"/>
          <w:sz w:val="32"/>
          <w:szCs w:val="32"/>
          <w:lang w:val="en-US" w:eastAsia="zh-CN"/>
        </w:rPr>
        <w:t>4900.15</w:t>
      </w:r>
      <w:r>
        <w:rPr>
          <w:rFonts w:hint="eastAsia" w:ascii="仿宋" w:hAnsi="仿宋" w:eastAsia="仿宋" w:cs="仿宋"/>
          <w:sz w:val="32"/>
          <w:szCs w:val="32"/>
        </w:rPr>
        <w:t>万元</w:t>
      </w:r>
      <w:r>
        <w:rPr>
          <w:rFonts w:hint="eastAsia" w:ascii="仿宋" w:hAnsi="仿宋" w:eastAsia="仿宋" w:cs="仿宋"/>
          <w:sz w:val="32"/>
          <w:szCs w:val="32"/>
          <w:lang w:val="en-US" w:eastAsia="zh-CN"/>
        </w:rPr>
        <w:t>增加</w:t>
      </w:r>
      <w:r>
        <w:rPr>
          <w:rFonts w:hint="eastAsia" w:ascii="仿宋" w:hAnsi="仿宋" w:eastAsia="仿宋" w:cs="仿宋"/>
          <w:sz w:val="32"/>
          <w:szCs w:val="32"/>
        </w:rPr>
        <w:t>了</w:t>
      </w:r>
      <w:r>
        <w:rPr>
          <w:rFonts w:hint="eastAsia" w:ascii="仿宋" w:hAnsi="仿宋" w:eastAsia="仿宋" w:cs="仿宋"/>
          <w:sz w:val="32"/>
          <w:szCs w:val="32"/>
          <w:lang w:val="en-US" w:eastAsia="zh-CN"/>
        </w:rPr>
        <w:t>230.29</w:t>
      </w:r>
      <w:r>
        <w:rPr>
          <w:rFonts w:hint="eastAsia" w:ascii="仿宋" w:hAnsi="仿宋" w:eastAsia="仿宋" w:cs="仿宋"/>
          <w:sz w:val="32"/>
          <w:szCs w:val="32"/>
        </w:rPr>
        <w:t>万元，</w:t>
      </w:r>
      <w:r>
        <w:rPr>
          <w:rFonts w:hint="eastAsia" w:ascii="仿宋" w:hAnsi="仿宋" w:eastAsia="仿宋" w:cs="仿宋"/>
          <w:sz w:val="32"/>
          <w:szCs w:val="32"/>
          <w:lang w:val="en-US" w:eastAsia="zh-CN"/>
        </w:rPr>
        <w:t>增加</w:t>
      </w:r>
      <w:r>
        <w:rPr>
          <w:rFonts w:hint="eastAsia" w:ascii="仿宋" w:hAnsi="仿宋" w:eastAsia="仿宋" w:cs="仿宋"/>
          <w:sz w:val="32"/>
          <w:szCs w:val="32"/>
        </w:rPr>
        <w:t>了</w:t>
      </w:r>
      <w:r>
        <w:rPr>
          <w:rFonts w:hint="eastAsia" w:ascii="仿宋" w:hAnsi="仿宋" w:eastAsia="仿宋" w:cs="仿宋"/>
          <w:sz w:val="32"/>
          <w:szCs w:val="32"/>
          <w:lang w:val="en-US" w:eastAsia="zh-CN"/>
        </w:rPr>
        <w:t>4</w:t>
      </w:r>
      <w:r>
        <w:rPr>
          <w:rFonts w:ascii="仿宋" w:hAnsi="仿宋" w:eastAsia="仿宋" w:cs="仿宋"/>
          <w:sz w:val="32"/>
          <w:szCs w:val="32"/>
        </w:rPr>
        <w:t>.7%</w:t>
      </w:r>
      <w:r>
        <w:rPr>
          <w:rFonts w:hint="eastAsia" w:ascii="仿宋" w:hAnsi="仿宋" w:eastAsia="仿宋" w:cs="仿宋"/>
          <w:sz w:val="32"/>
          <w:szCs w:val="32"/>
        </w:rPr>
        <w:t>，</w:t>
      </w:r>
      <w:r>
        <w:rPr>
          <w:rFonts w:hint="eastAsia" w:ascii="仿宋" w:hAnsi="仿宋" w:eastAsia="仿宋" w:cs="仿宋"/>
          <w:sz w:val="32"/>
          <w:szCs w:val="32"/>
          <w:lang w:val="en-US" w:eastAsia="zh-CN"/>
        </w:rPr>
        <w:t>增加</w:t>
      </w:r>
      <w:r>
        <w:rPr>
          <w:rFonts w:hint="eastAsia" w:ascii="仿宋" w:hAnsi="仿宋" w:eastAsia="仿宋" w:cs="仿宋"/>
          <w:sz w:val="32"/>
          <w:szCs w:val="32"/>
        </w:rPr>
        <w:t>的原因是</w:t>
      </w:r>
      <w:r>
        <w:rPr>
          <w:rFonts w:hint="eastAsia" w:ascii="仿宋_GB2312" w:hAnsi="仿宋_GB2312" w:eastAsia="仿宋_GB2312" w:cs="仿宋_GB2312"/>
          <w:color w:val="auto"/>
          <w:kern w:val="2"/>
          <w:sz w:val="32"/>
          <w:szCs w:val="32"/>
          <w:highlight w:val="none"/>
          <w:lang w:val="en-US" w:eastAsia="zh-CN" w:bidi="ar-SA"/>
        </w:rPr>
        <w:t>2025年度政府清偿历年欠款支出增加了262.35万元。</w:t>
      </w:r>
    </w:p>
    <w:p w14:paraId="1300635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FD1EF5C">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1.2025年项目绩效目标完成情况：</w:t>
      </w:r>
      <w:r>
        <w:rPr>
          <w:rFonts w:hint="eastAsia" w:ascii="仿宋_GB2312" w:hAnsi="仿宋_GB2312" w:eastAsia="仿宋_GB2312" w:cs="仿宋_GB2312"/>
          <w:sz w:val="32"/>
          <w:szCs w:val="32"/>
          <w:highlight w:val="none"/>
          <w:lang w:val="en-US" w:eastAsia="zh-CN"/>
        </w:rPr>
        <w:t>2025年项目决算支出3606.71万元，比年初预算项目支出2694.18万元增加912.53万元，增加为33.9%。</w:t>
      </w:r>
      <w:r>
        <w:rPr>
          <w:rFonts w:hint="eastAsia" w:ascii="仿宋_GB2312" w:hAnsi="仿宋_GB2312" w:eastAsia="仿宋_GB2312" w:cs="仿宋_GB2312"/>
          <w:sz w:val="32"/>
          <w:szCs w:val="32"/>
          <w:lang w:val="en-US" w:eastAsia="zh-CN"/>
        </w:rPr>
        <w:t>决算支出比预算支出增加的主要原因是</w:t>
      </w:r>
      <w:bookmarkStart w:id="0" w:name="_GoBack"/>
      <w:bookmarkEnd w:id="0"/>
      <w:r>
        <w:rPr>
          <w:rFonts w:hint="eastAsia" w:ascii="仿宋_GB2312" w:hAnsi="仿宋_GB2312" w:eastAsia="仿宋_GB2312" w:cs="仿宋_GB2312"/>
          <w:sz w:val="32"/>
          <w:szCs w:val="32"/>
          <w:lang w:val="en-US" w:eastAsia="zh-CN"/>
        </w:rPr>
        <w:t>2025年第四季度为偿还项目类杨丽英土地返还款增加支出1200万元。</w:t>
      </w:r>
    </w:p>
    <w:p w14:paraId="0D4F7825">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黑体" w:hAnsi="黑体" w:eastAsia="黑体"/>
          <w:sz w:val="32"/>
          <w:szCs w:val="32"/>
        </w:rPr>
      </w:pPr>
      <w:r>
        <w:rPr>
          <w:rFonts w:hint="eastAsia" w:ascii="仿宋_GB2312" w:hAnsi="仿宋_GB2312" w:eastAsia="仿宋_GB2312" w:cs="仿宋_GB2312"/>
          <w:sz w:val="32"/>
          <w:szCs w:val="32"/>
          <w:lang w:val="en-US" w:eastAsia="zh-CN"/>
        </w:rPr>
        <w:t>2.本单位整体支出绩效目标实现情况：2025年项目决算支出3606.71万元，其中：一般公共服务支出256.9万元；教育支出235.4万元；文化旅游体育与传媒支出1万元；社会保障和就业支出90.33万元；节能环保支出50万元；城乡社区支出2468.99万元；农林水支出240.24万元；自然资源海洋气象等支出1.5万元；其他支出262.35万元。</w:t>
      </w:r>
    </w:p>
    <w:p w14:paraId="161D00C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39CC02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B7E60D1">
      <w:pPr>
        <w:spacing w:line="560" w:lineRule="exact"/>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成立绩效自评工作小组，通过翻阅项目账本、原始凭证、询问相关科室确定自评的数据等来收集项目资料，全面了解建设项目管理制度和流程、资金使用情况、受益群体的反馈情况，在收集和审核项目资料的基础上，制定了绩效评价指标体系，并进一步修改和完善，最后根据评价标准和资料依据，进行分析，得出评价结论。</w:t>
      </w:r>
    </w:p>
    <w:p w14:paraId="4072E951">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53B1F84">
      <w:pPr>
        <w:spacing w:line="578" w:lineRule="exact"/>
        <w:ind w:firstLine="640" w:firstLineChars="200"/>
        <w:rPr>
          <w:rFonts w:ascii="仿宋" w:hAnsi="仿宋" w:eastAsia="仿宋" w:cs="仿宋"/>
          <w:bCs/>
          <w:sz w:val="32"/>
          <w:szCs w:val="32"/>
        </w:rPr>
      </w:pPr>
      <w:r>
        <w:rPr>
          <w:rFonts w:hint="eastAsia" w:ascii="仿宋" w:hAnsi="仿宋" w:eastAsia="仿宋" w:cs="仿宋"/>
          <w:bCs/>
          <w:sz w:val="32"/>
          <w:szCs w:val="32"/>
        </w:rPr>
        <w:t>根据项目实际情况，选用恰当的标准进行评价，定量评价标准、定性评价标准、隶属度标准、客观标准等相结合，从多角度进行综合评价。</w:t>
      </w:r>
    </w:p>
    <w:p w14:paraId="1ACD4032">
      <w:pPr>
        <w:spacing w:line="578" w:lineRule="exact"/>
        <w:ind w:left="642"/>
        <w:rPr>
          <w:rFonts w:ascii="仿宋" w:hAnsi="仿宋" w:eastAsia="仿宋" w:cs="仿宋"/>
          <w:bCs/>
          <w:sz w:val="32"/>
          <w:szCs w:val="32"/>
        </w:rPr>
      </w:pPr>
      <w:r>
        <w:rPr>
          <w:rFonts w:hint="eastAsia" w:ascii="仿宋" w:hAnsi="仿宋" w:eastAsia="仿宋" w:cs="仿宋"/>
          <w:bCs/>
          <w:sz w:val="32"/>
          <w:szCs w:val="32"/>
        </w:rPr>
        <w:t>绩效评价实施过程：</w:t>
      </w:r>
    </w:p>
    <w:p w14:paraId="622F4925">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1</w:t>
      </w:r>
      <w:r>
        <w:rPr>
          <w:rFonts w:hint="eastAsia" w:ascii="仿宋" w:hAnsi="仿宋" w:eastAsia="仿宋" w:cs="仿宋"/>
          <w:bCs/>
          <w:sz w:val="32"/>
          <w:szCs w:val="32"/>
        </w:rPr>
        <w:t>、前期准备，根据有关规定及要求，认真组织人员对项目自评资料进行收集、整理，针对指标完成情况进行绩效分析。为有效及时的完成项目绩效自评工作打下坚实的基础。</w:t>
      </w:r>
    </w:p>
    <w:p w14:paraId="7694C98A">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2</w:t>
      </w:r>
      <w:r>
        <w:rPr>
          <w:rFonts w:hint="eastAsia" w:ascii="仿宋" w:hAnsi="仿宋" w:eastAsia="仿宋" w:cs="仿宋"/>
          <w:bCs/>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08DAA5F1">
      <w:pPr>
        <w:spacing w:line="578" w:lineRule="exact"/>
        <w:ind w:firstLine="640" w:firstLineChars="200"/>
        <w:rPr>
          <w:rFonts w:ascii="楷体" w:hAnsi="楷体" w:eastAsia="楷体" w:cs="楷体_GB2312"/>
          <w:bCs/>
          <w:sz w:val="32"/>
          <w:szCs w:val="32"/>
        </w:rPr>
      </w:pPr>
      <w:r>
        <w:rPr>
          <w:rFonts w:ascii="仿宋" w:hAnsi="仿宋" w:eastAsia="仿宋" w:cs="仿宋"/>
          <w:bCs/>
          <w:sz w:val="32"/>
          <w:szCs w:val="32"/>
        </w:rPr>
        <w:t>3</w:t>
      </w:r>
      <w:r>
        <w:rPr>
          <w:rFonts w:hint="eastAsia" w:ascii="仿宋" w:hAnsi="仿宋" w:eastAsia="仿宋" w:cs="仿宋"/>
          <w:bCs/>
          <w:sz w:val="32"/>
          <w:szCs w:val="32"/>
        </w:rPr>
        <w:t>、分析评价，根据项目立身特点和已经确定的各项绩效指标，对照项目完成情况，逐一评价，确保评价结论真实、客观、公平、公正。</w:t>
      </w:r>
    </w:p>
    <w:p w14:paraId="543C959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D631121">
      <w:pPr>
        <w:numPr>
          <w:ilvl w:val="0"/>
          <w:numId w:val="2"/>
        </w:numPr>
        <w:spacing w:line="560" w:lineRule="exact"/>
        <w:ind w:firstLine="640" w:firstLineChars="200"/>
        <w:rPr>
          <w:rFonts w:hint="eastAsia" w:ascii="仿宋" w:hAnsi="仿宋" w:eastAsia="仿宋"/>
          <w:color w:val="auto"/>
          <w:sz w:val="32"/>
          <w:szCs w:val="32"/>
        </w:rPr>
      </w:pPr>
      <w:r>
        <w:rPr>
          <w:rFonts w:hint="eastAsia" w:ascii="楷体" w:hAnsi="楷体" w:eastAsia="楷体" w:cs="楷体_GB2312"/>
          <w:bCs/>
          <w:color w:val="auto"/>
          <w:sz w:val="32"/>
          <w:szCs w:val="32"/>
        </w:rPr>
        <w:t>总体绩效目标实现情况</w:t>
      </w:r>
    </w:p>
    <w:p w14:paraId="221E74D9">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2025年，在区委、区政府的坚强领导下，李村镇坚持以习近平新时代中国特色社会主义思想为指导，深入贯彻党的二十大和二十届二中、三中、四中全会精神，全面贯彻落实省市区委各项决策部署要求，团结带领全镇党员干部群众攻坚克难、砥砺奋进，统筹推进经济社会发展各项工作，坚定不移守初心、强党建，抓项目、促发展，保稳定、惠民生，推动李村镇各项事业迈上新台阶。2025年1-11月，李村镇一般公共预算收入完成3646万元，全年预计完成4016万元，预计增长8.2%；固定资产投资累计完成47503万元；规上工业产值累计完成57798千元。</w:t>
      </w:r>
    </w:p>
    <w:p w14:paraId="6389F10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Cs/>
          <w:kern w:val="0"/>
          <w:sz w:val="32"/>
          <w:szCs w:val="32"/>
          <w:highlight w:val="none"/>
          <w:lang w:val="en-US" w:eastAsia="zh-CN"/>
        </w:rPr>
      </w:pPr>
      <w:r>
        <w:rPr>
          <w:rFonts w:hint="eastAsia" w:ascii="仿宋_GB2312" w:hAnsi="仿宋_GB2312" w:eastAsia="仿宋_GB2312" w:cs="仿宋_GB2312"/>
          <w:b w:val="0"/>
          <w:bCs w:val="0"/>
          <w:color w:val="auto"/>
          <w:sz w:val="32"/>
          <w:szCs w:val="32"/>
          <w:lang w:val="en-US" w:eastAsia="zh-CN"/>
        </w:rPr>
        <w:t>（1）党的建设取得明显成效。</w:t>
      </w:r>
      <w:r>
        <w:rPr>
          <w:rFonts w:hint="eastAsia" w:ascii="仿宋_GB2312" w:hAnsi="仿宋_GB2312" w:eastAsia="仿宋_GB2312" w:cs="仿宋_GB2312"/>
          <w:b w:val="0"/>
          <w:bCs/>
          <w:color w:val="auto"/>
          <w:sz w:val="32"/>
          <w:szCs w:val="32"/>
          <w:lang w:val="en-US" w:eastAsia="zh-CN"/>
        </w:rPr>
        <w:t>李</w:t>
      </w:r>
      <w:r>
        <w:rPr>
          <w:rFonts w:hint="eastAsia" w:ascii="仿宋_GB2312" w:hAnsi="仿宋_GB2312" w:eastAsia="仿宋_GB2312" w:cs="仿宋_GB2312"/>
          <w:b w:val="0"/>
          <w:bCs w:val="0"/>
          <w:color w:val="auto"/>
          <w:sz w:val="32"/>
          <w:szCs w:val="32"/>
          <w:lang w:val="en-US" w:eastAsia="zh-CN"/>
        </w:rPr>
        <w:t>村镇高度重视班子自身建设，坚定不移加强党的政治建设。</w:t>
      </w:r>
      <w:r>
        <w:rPr>
          <w:rFonts w:hint="eastAsia" w:ascii="仿宋_GB2312" w:hAnsi="仿宋_GB2312" w:eastAsia="仿宋_GB2312" w:cs="仿宋_GB2312"/>
          <w:b w:val="0"/>
          <w:bCs/>
          <w:kern w:val="0"/>
          <w:sz w:val="32"/>
          <w:szCs w:val="32"/>
          <w:highlight w:val="none"/>
          <w:lang w:val="en-US" w:eastAsia="zh-CN"/>
        </w:rPr>
        <w:t>一是始终把政治建设摆在首位。</w:t>
      </w:r>
      <w:r>
        <w:rPr>
          <w:rFonts w:hint="eastAsia" w:ascii="仿宋_GB2312" w:hAnsi="仿宋_GB2312" w:eastAsia="仿宋_GB2312" w:cs="仿宋_GB2312"/>
          <w:bCs/>
          <w:kern w:val="0"/>
          <w:sz w:val="32"/>
          <w:szCs w:val="32"/>
          <w:highlight w:val="none"/>
          <w:lang w:val="en-US" w:eastAsia="zh-CN"/>
        </w:rPr>
        <w:t>坚持以习近平新时代中国特色社会主义思想为指导，深入学习贯彻党的二十大和二十届历次全会精神，不断增强“四个意识”、坚定“四个自信”、做到“两个维护”，并将其贯穿于工作谋划、决策部署、推动落实的各环节、全过程，确保中央和省市区各项决策部署在李村镇不折不扣落到实处。</w:t>
      </w:r>
      <w:r>
        <w:rPr>
          <w:rFonts w:hint="eastAsia" w:ascii="仿宋_GB2312" w:hAnsi="仿宋_GB2312" w:eastAsia="仿宋_GB2312" w:cs="仿宋_GB2312"/>
          <w:b w:val="0"/>
          <w:bCs/>
          <w:kern w:val="0"/>
          <w:sz w:val="32"/>
          <w:szCs w:val="32"/>
          <w:highlight w:val="none"/>
          <w:lang w:val="en-US" w:eastAsia="zh-CN"/>
        </w:rPr>
        <w:t>二是持续深化理论武装。</w:t>
      </w:r>
      <w:r>
        <w:rPr>
          <w:rFonts w:hint="eastAsia" w:ascii="仿宋_GB2312" w:hAnsi="仿宋_GB2312" w:eastAsia="仿宋_GB2312" w:cs="仿宋_GB2312"/>
          <w:sz w:val="32"/>
          <w:szCs w:val="32"/>
          <w:highlight w:val="none"/>
          <w:lang w:val="en-US" w:eastAsia="zh-CN"/>
        </w:rPr>
        <w:t>严格落实“第一议题”制度，召开党政联席会44次，及时传达学习习近平总书记重要讲话和指示批示精神</w:t>
      </w:r>
      <w:r>
        <w:rPr>
          <w:rFonts w:hint="eastAsia" w:ascii="仿宋_GB2312" w:hAnsi="仿宋_GB2312" w:eastAsia="仿宋_GB2312" w:cs="仿宋_GB2312"/>
          <w:b w:val="0"/>
          <w:bCs w:val="0"/>
          <w:color w:val="auto"/>
          <w:sz w:val="32"/>
          <w:szCs w:val="32"/>
          <w:lang w:val="en-US" w:eastAsia="zh-CN"/>
        </w:rPr>
        <w:t>及党中央和省市区委会议精神、重要安排部署，研究贯彻落实意见60余次，</w:t>
      </w:r>
      <w:r>
        <w:rPr>
          <w:rFonts w:hint="eastAsia" w:ascii="仿宋_GB2312" w:hAnsi="仿宋_GB2312" w:eastAsia="仿宋_GB2312" w:cs="仿宋_GB2312"/>
          <w:sz w:val="32"/>
          <w:szCs w:val="32"/>
          <w:highlight w:val="none"/>
          <w:lang w:val="en-US" w:eastAsia="zh-CN"/>
        </w:rPr>
        <w:t>开展机关全体学习24次，理论学习中心组学习10次</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sz w:val="32"/>
          <w:szCs w:val="32"/>
          <w:highlight w:val="none"/>
          <w:lang w:val="en-US" w:eastAsia="zh-CN"/>
        </w:rPr>
        <w:t>持之以恒用党的创新理论指导实践、推动工作。严格落实意识形态工作责任制，定期召开意识形态工作专题会议，分析研判全镇意识形态领域形势，及时防范化解风险隐患。</w:t>
      </w:r>
      <w:r>
        <w:rPr>
          <w:rFonts w:hint="eastAsia" w:ascii="仿宋_GB2312" w:hAnsi="仿宋_GB2312" w:eastAsia="仿宋_GB2312" w:cs="仿宋_GB2312"/>
          <w:b w:val="0"/>
          <w:bCs/>
          <w:kern w:val="0"/>
          <w:sz w:val="32"/>
          <w:szCs w:val="32"/>
          <w:highlight w:val="none"/>
          <w:lang w:val="en-US" w:eastAsia="zh-CN"/>
        </w:rPr>
        <w:t>三是纵深推进作风建设。</w:t>
      </w:r>
      <w:r>
        <w:rPr>
          <w:rFonts w:hint="eastAsia" w:ascii="仿宋_GB2312" w:hAnsi="仿宋_GB2312" w:eastAsia="仿宋_GB2312" w:cs="仿宋_GB2312"/>
          <w:bCs/>
          <w:kern w:val="0"/>
          <w:sz w:val="32"/>
          <w:szCs w:val="32"/>
          <w:highlight w:val="none"/>
          <w:lang w:val="en-US" w:eastAsia="zh-CN"/>
        </w:rPr>
        <w:t>大力弘扬求真务实、真抓实干的工作作风，领导班子成员带头深入基层一线，围绕项目建设、民生保障、矛盾化解等重点工作开展调研走访100余次，解决群众急难愁盼问题200余条，以实际行动密切联系群众、服务群众。同时将作风建设情况纳入村级绩效评价和干部选拔任用重要依据，对苗头性、倾向性问题早提醒、早纠正，推动作风建设常态化、长效化。</w:t>
      </w:r>
      <w:r>
        <w:rPr>
          <w:rFonts w:hint="eastAsia" w:ascii="仿宋_GB2312" w:hAnsi="仿宋_GB2312" w:eastAsia="仿宋_GB2312" w:cs="仿宋_GB2312"/>
          <w:b w:val="0"/>
          <w:bCs/>
          <w:kern w:val="0"/>
          <w:sz w:val="32"/>
          <w:szCs w:val="32"/>
          <w:highlight w:val="none"/>
          <w:lang w:val="en-US" w:eastAsia="zh-CN"/>
        </w:rPr>
        <w:t>四是严格执行民主集中制。</w:t>
      </w:r>
      <w:r>
        <w:rPr>
          <w:rFonts w:hint="eastAsia" w:ascii="仿宋_GB2312" w:hAnsi="仿宋_GB2312" w:eastAsia="仿宋_GB2312" w:cs="仿宋_GB2312"/>
          <w:bCs/>
          <w:kern w:val="0"/>
          <w:sz w:val="32"/>
          <w:szCs w:val="32"/>
          <w:highlight w:val="none"/>
          <w:lang w:val="en-US" w:eastAsia="zh-CN"/>
        </w:rPr>
        <w:t>进一步完善党委议事规则和决策程序，对重大事项决策、重要人事任免、重大项目安排和大额度资金使用等“三重一大”事项，均坚持集体研究、科学决策，全年研究“三重一大”事项120余项，充分发扬党内民主，确保决策的科学性和准确性。班子成员之间注重加强沟通协调，相互尊重、相互支持，形成了心往一处想、劲往一处使的良好工作氛围，有效提升了领导班子的凝聚力和战斗力。</w:t>
      </w:r>
    </w:p>
    <w:p w14:paraId="31B18204">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color w:val="auto"/>
          <w:sz w:val="32"/>
          <w:szCs w:val="32"/>
          <w:lang w:val="en-US" w:eastAsia="zh-CN"/>
        </w:rPr>
        <w:t>（2）转型发展取得实质进展。</w:t>
      </w:r>
      <w:r>
        <w:rPr>
          <w:rFonts w:hint="eastAsia" w:ascii="仿宋_GB2312" w:hAnsi="仿宋_GB2312" w:eastAsia="仿宋_GB2312" w:cs="仿宋_GB2312"/>
          <w:b w:val="0"/>
          <w:bCs w:val="0"/>
          <w:sz w:val="32"/>
          <w:szCs w:val="32"/>
          <w:lang w:val="en-US" w:eastAsia="zh-CN"/>
        </w:rPr>
        <w:t>始终坚持“项目为王”理念，扎实开展项目攻坚，高标准高效率推动项目建设。一是在建项目加快推进。我镇主要领导为项目开工建设亲</w:t>
      </w:r>
      <w:r>
        <w:rPr>
          <w:rFonts w:hint="eastAsia" w:ascii="仿宋_GB2312" w:hAnsi="仿宋_GB2312" w:eastAsia="仿宋_GB2312" w:cs="仿宋_GB2312"/>
          <w:color w:val="auto"/>
          <w:sz w:val="32"/>
          <w:szCs w:val="32"/>
          <w:lang w:val="en-US" w:eastAsia="zh-CN"/>
        </w:rPr>
        <w:t>自跑办60余次，现场办公为项目企业协调解决规划征地等问题，</w:t>
      </w:r>
      <w:r>
        <w:rPr>
          <w:rFonts w:hint="eastAsia" w:ascii="仿宋_GB2312" w:hAnsi="仿宋_GB2312" w:eastAsia="仿宋_GB2312" w:cs="仿宋_GB2312"/>
          <w:color w:val="auto"/>
          <w:kern w:val="2"/>
          <w:sz w:val="32"/>
          <w:szCs w:val="32"/>
          <w:lang w:val="en-US" w:eastAsia="zh-CN" w:bidi="ar-SA"/>
        </w:rPr>
        <w:t>总投资1.4亿元的顺锦新能源充换电及汽车零件批发零售楼建设、亿丰石油化工储罐浮顶及相关环保设施技术改造、平北弹簧厂厂区改建等8个项目全部如期开工，其中，顺锦新能源充电站已投入使用</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kern w:val="2"/>
          <w:sz w:val="32"/>
          <w:szCs w:val="32"/>
          <w:lang w:val="en-US" w:eastAsia="zh-CN" w:bidi="ar-SA"/>
        </w:rPr>
        <w:t>总投资达39亿元的智慧物流产业园区东区、太行智慧冷链物流园、智能化冷链物流中心、冀中智慧汽车物流出口基地、鹿泉内陆港-集装箱供应链基地、职教中心迁建等7个续建项目正在加快建设。</w:t>
      </w:r>
      <w:r>
        <w:rPr>
          <w:rFonts w:hint="eastAsia" w:ascii="仿宋_GB2312" w:hAnsi="仿宋_GB2312" w:eastAsia="仿宋_GB2312" w:cs="仿宋_GB2312"/>
          <w:b w:val="0"/>
          <w:bCs/>
          <w:kern w:val="0"/>
          <w:sz w:val="32"/>
          <w:szCs w:val="32"/>
          <w:highlight w:val="none"/>
          <w:lang w:val="en-US" w:eastAsia="zh-CN"/>
        </w:rPr>
        <w:t>二是谋划项目压茬推进。</w:t>
      </w:r>
      <w:r>
        <w:rPr>
          <w:rFonts w:hint="eastAsia" w:ascii="仿宋_GB2312" w:hAnsi="仿宋_GB2312" w:eastAsia="仿宋_GB2312" w:cs="仿宋_GB2312"/>
          <w:color w:val="auto"/>
          <w:kern w:val="2"/>
          <w:sz w:val="32"/>
          <w:szCs w:val="32"/>
          <w:lang w:val="en-US" w:eastAsia="zh-CN" w:bidi="ar-SA"/>
        </w:rPr>
        <w:t>紧盯镇域优势产业，立足全区资源禀赋，围绕装备制造、基础设施、新能源、教育等领域开展招商引资，重点谋划了总投资达11亿元的春晟新能源（石家庄）有限公司储能电池建设项目、西柏坡高速公路胡庄互通改建工程、引岗渠同阁暗渠修复工程、石家庄市联誉新能源科技有限公司1000kW分布式光伏发电项目、石家庄源航新能源有限公司充电桩建设项目、石家庄市雅诚商贸有限责任公司充电桩建设项目、河传教育研究中心项目、河北金隅鼎鑫水泥绿色环保新型建材（一期）项目、李村分输站场站用房建设项目、石家庄辰展商贸有限公司综合楼建设项目、河北丰信贸易有限公司充换电站建设项目等11个项目，为后续产业发展注入了强劲动力。</w:t>
      </w:r>
      <w:r>
        <w:rPr>
          <w:rFonts w:hint="eastAsia" w:ascii="仿宋_GB2312" w:hAnsi="仿宋_GB2312" w:eastAsia="仿宋_GB2312" w:cs="仿宋_GB2312"/>
          <w:b w:val="0"/>
          <w:bCs/>
          <w:kern w:val="0"/>
          <w:sz w:val="32"/>
          <w:szCs w:val="32"/>
          <w:highlight w:val="none"/>
          <w:lang w:val="en-US" w:eastAsia="zh-CN"/>
        </w:rPr>
        <w:t>三是持续优化营商环境。</w:t>
      </w:r>
      <w:r>
        <w:rPr>
          <w:rFonts w:hint="eastAsia" w:ascii="仿宋_GB2312" w:hAnsi="仿宋_GB2312" w:eastAsia="仿宋_GB2312" w:cs="仿宋_GB2312"/>
          <w:color w:val="auto"/>
          <w:kern w:val="2"/>
          <w:sz w:val="32"/>
          <w:szCs w:val="32"/>
          <w:lang w:val="en-US" w:eastAsia="zh-CN" w:bidi="ar-SA"/>
        </w:rPr>
        <w:t>积极推进“一件事一次办”套餐应用，“双公示”信息报送及时率和正确率为100%，政务服务事项网办率实现100%，更新维护村级服务事项清单，新增个体工商户312户，全部进行行政许可事项公示，新增食品经营许可证9个、小餐饮10个、小摊点57个、预包装食品备案21个，定期开展诚信宣传活动，助推企业发展提质增效。</w:t>
      </w:r>
    </w:p>
    <w:p w14:paraId="307E124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color w:val="auto"/>
          <w:sz w:val="32"/>
          <w:szCs w:val="32"/>
          <w:lang w:val="en-US" w:eastAsia="zh-CN"/>
        </w:rPr>
        <w:t>（3）乡村振兴取得跃升发展。</w:t>
      </w:r>
      <w:r>
        <w:rPr>
          <w:rFonts w:hint="eastAsia" w:ascii="仿宋_GB2312" w:hAnsi="仿宋_GB2312" w:eastAsia="仿宋_GB2312" w:cs="仿宋_GB2312"/>
          <w:b w:val="0"/>
          <w:bCs w:val="0"/>
          <w:kern w:val="2"/>
          <w:sz w:val="32"/>
          <w:szCs w:val="32"/>
          <w:lang w:val="en-US" w:eastAsia="zh-CN" w:bidi="ar-SA"/>
        </w:rPr>
        <w:t>我们大力推进乡村全面振兴，让群众共享发展成果。</w:t>
      </w:r>
      <w:r>
        <w:rPr>
          <w:rFonts w:hint="eastAsia" w:ascii="仿宋_GB2312" w:hAnsi="仿宋_GB2312" w:eastAsia="仿宋_GB2312" w:cs="仿宋_GB2312"/>
          <w:b w:val="0"/>
          <w:bCs/>
          <w:kern w:val="0"/>
          <w:sz w:val="32"/>
          <w:szCs w:val="32"/>
          <w:highlight w:val="none"/>
          <w:lang w:val="en-US" w:eastAsia="zh-CN" w:bidi="ar-SA"/>
        </w:rPr>
        <w:t>一是城镇形象展现新风貌。</w:t>
      </w:r>
      <w:r>
        <w:rPr>
          <w:rFonts w:hint="eastAsia" w:ascii="仿宋_GB2312" w:hAnsi="仿宋_GB2312" w:eastAsia="仿宋_GB2312" w:cs="仿宋_GB2312"/>
          <w:sz w:val="32"/>
          <w:szCs w:val="32"/>
          <w:highlight w:val="none"/>
          <w:lang w:val="en-US" w:eastAsia="zh-CN"/>
        </w:rPr>
        <w:t>积极争取上级资金900余万元，落地“一事一议”项目11项、移民项目17项，重点用于村庄道路硬化、绿化亮化、环境美化等工程，补齐设施短板；积极争取革命老区项目专项资金230万元用于南许营村道路改造提升；对李村镇前大街、北胡庄太行街等10余条主次干道重新铺设沥青，完善排水、绿化等配套设施；</w:t>
      </w:r>
      <w:r>
        <w:rPr>
          <w:rFonts w:hint="eastAsia" w:ascii="仿宋_GB2312" w:hAnsi="仿宋_GB2312" w:eastAsia="仿宋_GB2312" w:cs="仿宋_GB2312"/>
          <w:color w:val="auto"/>
          <w:kern w:val="2"/>
          <w:sz w:val="32"/>
          <w:szCs w:val="32"/>
          <w:lang w:val="en-US" w:eastAsia="zh-CN" w:bidi="ar-SA"/>
        </w:rPr>
        <w:t>按照“精、细、严”的管理标准，对日常巡查、群众举报、卫片下发等发现的新增违法占地、占用耕地的一律按拆除方式整改；加大对渣土运输、不规范围挡等行为治理力度，净化交通环境，特别是进一步规范李村市集，基本消除占道经营现象。</w:t>
      </w:r>
      <w:r>
        <w:rPr>
          <w:rFonts w:hint="eastAsia" w:ascii="仿宋_GB2312" w:hAnsi="仿宋_GB2312" w:eastAsia="仿宋_GB2312" w:cs="仿宋_GB2312"/>
          <w:b w:val="0"/>
          <w:bCs/>
          <w:kern w:val="0"/>
          <w:sz w:val="32"/>
          <w:szCs w:val="32"/>
          <w:highlight w:val="none"/>
          <w:lang w:val="en-US" w:eastAsia="zh-CN" w:bidi="ar-SA"/>
        </w:rPr>
        <w:t>二是和美乡村跑出加速度。</w:t>
      </w:r>
      <w:r>
        <w:rPr>
          <w:rFonts w:hint="eastAsia" w:ascii="仿宋_GB2312" w:hAnsi="仿宋_GB2312" w:eastAsia="仿宋_GB2312" w:cs="仿宋_GB2312"/>
          <w:color w:val="auto"/>
          <w:kern w:val="2"/>
          <w:sz w:val="32"/>
          <w:szCs w:val="32"/>
          <w:lang w:val="en-US" w:eastAsia="zh-CN" w:bidi="ar-SA"/>
        </w:rPr>
        <w:t>全力推进和美乡村建设，积极打造滹沱河片区，持续改善农村人居环境，大力推进墙体美化、村庄绿化，本年度完成美丽庭院385户、精品庭院151户；坚持生活垃圾日产日清，清运生活垃圾21150余方，清理塘沟186处、清理杂物乱堆乱放1750余处，清理小广告、废弃宣传标语、广告牌220余处，清理河道垃圾810余方，清理残垣断壁2处，实现了村庄周边无垃圾积存、街头巷尾干净畅通、房前屋后整齐清洁；</w:t>
      </w:r>
      <w:r>
        <w:rPr>
          <w:rFonts w:hint="eastAsia" w:ascii="仿宋_GB2312" w:hAnsi="仿宋_GB2312" w:eastAsia="仿宋_GB2312" w:cs="仿宋_GB2312"/>
          <w:color w:val="auto"/>
          <w:kern w:val="2"/>
          <w:sz w:val="32"/>
          <w:szCs w:val="32"/>
          <w:highlight w:val="none"/>
          <w:lang w:val="en-US" w:eastAsia="zh-CN" w:bidi="ar-SA"/>
        </w:rPr>
        <w:t>21个村被认定为省级和美乡村，其中张堡村、同阁村、邓庄村、南白砂村被认定为省级和美乡村重点村。</w:t>
      </w:r>
      <w:r>
        <w:rPr>
          <w:rFonts w:hint="eastAsia" w:ascii="仿宋_GB2312" w:hAnsi="仿宋_GB2312" w:eastAsia="仿宋_GB2312" w:cs="仿宋_GB2312"/>
          <w:b w:val="0"/>
          <w:bCs/>
          <w:kern w:val="0"/>
          <w:sz w:val="32"/>
          <w:szCs w:val="32"/>
          <w:highlight w:val="none"/>
          <w:lang w:val="en-US" w:eastAsia="zh-CN" w:bidi="ar-SA"/>
        </w:rPr>
        <w:t>三是特色产业激发新动能。</w:t>
      </w:r>
      <w:r>
        <w:rPr>
          <w:rFonts w:hint="eastAsia" w:ascii="仿宋_GB2312" w:hAnsi="仿宋_GB2312" w:eastAsia="仿宋_GB2312" w:cs="仿宋_GB2312"/>
          <w:color w:val="auto"/>
          <w:kern w:val="2"/>
          <w:sz w:val="32"/>
          <w:szCs w:val="32"/>
          <w:lang w:val="en-US" w:eastAsia="zh-CN" w:bidi="ar-SA"/>
        </w:rPr>
        <w:t>在“一村一品”特色产业发展上下功夫，找准各村资源优势和特点，寻找发展路径，发展了郑村新民养生庄苑、前东毗家庭农场、际华农业科技、紫藤葡萄庄园等一批特色果树种植产业，促进了农民增收致富；依托23个村党支部领办合作社大力发展村级产业，截至目前，</w:t>
      </w:r>
      <w:r>
        <w:rPr>
          <w:rFonts w:hint="eastAsia" w:ascii="仿宋_GB2312" w:hAnsi="仿宋_GB2312" w:eastAsia="仿宋_GB2312" w:cs="仿宋_GB2312"/>
          <w:b w:val="0"/>
          <w:bCs w:val="0"/>
          <w:color w:val="auto"/>
          <w:kern w:val="2"/>
          <w:sz w:val="32"/>
          <w:szCs w:val="32"/>
          <w:lang w:val="en-US" w:eastAsia="zh-CN" w:bidi="ar-SA"/>
        </w:rPr>
        <w:t>17个村集体收入达40万元，3个村达100万元以上，其中同阁村达235.4万元，南胡庄村达200.5万元，</w:t>
      </w:r>
      <w:r>
        <w:rPr>
          <w:rFonts w:hint="eastAsia" w:ascii="仿宋_GB2312" w:hAnsi="仿宋_GB2312" w:eastAsia="仿宋_GB2312" w:cs="仿宋_GB2312"/>
          <w:color w:val="auto"/>
          <w:kern w:val="2"/>
          <w:sz w:val="32"/>
          <w:szCs w:val="32"/>
          <w:lang w:val="en-US" w:eastAsia="zh-CN" w:bidi="ar-SA"/>
        </w:rPr>
        <w:t>更好地发展壮大了村集体经济，夯实了乡村振兴根基。</w:t>
      </w:r>
    </w:p>
    <w:p w14:paraId="12C0A67D">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auto"/>
          <w:sz w:val="32"/>
          <w:szCs w:val="32"/>
          <w:lang w:val="zh-CN" w:eastAsia="zh-CN"/>
        </w:rPr>
      </w:pPr>
      <w:r>
        <w:rPr>
          <w:rFonts w:hint="eastAsia" w:ascii="仿宋_GB2312" w:hAnsi="仿宋_GB2312" w:eastAsia="仿宋_GB2312" w:cs="仿宋_GB2312"/>
          <w:b w:val="0"/>
          <w:bCs w:val="0"/>
          <w:color w:val="auto"/>
          <w:sz w:val="32"/>
          <w:szCs w:val="32"/>
          <w:lang w:val="en-US" w:eastAsia="zh-CN"/>
        </w:rPr>
        <w:t>（4）生态环境取得极大改善。</w:t>
      </w:r>
      <w:r>
        <w:rPr>
          <w:rFonts w:hint="eastAsia" w:ascii="仿宋_GB2312" w:hAnsi="仿宋_GB2312" w:eastAsia="仿宋_GB2312" w:cs="仿宋_GB2312"/>
          <w:b w:val="0"/>
          <w:bCs w:val="0"/>
          <w:color w:val="auto"/>
          <w:sz w:val="32"/>
          <w:szCs w:val="32"/>
          <w:lang w:val="zh-CN" w:eastAsia="zh-CN"/>
        </w:rPr>
        <w:t>深</w:t>
      </w:r>
      <w:r>
        <w:rPr>
          <w:rFonts w:hint="eastAsia" w:ascii="仿宋_GB2312" w:hAnsi="仿宋_GB2312" w:eastAsia="仿宋_GB2312" w:cs="仿宋_GB2312"/>
          <w:b w:val="0"/>
          <w:bCs w:val="0"/>
          <w:sz w:val="32"/>
          <w:szCs w:val="32"/>
          <w:lang w:val="zh-CN" w:eastAsia="zh-CN"/>
        </w:rPr>
        <w:t>入践行“绿水青山就是金山银山”理念，</w:t>
      </w:r>
      <w:r>
        <w:rPr>
          <w:rFonts w:hint="eastAsia" w:ascii="仿宋_GB2312" w:hAnsi="仿宋_GB2312" w:eastAsia="仿宋_GB2312" w:cs="仿宋_GB2312"/>
          <w:b w:val="0"/>
          <w:bCs w:val="0"/>
          <w:sz w:val="32"/>
          <w:szCs w:val="32"/>
          <w:lang w:val="en-US" w:eastAsia="zh-CN"/>
        </w:rPr>
        <w:t>努力克服项目施工等诸多不利因素影响，不断提升环境质量。</w:t>
      </w:r>
      <w:r>
        <w:rPr>
          <w:rFonts w:hint="eastAsia" w:ascii="仿宋_GB2312" w:hAnsi="仿宋_GB2312" w:eastAsia="仿宋_GB2312" w:cs="仿宋_GB2312"/>
          <w:b w:val="0"/>
          <w:bCs/>
          <w:kern w:val="0"/>
          <w:sz w:val="32"/>
          <w:szCs w:val="32"/>
          <w:highlight w:val="none"/>
          <w:lang w:val="en-US" w:eastAsia="zh-CN"/>
        </w:rPr>
        <w:t>一是</w:t>
      </w:r>
      <w:r>
        <w:rPr>
          <w:rFonts w:hint="eastAsia" w:ascii="仿宋_GB2312" w:hAnsi="仿宋_GB2312" w:eastAsia="仿宋_GB2312" w:cs="仿宋_GB2312"/>
          <w:b w:val="0"/>
          <w:bCs/>
          <w:kern w:val="0"/>
          <w:sz w:val="32"/>
          <w:szCs w:val="32"/>
          <w:highlight w:val="none"/>
          <w:lang w:val="zh-CN" w:eastAsia="zh-CN"/>
        </w:rPr>
        <w:t>空气质量稳步提升。</w:t>
      </w:r>
      <w:r>
        <w:rPr>
          <w:rFonts w:hint="eastAsia" w:ascii="仿宋_GB2312" w:hAnsi="仿宋_GB2312" w:eastAsia="仿宋_GB2312" w:cs="仿宋_GB2312"/>
          <w:color w:val="auto"/>
          <w:kern w:val="2"/>
          <w:sz w:val="32"/>
          <w:szCs w:val="32"/>
          <w:highlight w:val="none"/>
          <w:lang w:val="en-US" w:eastAsia="zh-CN" w:bidi="ar-SA"/>
        </w:rPr>
        <w:t>坚持精准、科学、依法治污，持续深入打好蓝天、碧水、净土保卫战，</w:t>
      </w:r>
      <w:r>
        <w:rPr>
          <w:rFonts w:hint="eastAsia" w:ascii="仿宋_GB2312" w:hAnsi="仿宋_GB2312" w:eastAsia="仿宋_GB2312" w:cs="仿宋_GB2312"/>
          <w:b w:val="0"/>
          <w:bCs w:val="0"/>
          <w:sz w:val="32"/>
          <w:szCs w:val="32"/>
          <w:lang w:val="en-US" w:eastAsia="zh-CN"/>
        </w:rPr>
        <w:t>召开各类会议60余次，开展“散乱污”企业排查等各类专项活动144余次，排查各类污染源115次，整治扬尘污染源75个，整治非法料场2个，整改场站、平交道口18处</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b w:val="0"/>
          <w:bCs/>
          <w:kern w:val="0"/>
          <w:sz w:val="32"/>
          <w:szCs w:val="32"/>
          <w:highlight w:val="none"/>
          <w:lang w:val="en-US" w:eastAsia="zh-CN"/>
        </w:rPr>
        <w:t>二是水土环境持续改善。</w:t>
      </w:r>
      <w:r>
        <w:rPr>
          <w:rFonts w:hint="eastAsia" w:ascii="仿宋_GB2312" w:hAnsi="仿宋_GB2312" w:eastAsia="仿宋_GB2312" w:cs="仿宋_GB2312"/>
          <w:color w:val="auto"/>
          <w:sz w:val="32"/>
          <w:szCs w:val="32"/>
          <w:lang w:val="en-US" w:eastAsia="zh-CN"/>
        </w:rPr>
        <w:t>严格落实河长制要求，继续做好各村巡河员的日常管理工作，与各村签订了《河长制工作责任状》。大力推进全域绿化，着力抓好河库清理，清理河道垃圾810余方、杂草50余方，黑臭水体实现动态清零；</w:t>
      </w:r>
      <w:r>
        <w:rPr>
          <w:rFonts w:hint="eastAsia" w:ascii="仿宋_GB2312" w:hAnsi="仿宋_GB2312" w:eastAsia="仿宋_GB2312" w:cs="仿宋_GB2312"/>
          <w:bCs/>
          <w:kern w:val="0"/>
          <w:sz w:val="32"/>
          <w:szCs w:val="32"/>
          <w:highlight w:val="none"/>
          <w:lang w:val="en-US" w:eastAsia="zh-CN"/>
        </w:rPr>
        <w:t>严肃查处各类违法用地行为，</w:t>
      </w:r>
      <w:r>
        <w:rPr>
          <w:rFonts w:hint="eastAsia" w:ascii="仿宋_GB2312" w:hAnsi="仿宋_GB2312" w:eastAsia="仿宋_GB2312" w:cs="仿宋_GB2312"/>
          <w:sz w:val="32"/>
          <w:szCs w:val="32"/>
          <w:lang w:val="en-US" w:eastAsia="zh-CN"/>
        </w:rPr>
        <w:t>变更调查监测线索处置（市级）8宗，均已按要求完成核查整改，确保土地利用规范有序。</w:t>
      </w:r>
      <w:r>
        <w:rPr>
          <w:rFonts w:hint="eastAsia" w:ascii="仿宋_GB2312" w:hAnsi="仿宋_GB2312" w:eastAsia="仿宋_GB2312" w:cs="仿宋_GB2312"/>
          <w:b w:val="0"/>
          <w:bCs/>
          <w:kern w:val="0"/>
          <w:sz w:val="32"/>
          <w:szCs w:val="32"/>
          <w:highlight w:val="none"/>
          <w:lang w:val="en-US" w:eastAsia="zh-CN"/>
        </w:rPr>
        <w:t>三是全域绿化成效显著。</w:t>
      </w:r>
      <w:r>
        <w:rPr>
          <w:rFonts w:hint="eastAsia" w:ascii="仿宋_GB2312" w:hAnsi="仿宋_GB2312" w:eastAsia="仿宋_GB2312" w:cs="仿宋_GB2312"/>
          <w:color w:val="auto"/>
          <w:sz w:val="32"/>
          <w:szCs w:val="32"/>
          <w:lang w:val="en-US" w:eastAsia="zh-CN"/>
        </w:rPr>
        <w:t>加快春季绿化工作，增加村内绿化面积，今年以来共计植树</w:t>
      </w:r>
      <w:r>
        <w:rPr>
          <w:rFonts w:hint="eastAsia" w:ascii="仿宋_GB2312" w:hAnsi="仿宋_GB2312" w:eastAsia="仿宋_GB2312" w:cs="仿宋_GB2312"/>
          <w:color w:val="auto"/>
          <w:kern w:val="2"/>
          <w:sz w:val="32"/>
          <w:szCs w:val="32"/>
          <w:highlight w:val="none"/>
          <w:lang w:val="en-US" w:eastAsia="zh-CN" w:bidi="ar-SA"/>
        </w:rPr>
        <w:t>10960棵，栽植面积93.8亩，</w:t>
      </w:r>
      <w:r>
        <w:rPr>
          <w:rFonts w:hint="eastAsia" w:ascii="仿宋_GB2312" w:hAnsi="仿宋_GB2312" w:eastAsia="仿宋_GB2312" w:cs="仿宋_GB2312"/>
          <w:color w:val="auto"/>
          <w:sz w:val="32"/>
          <w:szCs w:val="32"/>
          <w:lang w:val="en-US" w:eastAsia="zh-CN"/>
        </w:rPr>
        <w:t>进一步提升了村容村貌。</w:t>
      </w:r>
    </w:p>
    <w:p w14:paraId="60B63F4C">
      <w:pPr>
        <w:spacing w:line="560" w:lineRule="exact"/>
        <w:ind w:firstLine="640" w:firstLineChars="200"/>
        <w:rPr>
          <w:rFonts w:hint="eastAsia" w:ascii="仿宋" w:hAnsi="仿宋" w:eastAsia="仿宋"/>
          <w:color w:val="FF0000"/>
          <w:sz w:val="32"/>
          <w:szCs w:val="32"/>
        </w:rPr>
      </w:pPr>
      <w:r>
        <w:rPr>
          <w:rFonts w:hint="eastAsia" w:ascii="仿宋_GB2312" w:hAnsi="仿宋_GB2312" w:eastAsia="仿宋_GB2312" w:cs="仿宋_GB2312"/>
          <w:b w:val="0"/>
          <w:bCs w:val="0"/>
          <w:color w:val="auto"/>
          <w:sz w:val="32"/>
          <w:szCs w:val="32"/>
          <w:lang w:val="en-US" w:eastAsia="zh-CN"/>
        </w:rPr>
        <w:t>（5）民生事业取</w:t>
      </w:r>
      <w:r>
        <w:rPr>
          <w:rFonts w:hint="eastAsia" w:ascii="仿宋_GB2312" w:hAnsi="仿宋_GB2312" w:eastAsia="仿宋_GB2312" w:cs="仿宋_GB2312"/>
          <w:b w:val="0"/>
          <w:bCs w:val="0"/>
          <w:sz w:val="32"/>
          <w:szCs w:val="32"/>
          <w:lang w:val="en-US" w:eastAsia="zh-CN"/>
        </w:rPr>
        <w:t>得更多认可。牢固树立以人民为中心的发展思想，始终把解决群众急难愁盼问题作为工作的出发点和落脚点。一是兜底保障更扎实。今年以来新增低保33人，特困16人，办理区临时救助5例，发放救助资金21120元，镇级临时救助6户，发放救助金9720元，小额临时救助41人，发放救助金20080元，累计享受高龄老人津贴997人、困难残疾人生活补贴477人，切实做好了民生保障工作。二是民心工程</w:t>
      </w:r>
      <w:r>
        <w:rPr>
          <w:rFonts w:hint="eastAsia" w:ascii="仿宋_GB2312" w:hAnsi="仿宋_GB2312" w:eastAsia="仿宋_GB2312" w:cs="仿宋_GB2312"/>
          <w:b w:val="0"/>
          <w:bCs/>
          <w:kern w:val="0"/>
          <w:sz w:val="32"/>
          <w:szCs w:val="32"/>
          <w:highlight w:val="none"/>
          <w:lang w:val="en-US" w:eastAsia="zh-CN"/>
        </w:rPr>
        <w:t>更精心。</w:t>
      </w:r>
      <w:r>
        <w:rPr>
          <w:rFonts w:hint="eastAsia" w:ascii="仿宋_GB2312" w:hAnsi="仿宋_GB2312" w:eastAsia="仿宋_GB2312" w:cs="仿宋_GB2312"/>
          <w:b w:val="0"/>
          <w:bCs w:val="0"/>
          <w:kern w:val="2"/>
          <w:sz w:val="32"/>
          <w:szCs w:val="32"/>
          <w:lang w:val="en-US" w:eastAsia="zh-CN" w:bidi="ar-SA"/>
        </w:rPr>
        <w:t>坚持不懈推进校园食品安全提升、特困老人“送医送药送健康”等民生工程落实落地。深入落实“一镇街一实事”工程，扎实推动镇前大街修缮提升和11村道路提升工作，切实解决</w:t>
      </w:r>
      <w:r>
        <w:rPr>
          <w:rFonts w:hint="eastAsia" w:ascii="仿宋_GB2312" w:hAnsi="仿宋_GB2312" w:eastAsia="仿宋_GB2312" w:cs="仿宋_GB2312"/>
          <w:color w:val="auto"/>
          <w:sz w:val="32"/>
          <w:szCs w:val="32"/>
          <w:lang w:val="en-US" w:eastAsia="zh-CN"/>
        </w:rPr>
        <w:t>了人民群众的烦心事、闹心事，做到了民心工程暖民心。</w:t>
      </w:r>
      <w:r>
        <w:rPr>
          <w:rFonts w:hint="eastAsia" w:ascii="仿宋_GB2312" w:hAnsi="仿宋_GB2312" w:eastAsia="仿宋_GB2312" w:cs="仿宋_GB2312"/>
          <w:b w:val="0"/>
          <w:bCs/>
          <w:kern w:val="0"/>
          <w:sz w:val="32"/>
          <w:szCs w:val="32"/>
          <w:highlight w:val="none"/>
          <w:lang w:val="en-US" w:eastAsia="zh-CN"/>
        </w:rPr>
        <w:t>三是安全形势更稳定。</w:t>
      </w:r>
      <w:r>
        <w:rPr>
          <w:rFonts w:hint="eastAsia" w:ascii="仿宋_GB2312" w:hAnsi="仿宋_GB2312" w:eastAsia="仿宋_GB2312" w:cs="仿宋_GB2312"/>
          <w:bCs/>
          <w:kern w:val="0"/>
          <w:sz w:val="32"/>
          <w:szCs w:val="32"/>
          <w:highlight w:val="none"/>
          <w:lang w:val="en-US" w:eastAsia="zh-CN"/>
        </w:rPr>
        <w:t>持续推进市域社会治理现代化，常态化开展扫黑除恶专项斗争，严厉打击电信网络诈骗和非法集资等违法行为。组织消防安全、应急处置、防汛演练、法治常识宣讲、国家安全等专项培训、演练30余场，培训6000余人；食品药品、安全生产、森林防火等各领域安全防线更加稳固，全年未发生重大安全生产事故；深入推进信访积案排查化解工作，</w:t>
      </w:r>
      <w:r>
        <w:rPr>
          <w:rFonts w:hint="eastAsia" w:ascii="仿宋_GB2312" w:hAnsi="仿宋_GB2312" w:eastAsia="仿宋_GB2312" w:cs="仿宋_GB2312"/>
          <w:sz w:val="32"/>
          <w:szCs w:val="32"/>
          <w:lang w:val="en-US" w:eastAsia="zh-CN"/>
        </w:rPr>
        <w:t>全年共受理信访事项52件，其中包括中央巡视组交办的12件，已办结47件，成功化解8件信访积案并达成息诉罢访协议，依法打击信访重点人员1名，有效维护了信访秩序。2025年度李村镇实现进京访“零登记”、赴省集体访“零登记”，国家信访局“四应四不”督办件“零发生”，复查与复核质效均达到100%，法定程序办理不服率及办结后不服率均为0%。</w:t>
      </w:r>
    </w:p>
    <w:p w14:paraId="41AE86DF">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EB53A1F">
      <w:pPr>
        <w:spacing w:line="560" w:lineRule="exact"/>
        <w:ind w:firstLine="640" w:firstLineChars="200"/>
        <w:rPr>
          <w:rFonts w:ascii="仿宋" w:hAnsi="仿宋" w:eastAsia="仿宋"/>
          <w:sz w:val="32"/>
          <w:szCs w:val="32"/>
        </w:rPr>
      </w:pPr>
      <w:r>
        <w:rPr>
          <w:rFonts w:hint="eastAsia" w:ascii="仿宋" w:hAnsi="仿宋" w:eastAsia="仿宋"/>
          <w:sz w:val="32"/>
          <w:szCs w:val="32"/>
        </w:rPr>
        <w:t>根据预算绩效管理要求，我单位组织对</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w:t>
      </w:r>
      <w:r>
        <w:rPr>
          <w:rFonts w:ascii="仿宋" w:hAnsi="仿宋" w:eastAsia="仿宋"/>
          <w:sz w:val="32"/>
          <w:szCs w:val="32"/>
        </w:rPr>
        <w:t>4</w:t>
      </w:r>
      <w:r>
        <w:rPr>
          <w:rFonts w:hint="eastAsia" w:ascii="仿宋" w:hAnsi="仿宋" w:eastAsia="仿宋"/>
          <w:sz w:val="32"/>
          <w:szCs w:val="32"/>
          <w:lang w:val="en-US" w:eastAsia="zh-CN"/>
        </w:rPr>
        <w:t>6</w:t>
      </w:r>
      <w:r>
        <w:rPr>
          <w:rFonts w:hint="eastAsia" w:ascii="仿宋" w:hAnsi="仿宋" w:eastAsia="仿宋"/>
          <w:sz w:val="32"/>
          <w:szCs w:val="32"/>
        </w:rPr>
        <w:t>个预算项目全面开展绩效自评</w:t>
      </w:r>
      <w:r>
        <w:rPr>
          <w:rFonts w:hint="eastAsia" w:ascii="仿宋" w:hAnsi="仿宋" w:eastAsia="仿宋"/>
          <w:sz w:val="32"/>
          <w:szCs w:val="32"/>
          <w:lang w:eastAsia="zh-CN"/>
        </w:rPr>
        <w:t>，</w:t>
      </w:r>
      <w:r>
        <w:rPr>
          <w:rFonts w:hint="eastAsia" w:ascii="仿宋" w:hAnsi="仿宋" w:eastAsia="仿宋"/>
          <w:sz w:val="32"/>
          <w:szCs w:val="32"/>
        </w:rPr>
        <w:t>共涉及资金</w:t>
      </w:r>
      <w:r>
        <w:rPr>
          <w:rFonts w:hint="eastAsia" w:ascii="仿宋" w:hAnsi="仿宋" w:eastAsia="仿宋"/>
          <w:sz w:val="32"/>
          <w:szCs w:val="32"/>
          <w:lang w:val="en-US" w:eastAsia="zh-CN"/>
        </w:rPr>
        <w:t>3606.71</w:t>
      </w:r>
      <w:r>
        <w:rPr>
          <w:rFonts w:hint="eastAsia" w:ascii="仿宋" w:hAnsi="仿宋" w:eastAsia="仿宋"/>
          <w:sz w:val="32"/>
          <w:szCs w:val="32"/>
        </w:rPr>
        <w:t>万元。其中评价等级为“优”项目</w:t>
      </w:r>
      <w:r>
        <w:rPr>
          <w:rFonts w:hint="eastAsia" w:ascii="仿宋" w:hAnsi="仿宋" w:eastAsia="仿宋"/>
          <w:sz w:val="32"/>
          <w:szCs w:val="32"/>
          <w:lang w:val="en-US" w:eastAsia="zh-CN"/>
        </w:rPr>
        <w:t>44</w:t>
      </w:r>
      <w:r>
        <w:rPr>
          <w:rFonts w:hint="eastAsia" w:ascii="仿宋" w:hAnsi="仿宋" w:eastAsia="仿宋"/>
          <w:sz w:val="32"/>
          <w:szCs w:val="32"/>
        </w:rPr>
        <w:t>个，评优率为</w:t>
      </w:r>
      <w:r>
        <w:rPr>
          <w:rFonts w:hint="eastAsia" w:ascii="仿宋" w:hAnsi="仿宋" w:eastAsia="仿宋"/>
          <w:sz w:val="32"/>
          <w:szCs w:val="32"/>
          <w:lang w:val="en-US" w:eastAsia="zh-CN"/>
        </w:rPr>
        <w:t>95.2</w:t>
      </w:r>
      <w:r>
        <w:rPr>
          <w:rFonts w:ascii="仿宋" w:hAnsi="仿宋" w:eastAsia="仿宋"/>
          <w:sz w:val="32"/>
          <w:szCs w:val="32"/>
        </w:rPr>
        <w:t>%</w:t>
      </w:r>
      <w:r>
        <w:rPr>
          <w:rFonts w:hint="eastAsia" w:ascii="仿宋" w:hAnsi="仿宋" w:eastAsia="仿宋"/>
          <w:sz w:val="32"/>
          <w:szCs w:val="32"/>
        </w:rPr>
        <w:t>；评价等级为“良”项目</w:t>
      </w:r>
      <w:r>
        <w:rPr>
          <w:rFonts w:hint="eastAsia" w:ascii="仿宋" w:hAnsi="仿宋" w:eastAsia="仿宋"/>
          <w:sz w:val="32"/>
          <w:szCs w:val="32"/>
          <w:lang w:val="en-US" w:eastAsia="zh-CN"/>
        </w:rPr>
        <w:t>1</w:t>
      </w:r>
      <w:r>
        <w:rPr>
          <w:rFonts w:hint="eastAsia" w:ascii="仿宋" w:hAnsi="仿宋" w:eastAsia="仿宋"/>
          <w:sz w:val="32"/>
          <w:szCs w:val="32"/>
        </w:rPr>
        <w:t>个，评优率为</w:t>
      </w:r>
      <w:r>
        <w:rPr>
          <w:rFonts w:hint="eastAsia" w:ascii="仿宋" w:hAnsi="仿宋" w:eastAsia="仿宋"/>
          <w:sz w:val="32"/>
          <w:szCs w:val="32"/>
          <w:lang w:val="en-US" w:eastAsia="zh-CN"/>
        </w:rPr>
        <w:t>2.2</w:t>
      </w:r>
      <w:r>
        <w:rPr>
          <w:rFonts w:ascii="仿宋" w:hAnsi="仿宋" w:eastAsia="仿宋"/>
          <w:sz w:val="32"/>
          <w:szCs w:val="32"/>
        </w:rPr>
        <w:t>%</w:t>
      </w:r>
      <w:r>
        <w:rPr>
          <w:rFonts w:hint="eastAsia" w:ascii="仿宋" w:hAnsi="仿宋" w:eastAsia="仿宋"/>
          <w:sz w:val="32"/>
          <w:szCs w:val="32"/>
          <w:lang w:val="en-US" w:eastAsia="zh-CN"/>
        </w:rPr>
        <w:t>;</w:t>
      </w:r>
      <w:r>
        <w:rPr>
          <w:rFonts w:hint="eastAsia" w:ascii="仿宋" w:hAnsi="仿宋" w:eastAsia="仿宋"/>
          <w:sz w:val="32"/>
          <w:szCs w:val="32"/>
        </w:rPr>
        <w:t>评价等级为“</w:t>
      </w:r>
      <w:r>
        <w:rPr>
          <w:rFonts w:hint="eastAsia" w:ascii="仿宋" w:hAnsi="仿宋" w:eastAsia="仿宋"/>
          <w:sz w:val="32"/>
          <w:szCs w:val="32"/>
          <w:lang w:eastAsia="zh-CN"/>
        </w:rPr>
        <w:t>一般</w:t>
      </w:r>
      <w:r>
        <w:rPr>
          <w:rFonts w:hint="eastAsia" w:ascii="仿宋" w:hAnsi="仿宋" w:eastAsia="仿宋"/>
          <w:sz w:val="32"/>
          <w:szCs w:val="32"/>
        </w:rPr>
        <w:t>”项目</w:t>
      </w:r>
      <w:r>
        <w:rPr>
          <w:rFonts w:hint="eastAsia" w:ascii="仿宋" w:hAnsi="仿宋" w:eastAsia="仿宋"/>
          <w:sz w:val="32"/>
          <w:szCs w:val="32"/>
          <w:lang w:val="en-US" w:eastAsia="zh-CN"/>
        </w:rPr>
        <w:t>1</w:t>
      </w:r>
      <w:r>
        <w:rPr>
          <w:rFonts w:hint="eastAsia" w:ascii="仿宋" w:hAnsi="仿宋" w:eastAsia="仿宋"/>
          <w:sz w:val="32"/>
          <w:szCs w:val="32"/>
        </w:rPr>
        <w:t>个，评优率为</w:t>
      </w:r>
      <w:r>
        <w:rPr>
          <w:rFonts w:hint="eastAsia" w:ascii="仿宋" w:hAnsi="仿宋" w:eastAsia="仿宋"/>
          <w:sz w:val="32"/>
          <w:szCs w:val="32"/>
          <w:lang w:val="en-US" w:eastAsia="zh-CN"/>
        </w:rPr>
        <w:t>2.2</w:t>
      </w:r>
      <w:r>
        <w:rPr>
          <w:rFonts w:ascii="仿宋" w:hAnsi="仿宋" w:eastAsia="仿宋"/>
          <w:sz w:val="32"/>
          <w:szCs w:val="32"/>
        </w:rPr>
        <w:t>%</w:t>
      </w:r>
      <w:r>
        <w:rPr>
          <w:rFonts w:hint="eastAsia" w:ascii="仿宋" w:hAnsi="仿宋" w:eastAsia="仿宋"/>
          <w:sz w:val="32"/>
          <w:szCs w:val="32"/>
        </w:rPr>
        <w:t>。</w:t>
      </w:r>
    </w:p>
    <w:p w14:paraId="432258C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评价等级为“优”的</w:t>
      </w:r>
      <w:r>
        <w:rPr>
          <w:rFonts w:hint="eastAsia" w:ascii="仿宋" w:hAnsi="仿宋" w:eastAsia="仿宋"/>
          <w:sz w:val="32"/>
          <w:szCs w:val="32"/>
          <w:lang w:val="en-US" w:eastAsia="zh-CN"/>
        </w:rPr>
        <w:t>44</w:t>
      </w:r>
      <w:r>
        <w:rPr>
          <w:rFonts w:hint="eastAsia" w:ascii="仿宋" w:hAnsi="仿宋" w:eastAsia="仿宋"/>
          <w:sz w:val="32"/>
          <w:szCs w:val="32"/>
        </w:rPr>
        <w:t>个项目，</w:t>
      </w:r>
      <w:r>
        <w:rPr>
          <w:rFonts w:hint="eastAsia" w:ascii="仿宋" w:hAnsi="仿宋" w:eastAsia="仿宋"/>
          <w:sz w:val="32"/>
          <w:szCs w:val="32"/>
          <w:lang w:val="en-US" w:eastAsia="zh-CN"/>
        </w:rPr>
        <w:t>其中20个项目的</w:t>
      </w:r>
      <w:r>
        <w:rPr>
          <w:rFonts w:hint="eastAsia" w:ascii="仿宋" w:hAnsi="仿宋" w:eastAsia="仿宋"/>
          <w:sz w:val="32"/>
          <w:szCs w:val="32"/>
        </w:rPr>
        <w:t>预算执行率</w:t>
      </w:r>
      <w:r>
        <w:rPr>
          <w:rFonts w:ascii="仿宋" w:hAnsi="仿宋" w:eastAsia="仿宋"/>
          <w:sz w:val="32"/>
          <w:szCs w:val="32"/>
        </w:rPr>
        <w:t>100%</w:t>
      </w:r>
      <w:r>
        <w:rPr>
          <w:rFonts w:hint="eastAsia" w:ascii="仿宋" w:hAnsi="仿宋" w:eastAsia="仿宋"/>
          <w:sz w:val="32"/>
          <w:szCs w:val="32"/>
        </w:rPr>
        <w:t>，</w:t>
      </w:r>
      <w:r>
        <w:rPr>
          <w:rFonts w:hint="eastAsia" w:ascii="仿宋" w:hAnsi="仿宋" w:eastAsia="仿宋"/>
          <w:sz w:val="32"/>
          <w:szCs w:val="32"/>
          <w:lang w:val="en-US" w:eastAsia="zh-CN"/>
        </w:rPr>
        <w:t>13个项目预算执行率大于0%小于100%，其余11个项目</w:t>
      </w:r>
      <w:r>
        <w:rPr>
          <w:rFonts w:hint="eastAsia" w:ascii="仿宋" w:hAnsi="仿宋" w:eastAsia="仿宋"/>
          <w:sz w:val="32"/>
          <w:szCs w:val="32"/>
        </w:rPr>
        <w:t>预算执行率</w:t>
      </w:r>
      <w:r>
        <w:rPr>
          <w:rFonts w:hint="eastAsia" w:ascii="仿宋" w:hAnsi="仿宋" w:eastAsia="仿宋"/>
          <w:sz w:val="32"/>
          <w:szCs w:val="32"/>
          <w:lang w:val="en-US" w:eastAsia="zh-CN"/>
        </w:rPr>
        <w:t>0</w:t>
      </w:r>
      <w:r>
        <w:rPr>
          <w:rFonts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lang w:val="en-US" w:eastAsia="zh-CN"/>
        </w:rPr>
        <w:t>但项目</w:t>
      </w:r>
      <w:r>
        <w:rPr>
          <w:rFonts w:hint="eastAsia" w:ascii="仿宋" w:hAnsi="仿宋" w:eastAsia="仿宋"/>
          <w:sz w:val="32"/>
          <w:szCs w:val="32"/>
        </w:rPr>
        <w:t>绩效目标、指标均全部完成，完成数量、质量、时效、成本、效益等方面全部完成预期指标值</w:t>
      </w:r>
      <w:r>
        <w:rPr>
          <w:rFonts w:hint="eastAsia" w:ascii="仿宋" w:hAnsi="仿宋" w:eastAsia="仿宋"/>
          <w:sz w:val="32"/>
          <w:szCs w:val="32"/>
          <w:lang w:eastAsia="zh-CN"/>
        </w:rPr>
        <w:t>；</w:t>
      </w:r>
      <w:r>
        <w:rPr>
          <w:rFonts w:hint="eastAsia" w:ascii="仿宋" w:hAnsi="仿宋" w:eastAsia="仿宋"/>
          <w:sz w:val="32"/>
          <w:szCs w:val="32"/>
        </w:rPr>
        <w:t>评价等级为“良”的</w:t>
      </w:r>
      <w:r>
        <w:rPr>
          <w:rFonts w:hint="eastAsia" w:ascii="仿宋" w:hAnsi="仿宋" w:eastAsia="仿宋"/>
          <w:sz w:val="32"/>
          <w:szCs w:val="32"/>
          <w:lang w:val="en-US" w:eastAsia="zh-CN"/>
        </w:rPr>
        <w:t>1</w:t>
      </w:r>
      <w:r>
        <w:rPr>
          <w:rFonts w:hint="eastAsia" w:ascii="仿宋" w:hAnsi="仿宋" w:eastAsia="仿宋"/>
          <w:sz w:val="32"/>
          <w:szCs w:val="32"/>
        </w:rPr>
        <w:t>个项目，为2025年区级李村镇智慧物流园区电力迁改项目，</w:t>
      </w:r>
      <w:r>
        <w:rPr>
          <w:rFonts w:hint="eastAsia" w:ascii="仿宋" w:hAnsi="仿宋" w:eastAsia="仿宋"/>
          <w:sz w:val="32"/>
          <w:szCs w:val="32"/>
          <w:lang w:val="en-US" w:eastAsia="zh-CN"/>
        </w:rPr>
        <w:t>财政年初预算数（调整后）未进行安排</w:t>
      </w:r>
      <w:r>
        <w:rPr>
          <w:rFonts w:hint="eastAsia" w:ascii="仿宋" w:hAnsi="仿宋" w:eastAsia="仿宋"/>
          <w:sz w:val="32"/>
          <w:szCs w:val="32"/>
        </w:rPr>
        <w:t>，预算执行率</w:t>
      </w:r>
      <w:r>
        <w:rPr>
          <w:rFonts w:ascii="仿宋" w:hAnsi="仿宋" w:eastAsia="仿宋"/>
          <w:sz w:val="32"/>
          <w:szCs w:val="32"/>
        </w:rPr>
        <w:t>0%</w:t>
      </w:r>
      <w:r>
        <w:rPr>
          <w:rFonts w:hint="eastAsia" w:ascii="仿宋" w:hAnsi="仿宋" w:eastAsia="仿宋"/>
          <w:sz w:val="32"/>
          <w:szCs w:val="32"/>
        </w:rPr>
        <w:t>，绩效目标全部完成，完成数量、质量、时效等方面全部完成预期指标值，评价结果良好</w:t>
      </w:r>
      <w:r>
        <w:rPr>
          <w:rFonts w:hint="eastAsia" w:ascii="仿宋" w:hAnsi="仿宋" w:eastAsia="仿宋"/>
          <w:sz w:val="32"/>
          <w:szCs w:val="32"/>
          <w:lang w:eastAsia="zh-CN"/>
        </w:rPr>
        <w:t>。</w:t>
      </w:r>
      <w:r>
        <w:rPr>
          <w:rFonts w:hint="eastAsia" w:ascii="仿宋" w:hAnsi="仿宋" w:eastAsia="仿宋"/>
          <w:sz w:val="32"/>
          <w:szCs w:val="32"/>
        </w:rPr>
        <w:t>评价等级为“</w:t>
      </w:r>
      <w:r>
        <w:rPr>
          <w:rFonts w:hint="eastAsia" w:ascii="仿宋" w:hAnsi="仿宋" w:eastAsia="仿宋"/>
          <w:sz w:val="32"/>
          <w:szCs w:val="32"/>
          <w:lang w:eastAsia="zh-CN"/>
        </w:rPr>
        <w:t>一般</w:t>
      </w:r>
      <w:r>
        <w:rPr>
          <w:rFonts w:hint="eastAsia" w:ascii="仿宋" w:hAnsi="仿宋" w:eastAsia="仿宋"/>
          <w:sz w:val="32"/>
          <w:szCs w:val="32"/>
        </w:rPr>
        <w:t>”的</w:t>
      </w:r>
      <w:r>
        <w:rPr>
          <w:rFonts w:hint="eastAsia" w:ascii="仿宋" w:hAnsi="仿宋" w:eastAsia="仿宋"/>
          <w:sz w:val="32"/>
          <w:szCs w:val="32"/>
          <w:lang w:val="en-US" w:eastAsia="zh-CN"/>
        </w:rPr>
        <w:t>1</w:t>
      </w:r>
      <w:r>
        <w:rPr>
          <w:rFonts w:hint="eastAsia" w:ascii="仿宋" w:hAnsi="仿宋" w:eastAsia="仿宋"/>
          <w:sz w:val="32"/>
          <w:szCs w:val="32"/>
        </w:rPr>
        <w:t>个项目，为</w:t>
      </w:r>
      <w:r>
        <w:rPr>
          <w:rFonts w:hint="eastAsia" w:ascii="仿宋" w:hAnsi="仿宋" w:eastAsia="仿宋"/>
          <w:sz w:val="32"/>
          <w:szCs w:val="32"/>
          <w:lang w:val="en-US" w:eastAsia="zh-CN"/>
        </w:rPr>
        <w:t>区级2025李村镇解决李村村东排水沟坍塌及生活污水处理、维修改造项目</w:t>
      </w:r>
      <w:r>
        <w:rPr>
          <w:rFonts w:hint="eastAsia" w:ascii="仿宋" w:hAnsi="仿宋" w:eastAsia="仿宋"/>
          <w:sz w:val="32"/>
          <w:szCs w:val="32"/>
        </w:rPr>
        <w:t>，</w:t>
      </w:r>
      <w:r>
        <w:rPr>
          <w:rFonts w:hint="eastAsia" w:ascii="仿宋" w:hAnsi="仿宋" w:eastAsia="仿宋"/>
          <w:sz w:val="32"/>
          <w:szCs w:val="32"/>
          <w:lang w:val="en-US" w:eastAsia="zh-CN"/>
        </w:rPr>
        <w:t>该项目在年底才列项安排</w:t>
      </w:r>
      <w:r>
        <w:rPr>
          <w:rFonts w:hint="eastAsia" w:ascii="仿宋" w:hAnsi="仿宋" w:eastAsia="仿宋"/>
          <w:sz w:val="32"/>
          <w:szCs w:val="32"/>
        </w:rPr>
        <w:t>，</w:t>
      </w:r>
      <w:r>
        <w:rPr>
          <w:rFonts w:hint="eastAsia" w:ascii="仿宋" w:hAnsi="仿宋" w:eastAsia="仿宋"/>
          <w:sz w:val="32"/>
          <w:szCs w:val="32"/>
          <w:lang w:eastAsia="zh-CN"/>
        </w:rPr>
        <w:t>完成项目立项的一系列前期招投标程序，没有开展下一步，预计</w:t>
      </w:r>
      <w:r>
        <w:rPr>
          <w:rFonts w:hint="eastAsia" w:ascii="仿宋" w:hAnsi="仿宋" w:eastAsia="仿宋"/>
          <w:sz w:val="32"/>
          <w:szCs w:val="32"/>
          <w:lang w:val="en-US" w:eastAsia="zh-CN"/>
        </w:rPr>
        <w:t>2026年才入场施工，该项目已列入2026年预算</w:t>
      </w:r>
      <w:r>
        <w:rPr>
          <w:rFonts w:hint="eastAsia" w:ascii="仿宋" w:hAnsi="仿宋" w:eastAsia="仿宋"/>
          <w:sz w:val="32"/>
          <w:szCs w:val="32"/>
          <w:lang w:eastAsia="zh-CN"/>
        </w:rPr>
        <w:t>。</w:t>
      </w:r>
      <w:r>
        <w:rPr>
          <w:rFonts w:hint="eastAsia" w:ascii="仿宋" w:hAnsi="仿宋" w:eastAsia="仿宋"/>
          <w:sz w:val="32"/>
          <w:szCs w:val="32"/>
        </w:rPr>
        <w:t>下一步</w:t>
      </w:r>
      <w:r>
        <w:rPr>
          <w:rFonts w:hint="eastAsia" w:ascii="仿宋" w:hAnsi="仿宋" w:eastAsia="仿宋"/>
          <w:sz w:val="32"/>
          <w:szCs w:val="32"/>
          <w:lang w:val="en-US" w:eastAsia="zh-CN"/>
        </w:rPr>
        <w:t>将积极与财政部门对接，</w:t>
      </w:r>
      <w:r>
        <w:rPr>
          <w:rFonts w:hint="eastAsia" w:ascii="仿宋" w:hAnsi="仿宋" w:eastAsia="仿宋"/>
          <w:sz w:val="32"/>
          <w:szCs w:val="32"/>
        </w:rPr>
        <w:t>优化</w:t>
      </w:r>
      <w:r>
        <w:rPr>
          <w:rFonts w:hint="eastAsia" w:ascii="仿宋" w:hAnsi="仿宋" w:eastAsia="仿宋"/>
          <w:sz w:val="32"/>
          <w:szCs w:val="32"/>
          <w:lang w:val="en-US" w:eastAsia="zh-CN"/>
        </w:rPr>
        <w:t>调整</w:t>
      </w:r>
      <w:r>
        <w:rPr>
          <w:rFonts w:hint="eastAsia" w:ascii="仿宋" w:hAnsi="仿宋" w:eastAsia="仿宋"/>
          <w:sz w:val="32"/>
          <w:szCs w:val="32"/>
        </w:rPr>
        <w:t>支出结构，加强预算与实际支出的测算精度，确保绩效目标如期保质实现。</w:t>
      </w:r>
    </w:p>
    <w:p w14:paraId="6FB4EA43">
      <w:pPr>
        <w:spacing w:line="560" w:lineRule="exact"/>
        <w:ind w:firstLine="640" w:firstLineChars="200"/>
        <w:rPr>
          <w:rFonts w:ascii="仿宋" w:hAnsi="仿宋" w:eastAsia="仿宋"/>
          <w:sz w:val="32"/>
          <w:szCs w:val="32"/>
        </w:rPr>
      </w:pPr>
      <w:r>
        <w:rPr>
          <w:rFonts w:hint="eastAsia" w:ascii="仿宋" w:hAnsi="仿宋" w:eastAsia="仿宋"/>
          <w:sz w:val="32"/>
          <w:szCs w:val="32"/>
        </w:rPr>
        <w:t>绩效自评情况详见下表。</w:t>
      </w:r>
    </w:p>
    <w:p w14:paraId="33FA346C">
      <w:pPr>
        <w:spacing w:line="560" w:lineRule="exact"/>
        <w:ind w:firstLine="640" w:firstLineChars="200"/>
        <w:rPr>
          <w:rFonts w:hint="eastAsia" w:ascii="仿宋" w:hAnsi="仿宋" w:eastAsia="仿宋"/>
          <w:sz w:val="32"/>
          <w:szCs w:val="32"/>
        </w:rPr>
      </w:pPr>
    </w:p>
    <w:p w14:paraId="0B0BBEB5">
      <w:pPr>
        <w:spacing w:line="560" w:lineRule="exact"/>
        <w:ind w:firstLine="640" w:firstLineChars="200"/>
        <w:rPr>
          <w:rFonts w:hint="eastAsia" w:ascii="仿宋" w:hAnsi="仿宋" w:eastAsia="仿宋"/>
          <w:sz w:val="32"/>
          <w:szCs w:val="32"/>
        </w:rPr>
      </w:pPr>
    </w:p>
    <w:p w14:paraId="7BACECAF">
      <w:pPr>
        <w:spacing w:line="560" w:lineRule="exact"/>
        <w:ind w:firstLine="640" w:firstLineChars="200"/>
        <w:rPr>
          <w:rFonts w:hint="eastAsia" w:ascii="仿宋" w:hAnsi="仿宋" w:eastAsia="仿宋"/>
          <w:sz w:val="32"/>
          <w:szCs w:val="32"/>
        </w:rPr>
      </w:pPr>
    </w:p>
    <w:p w14:paraId="5EEF2B44">
      <w:pPr>
        <w:spacing w:line="560" w:lineRule="exact"/>
        <w:ind w:firstLine="640" w:firstLineChars="200"/>
        <w:rPr>
          <w:rFonts w:hint="eastAsia" w:ascii="仿宋" w:hAnsi="仿宋" w:eastAsia="仿宋"/>
          <w:sz w:val="32"/>
          <w:szCs w:val="32"/>
        </w:rPr>
      </w:pPr>
    </w:p>
    <w:p w14:paraId="18ECF0B4">
      <w:pPr>
        <w:spacing w:line="560" w:lineRule="exact"/>
        <w:rPr>
          <w:rFonts w:hint="eastAsia" w:ascii="仿宋" w:hAnsi="仿宋" w:eastAsia="仿宋"/>
          <w:sz w:val="32"/>
          <w:szCs w:val="32"/>
        </w:rPr>
        <w:sectPr>
          <w:footerReference r:id="rId3" w:type="default"/>
          <w:pgSz w:w="11906" w:h="16838"/>
          <w:pgMar w:top="1440" w:right="1474" w:bottom="1440" w:left="1587" w:header="851" w:footer="992" w:gutter="0"/>
          <w:pgNumType w:fmt="numberInDash"/>
          <w:cols w:space="0" w:num="1"/>
          <w:docGrid w:type="lines" w:linePitch="312" w:charSpace="0"/>
        </w:sectPr>
      </w:pPr>
    </w:p>
    <w:tbl>
      <w:tblPr>
        <w:tblStyle w:val="6"/>
        <w:tblW w:w="15677"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6"/>
        <w:gridCol w:w="3076"/>
        <w:gridCol w:w="1860"/>
        <w:gridCol w:w="450"/>
        <w:gridCol w:w="555"/>
        <w:gridCol w:w="390"/>
        <w:gridCol w:w="1320"/>
        <w:gridCol w:w="480"/>
        <w:gridCol w:w="570"/>
        <w:gridCol w:w="570"/>
        <w:gridCol w:w="1410"/>
        <w:gridCol w:w="1260"/>
        <w:gridCol w:w="1245"/>
        <w:gridCol w:w="690"/>
        <w:gridCol w:w="1095"/>
      </w:tblGrid>
      <w:tr w14:paraId="34838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4582" w:type="dxa"/>
            <w:gridSpan w:val="14"/>
            <w:tcBorders>
              <w:top w:val="nil"/>
              <w:left w:val="nil"/>
              <w:bottom w:val="nil"/>
              <w:right w:val="nil"/>
            </w:tcBorders>
            <w:shd w:val="clear" w:color="auto" w:fill="auto"/>
            <w:noWrap/>
            <w:vAlign w:val="center"/>
          </w:tcPr>
          <w:p w14:paraId="1768198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部门绩效自评结果公开汇总表</w:t>
            </w:r>
          </w:p>
        </w:tc>
        <w:tc>
          <w:tcPr>
            <w:tcW w:w="1095" w:type="dxa"/>
            <w:tcBorders>
              <w:top w:val="nil"/>
              <w:left w:val="nil"/>
              <w:bottom w:val="nil"/>
              <w:right w:val="nil"/>
            </w:tcBorders>
            <w:shd w:val="clear" w:color="auto" w:fill="auto"/>
            <w:noWrap/>
            <w:vAlign w:val="center"/>
          </w:tcPr>
          <w:p w14:paraId="2F1A7E6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52174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4" w:hRule="atLeast"/>
        </w:trPr>
        <w:tc>
          <w:tcPr>
            <w:tcW w:w="706" w:type="dxa"/>
            <w:tcBorders>
              <w:top w:val="nil"/>
              <w:left w:val="nil"/>
              <w:bottom w:val="nil"/>
              <w:right w:val="nil"/>
            </w:tcBorders>
            <w:shd w:val="clear" w:color="auto" w:fill="auto"/>
            <w:noWrap/>
            <w:vAlign w:val="center"/>
          </w:tcPr>
          <w:p w14:paraId="243C3AD0">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3076" w:type="dxa"/>
            <w:tcBorders>
              <w:top w:val="nil"/>
              <w:left w:val="nil"/>
              <w:bottom w:val="nil"/>
              <w:right w:val="nil"/>
            </w:tcBorders>
            <w:shd w:val="clear" w:color="auto" w:fill="auto"/>
            <w:vAlign w:val="center"/>
          </w:tcPr>
          <w:p w14:paraId="7322758C">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860" w:type="dxa"/>
            <w:tcBorders>
              <w:top w:val="nil"/>
              <w:left w:val="nil"/>
              <w:bottom w:val="nil"/>
              <w:right w:val="nil"/>
            </w:tcBorders>
            <w:shd w:val="clear" w:color="auto" w:fill="auto"/>
            <w:noWrap/>
            <w:vAlign w:val="center"/>
          </w:tcPr>
          <w:p w14:paraId="610B44DB">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450" w:type="dxa"/>
            <w:tcBorders>
              <w:top w:val="nil"/>
              <w:left w:val="nil"/>
              <w:bottom w:val="nil"/>
              <w:right w:val="nil"/>
            </w:tcBorders>
            <w:shd w:val="clear" w:color="auto" w:fill="auto"/>
            <w:noWrap/>
            <w:vAlign w:val="center"/>
          </w:tcPr>
          <w:p w14:paraId="2A070083">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555" w:type="dxa"/>
            <w:tcBorders>
              <w:top w:val="nil"/>
              <w:left w:val="nil"/>
              <w:bottom w:val="nil"/>
              <w:right w:val="nil"/>
            </w:tcBorders>
            <w:shd w:val="clear" w:color="auto" w:fill="auto"/>
            <w:noWrap/>
            <w:vAlign w:val="center"/>
          </w:tcPr>
          <w:p w14:paraId="1C05397E">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390" w:type="dxa"/>
            <w:tcBorders>
              <w:top w:val="nil"/>
              <w:left w:val="nil"/>
              <w:bottom w:val="nil"/>
              <w:right w:val="nil"/>
            </w:tcBorders>
            <w:shd w:val="clear" w:color="auto" w:fill="auto"/>
            <w:noWrap/>
            <w:vAlign w:val="center"/>
          </w:tcPr>
          <w:p w14:paraId="03728CB6">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320" w:type="dxa"/>
            <w:tcBorders>
              <w:top w:val="nil"/>
              <w:left w:val="nil"/>
              <w:bottom w:val="nil"/>
              <w:right w:val="nil"/>
            </w:tcBorders>
            <w:shd w:val="clear" w:color="auto" w:fill="auto"/>
            <w:noWrap/>
            <w:vAlign w:val="center"/>
          </w:tcPr>
          <w:p w14:paraId="030B3CFA">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480" w:type="dxa"/>
            <w:tcBorders>
              <w:top w:val="nil"/>
              <w:left w:val="nil"/>
              <w:bottom w:val="nil"/>
              <w:right w:val="nil"/>
            </w:tcBorders>
            <w:shd w:val="clear" w:color="auto" w:fill="auto"/>
            <w:noWrap/>
            <w:vAlign w:val="center"/>
          </w:tcPr>
          <w:p w14:paraId="17067EB9">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570" w:type="dxa"/>
            <w:tcBorders>
              <w:top w:val="nil"/>
              <w:left w:val="nil"/>
              <w:bottom w:val="nil"/>
              <w:right w:val="nil"/>
            </w:tcBorders>
            <w:shd w:val="clear" w:color="auto" w:fill="auto"/>
            <w:noWrap/>
            <w:vAlign w:val="center"/>
          </w:tcPr>
          <w:p w14:paraId="4D19EC66">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570" w:type="dxa"/>
            <w:tcBorders>
              <w:top w:val="nil"/>
              <w:left w:val="nil"/>
              <w:bottom w:val="nil"/>
              <w:right w:val="nil"/>
            </w:tcBorders>
            <w:shd w:val="clear" w:color="auto" w:fill="auto"/>
            <w:noWrap/>
            <w:vAlign w:val="center"/>
          </w:tcPr>
          <w:p w14:paraId="02FD4BD9">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410" w:type="dxa"/>
            <w:tcBorders>
              <w:top w:val="nil"/>
              <w:left w:val="nil"/>
              <w:bottom w:val="nil"/>
              <w:right w:val="nil"/>
            </w:tcBorders>
            <w:shd w:val="clear" w:color="auto" w:fill="auto"/>
            <w:noWrap/>
            <w:vAlign w:val="center"/>
          </w:tcPr>
          <w:p w14:paraId="283A0B45">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260" w:type="dxa"/>
            <w:tcBorders>
              <w:top w:val="nil"/>
              <w:left w:val="nil"/>
              <w:bottom w:val="nil"/>
              <w:right w:val="nil"/>
            </w:tcBorders>
            <w:shd w:val="clear" w:color="auto" w:fill="auto"/>
            <w:noWrap/>
            <w:vAlign w:val="center"/>
          </w:tcPr>
          <w:p w14:paraId="3BCA7811">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245" w:type="dxa"/>
            <w:tcBorders>
              <w:top w:val="nil"/>
              <w:left w:val="nil"/>
              <w:bottom w:val="nil"/>
              <w:right w:val="nil"/>
            </w:tcBorders>
            <w:shd w:val="clear" w:color="auto" w:fill="auto"/>
            <w:noWrap/>
            <w:vAlign w:val="center"/>
          </w:tcPr>
          <w:p w14:paraId="19291B6E">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690" w:type="dxa"/>
            <w:tcBorders>
              <w:top w:val="nil"/>
              <w:left w:val="nil"/>
              <w:bottom w:val="nil"/>
              <w:right w:val="nil"/>
            </w:tcBorders>
            <w:shd w:val="clear" w:color="auto" w:fill="auto"/>
            <w:noWrap/>
            <w:vAlign w:val="center"/>
          </w:tcPr>
          <w:p w14:paraId="5F85E330">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44"/>
                <w:szCs w:val="44"/>
                <w:u w:val="none"/>
              </w:rPr>
            </w:pPr>
          </w:p>
        </w:tc>
        <w:tc>
          <w:tcPr>
            <w:tcW w:w="1095" w:type="dxa"/>
            <w:tcBorders>
              <w:top w:val="nil"/>
              <w:left w:val="nil"/>
              <w:bottom w:val="nil"/>
              <w:right w:val="nil"/>
            </w:tcBorders>
            <w:shd w:val="clear" w:color="auto" w:fill="auto"/>
            <w:noWrap/>
            <w:vAlign w:val="center"/>
          </w:tcPr>
          <w:p w14:paraId="63FDA4A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148EB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3782" w:type="dxa"/>
            <w:gridSpan w:val="2"/>
            <w:tcBorders>
              <w:top w:val="nil"/>
              <w:left w:val="nil"/>
              <w:bottom w:val="single" w:color="000000" w:sz="4" w:space="0"/>
              <w:right w:val="nil"/>
            </w:tcBorders>
            <w:shd w:val="clear" w:color="auto" w:fill="auto"/>
            <w:vAlign w:val="center"/>
          </w:tcPr>
          <w:p w14:paraId="58562955">
            <w:pPr>
              <w:keepNext w:val="0"/>
              <w:keepLines w:val="0"/>
              <w:pageBreakBefore w:val="0"/>
              <w:widowControl/>
              <w:suppressLineNumbers w:val="0"/>
              <w:kinsoku/>
              <w:wordWrap/>
              <w:overflowPunct/>
              <w:topLinePunct w:val="0"/>
              <w:autoSpaceDE/>
              <w:autoSpaceDN/>
              <w:bidi w:val="0"/>
              <w:adjustRightInd/>
              <w:snapToGrid/>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主管部门：石家庄市鹿泉区李村镇人民政府</w:t>
            </w:r>
          </w:p>
        </w:tc>
        <w:tc>
          <w:tcPr>
            <w:tcW w:w="1860" w:type="dxa"/>
            <w:tcBorders>
              <w:top w:val="nil"/>
              <w:left w:val="nil"/>
              <w:bottom w:val="single" w:color="000000" w:sz="4" w:space="0"/>
              <w:right w:val="nil"/>
            </w:tcBorders>
            <w:shd w:val="clear" w:color="auto" w:fill="auto"/>
            <w:noWrap/>
            <w:vAlign w:val="center"/>
          </w:tcPr>
          <w:p w14:paraId="3C2187E2">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450" w:type="dxa"/>
            <w:tcBorders>
              <w:top w:val="nil"/>
              <w:left w:val="nil"/>
              <w:bottom w:val="single" w:color="000000" w:sz="4" w:space="0"/>
              <w:right w:val="nil"/>
            </w:tcBorders>
            <w:shd w:val="clear" w:color="auto" w:fill="auto"/>
            <w:noWrap/>
            <w:vAlign w:val="center"/>
          </w:tcPr>
          <w:p w14:paraId="2C0302BA">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555" w:type="dxa"/>
            <w:tcBorders>
              <w:top w:val="nil"/>
              <w:left w:val="nil"/>
              <w:bottom w:val="single" w:color="000000" w:sz="4" w:space="0"/>
              <w:right w:val="nil"/>
            </w:tcBorders>
            <w:shd w:val="clear" w:color="auto" w:fill="auto"/>
            <w:noWrap/>
            <w:vAlign w:val="center"/>
          </w:tcPr>
          <w:p w14:paraId="6471F3D4">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390" w:type="dxa"/>
            <w:tcBorders>
              <w:top w:val="nil"/>
              <w:left w:val="nil"/>
              <w:bottom w:val="single" w:color="000000" w:sz="4" w:space="0"/>
              <w:right w:val="nil"/>
            </w:tcBorders>
            <w:shd w:val="clear" w:color="auto" w:fill="auto"/>
            <w:noWrap/>
            <w:vAlign w:val="center"/>
          </w:tcPr>
          <w:p w14:paraId="797046D0">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1320" w:type="dxa"/>
            <w:tcBorders>
              <w:top w:val="nil"/>
              <w:left w:val="nil"/>
              <w:bottom w:val="single" w:color="000000" w:sz="4" w:space="0"/>
              <w:right w:val="nil"/>
            </w:tcBorders>
            <w:shd w:val="clear" w:color="auto" w:fill="auto"/>
            <w:noWrap/>
            <w:vAlign w:val="center"/>
          </w:tcPr>
          <w:p w14:paraId="7F70E344">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480" w:type="dxa"/>
            <w:tcBorders>
              <w:top w:val="nil"/>
              <w:left w:val="nil"/>
              <w:bottom w:val="single" w:color="000000" w:sz="4" w:space="0"/>
              <w:right w:val="nil"/>
            </w:tcBorders>
            <w:shd w:val="clear" w:color="auto" w:fill="auto"/>
            <w:noWrap/>
            <w:vAlign w:val="center"/>
          </w:tcPr>
          <w:p w14:paraId="78AAFAA5">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570" w:type="dxa"/>
            <w:tcBorders>
              <w:top w:val="nil"/>
              <w:left w:val="nil"/>
              <w:bottom w:val="single" w:color="000000" w:sz="4" w:space="0"/>
              <w:right w:val="nil"/>
            </w:tcBorders>
            <w:shd w:val="clear" w:color="auto" w:fill="auto"/>
            <w:noWrap/>
            <w:vAlign w:val="center"/>
          </w:tcPr>
          <w:p w14:paraId="034B343B">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570" w:type="dxa"/>
            <w:tcBorders>
              <w:top w:val="nil"/>
              <w:left w:val="nil"/>
              <w:bottom w:val="single" w:color="000000" w:sz="4" w:space="0"/>
              <w:right w:val="nil"/>
            </w:tcBorders>
            <w:shd w:val="clear" w:color="auto" w:fill="auto"/>
            <w:noWrap/>
            <w:vAlign w:val="center"/>
          </w:tcPr>
          <w:p w14:paraId="125DD068">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1410" w:type="dxa"/>
            <w:tcBorders>
              <w:top w:val="nil"/>
              <w:left w:val="nil"/>
              <w:bottom w:val="single" w:color="000000" w:sz="4" w:space="0"/>
              <w:right w:val="nil"/>
            </w:tcBorders>
            <w:shd w:val="clear" w:color="auto" w:fill="auto"/>
            <w:noWrap/>
            <w:vAlign w:val="center"/>
          </w:tcPr>
          <w:p w14:paraId="541FDB8A">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1260" w:type="dxa"/>
            <w:tcBorders>
              <w:top w:val="nil"/>
              <w:left w:val="nil"/>
              <w:bottom w:val="single" w:color="000000" w:sz="4" w:space="0"/>
              <w:right w:val="nil"/>
            </w:tcBorders>
            <w:shd w:val="clear" w:color="auto" w:fill="auto"/>
            <w:noWrap/>
            <w:vAlign w:val="center"/>
          </w:tcPr>
          <w:p w14:paraId="05D12E81">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2"/>
                <w:szCs w:val="22"/>
                <w:u w:val="none"/>
              </w:rPr>
            </w:pPr>
          </w:p>
        </w:tc>
        <w:tc>
          <w:tcPr>
            <w:tcW w:w="1245" w:type="dxa"/>
            <w:tcBorders>
              <w:top w:val="nil"/>
              <w:left w:val="nil"/>
              <w:bottom w:val="single" w:color="000000" w:sz="4" w:space="0"/>
              <w:right w:val="nil"/>
            </w:tcBorders>
            <w:shd w:val="clear" w:color="auto" w:fill="auto"/>
            <w:noWrap/>
            <w:vAlign w:val="center"/>
          </w:tcPr>
          <w:p w14:paraId="3305B59F">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22"/>
                <w:szCs w:val="22"/>
                <w:u w:val="none"/>
              </w:rPr>
            </w:pPr>
          </w:p>
        </w:tc>
        <w:tc>
          <w:tcPr>
            <w:tcW w:w="1785" w:type="dxa"/>
            <w:gridSpan w:val="2"/>
            <w:tcBorders>
              <w:top w:val="nil"/>
              <w:left w:val="nil"/>
              <w:bottom w:val="single" w:color="000000" w:sz="4" w:space="0"/>
              <w:right w:val="nil"/>
            </w:tcBorders>
            <w:shd w:val="clear" w:color="auto" w:fill="auto"/>
            <w:noWrap/>
            <w:vAlign w:val="center"/>
          </w:tcPr>
          <w:p w14:paraId="1DF02AA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单位：万元</w:t>
            </w:r>
          </w:p>
        </w:tc>
      </w:tr>
      <w:tr w14:paraId="400AB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trPr>
        <w:tc>
          <w:tcPr>
            <w:tcW w:w="7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7839A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0DF8B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07340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271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A3D42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3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8436E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执行数（至2025年底）</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6D80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结余数</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FD01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A8DC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33CD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情况说明</w:t>
            </w:r>
          </w:p>
        </w:tc>
      </w:tr>
      <w:tr w14:paraId="34AD1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A59C4C">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657637">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B4833">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7A2C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中央</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915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省级</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1FEA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市级</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72F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县（市）区级</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7F05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中央</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EF2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省级</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802A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市级</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B3A5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县（市）区级</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EFC00">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AE492">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0ED41F">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5D2AF">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24"/>
                <w:szCs w:val="24"/>
                <w:u w:val="none"/>
              </w:rPr>
            </w:pPr>
          </w:p>
        </w:tc>
      </w:tr>
      <w:tr w14:paraId="2228A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2910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0FCD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《关于提前下达2025年革命老区转移支付预算的通知》（冀财预【2024】54号文）-李村镇南许营道路工程</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431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2679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48E1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1C89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E8E1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8F93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2BFA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1A32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513E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3CC8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83CD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FEBC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E8A4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7790D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18E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13DD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630台账</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E68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C2BA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1203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87DE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93EB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262.347781</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A924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8B7B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B3A1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4EDD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262.347781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CBCC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28F2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9192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BD4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地方政府专项债券</w:t>
            </w:r>
          </w:p>
        </w:tc>
      </w:tr>
      <w:tr w14:paraId="56928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2E45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81B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2025年区级李村镇2021年度拆违工作石闫线百尺杆段提升项目剩余资金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D14D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C196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E455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3DCD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7FF9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9658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480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F6D0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252C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EA5F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6D9E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EC65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CDB0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6C61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E4AD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020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2025年区级李村镇2021年南白砂村创建省级美丽乡村未支付工程项目的资金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ACE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6060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2863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535D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F02F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0F5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0CC8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9AB3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C315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B519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7B74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B8C9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AD65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C2BF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A9F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B9D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2025年区级李村镇办公用房维修费用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8F9C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2646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2A6C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098F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6569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E233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3D1B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E5FA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8812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2BF4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5C3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EC08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80D9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279E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8AE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0CC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2025年区级李村镇编制村庄规划资金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1EFD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4858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328D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5681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F594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5F85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41A0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4CF7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97CB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9A91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203A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CAD0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B39C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1B98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F219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CBC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2025年区级李村镇返还河北省智慧物流园项目拆迁补偿费用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C801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E4D2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E9E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909B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B676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73D7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C9CA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BF00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399B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0E5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95D6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7864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8D78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DC60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0A40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25CB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2025年区级李村镇河滩区域道路保洁管护费</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C68F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90B5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FA93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6F21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B4C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71D6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B0BE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787D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DCDD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493D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969A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CA15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9739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642BD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25E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E6F7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2025年区级李村镇机关卫生间修缮及辖区内垃圾清理费用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3C7E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CF17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21C3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F060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7E8A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10.08</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D5E2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B3AC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A45D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965C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C7A9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382E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0839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E312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525B8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95E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E57F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2025年区级李村镇京赞线胡庄段拆违后提升有关工程费用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877C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1F75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7E0E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F527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77F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10.259752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7B50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FB0F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6EAA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04C4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79CC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050E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F1FF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9A56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1A1C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CBE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D712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2025年区级李村镇临时救助备用金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913F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427D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A5AA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DD1A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4D1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855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3179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FBD8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8E93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1.992</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980D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CBB6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BEF1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2191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5238B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F9F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FEFC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2025年区级李村镇鹿泉区职教中心征占地青苗及地上附着物资金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18BB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690F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EB52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C6C4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6AE7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177.85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28CB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8CAD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806C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5C86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174.93825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CC42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2.91175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731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2.91175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393B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0A63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7D63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41F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9E4E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2025年区级李村镇南白砂村饮水管网升级改造资金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F51F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C94E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B859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39EB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2CA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6253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DF9E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0F0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6ED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083A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E73C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FBA1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881C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7D21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0A8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CC40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2025年区级李村镇年荒山荒坡土地承包费</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0397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3AA3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015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6E8A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E6B6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0.39771</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5E88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3986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9AFB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818B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B199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9C9D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F01B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B3A2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7F2BC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DB4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F2B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2025年区级李村镇农村生活垃圾清扫费用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97B6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FF2D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D01F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E079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44B6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4A68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F634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275A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0AF1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5855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7BB8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92D2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E099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4F0AC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E76E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4F80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2025年区级李村镇石津干渠截导流工程后续管理资金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B078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C107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C9DE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5A0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537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E9E3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CD01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260B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650C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7096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0E0E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DA9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19D9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1CC99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450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349A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2025年区级李村镇市级下达平安建设工作经费</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6D91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2C4E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9665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5F9E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F18E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0F54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F471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90E5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F2F5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6.96</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4063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01E5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0.04</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F31A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DB64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2C8E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99D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AA1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2025年区级李村镇室外公厕建设项目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C7CD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6876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F0EB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7215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F6FA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A5CF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C34F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B206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5B28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69F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0BDB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FEA6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A2C3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F4C2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DDE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8F98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2025年区级李村镇双同路拓宽升级工程</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0A36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C767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049D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303D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6D41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815D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7484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6265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53F2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8B3E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24C2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5267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C73A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7927B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C01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43BB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2025年区级李村镇双同路阎同段道路设计变更项目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5B2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F433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C62A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15EB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2A8D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A1EA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20C9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E8F8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01FC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CA45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D1D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65FB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B677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DB18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CFA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B08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2025年区级李村镇水系连通及农村水系综合整治试点（古运河）项目相关费用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0B17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2775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1E4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733B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F3D0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96F3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070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667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D7D5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642.713099</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13AF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22.286901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F9CB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22.286901</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DC9A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B7B3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6641E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01A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09E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2025年区级李村镇太行智慧冷链物流园项目占地地上附着物拆除、搬迁、清运等相关资金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0E45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3727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FFBD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2232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04DF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6105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C41F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D38A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1E63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6ED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7BB0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3249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4AAE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58E11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1C4A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24B0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2025年区级李村镇同阁工业区拆迁补偿款及评估费用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CB03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801F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ABAA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2563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7D2E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13D6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C186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921C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F801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0B6A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25.2</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B6E1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25.2</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77E0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3A35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A77E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1BA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BB10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2025年区级李村镇土地测绘费用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564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049C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3944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AB04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A381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D3DC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F2A8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6EB2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1B7F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FFE3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B492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1A43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0A31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0E77C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3F3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B43E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2025年区级李村镇退役军人工资</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9E8F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99AA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0119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CF5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3BB7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94.97472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BB53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8217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C94F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87A7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88.334052</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FEE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6.640668</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2D61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6.640668</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5FCC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8DDF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6100C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426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E324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2025年区级李村镇西柏坡高速道路两侧便道硬化和绿化工程</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5CA5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7ABA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23F1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7EE0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7372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604E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AB19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2F35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2602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9228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61FD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588A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A29A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5665B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F03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825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2025年区级李村镇辖区内部队返还地土地款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195F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77FC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8414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29C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EA3D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36.7346</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D04B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69A5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F5CA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1B9F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36.7346</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EFB1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9075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A150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E067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190DC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118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B122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2025年区级李村镇智慧物流园区电力迁改项目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1D0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2A1D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F17C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6EDB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EECE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19CD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DED0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7429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1C5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D4C5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A7E9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89D5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5BF1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未安排预算资金</w:t>
            </w:r>
          </w:p>
        </w:tc>
      </w:tr>
      <w:tr w14:paraId="4ADB1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3243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F6A1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2025年区级李村镇综合执法合行政综合服务中心改建工程项目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147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2D75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0D83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10EC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AECC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C44F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F860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B156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2804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EEF1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0026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C2A1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B807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E6D4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289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51FE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2025年区级五七路两侧整治费用</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FAEE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34E8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037D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6B7E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5284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A2B6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B26A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4F99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300B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2649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0B5F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5252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0269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7B58D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1F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8EC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2025年镇级李村镇河滩区域道路保洁管护费</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0338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420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4A1F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4ED3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DE85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BE5C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9A6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D440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F023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0FB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6F3F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D67D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3CCC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7E29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8AF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D7BD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2025年镇级三馆一站免费开放补助</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CE9B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C6CF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049D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FC5B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192B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5D1D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A2F6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D2D7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88A9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6148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35F3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A560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987A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4A118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18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329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2025年镇级专项公用经费</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AD1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6BAD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145D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F5F9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E2D2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269.09</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74DB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6550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6F02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7516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249.93555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853B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19.15445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6F13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19.15445</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2D1E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626A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1EC8E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F53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9D21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2025区级李村镇南许营村党群服务中心建设提升资金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A1A5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2103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6D22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387E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26CB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906E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C7CC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3E2E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855D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9.710289</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53BF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0.089711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FD86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0.089711</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9822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2DDF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E4FC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613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E967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2025镇级李村镇临时教师工资</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D3E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C0B0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EFEE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8996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9A6D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237.6</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CF65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7BFE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548D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E928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235.4</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FD2B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6F08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2.2</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958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CF52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68D0E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021F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796F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区级2025李村镇解决李村村东排水沟坍塌及生活污水处理、维修改造项目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4070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F7DA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AE08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0B87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95C4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8A06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D261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DE98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A0B4A">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0216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1227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A1F1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A68D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03498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1B5F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8D20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区级2025李村镇人民政府拨付杨丽英土地补偿款项目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866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C7BA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05BE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BE80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1721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C914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6028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A6C0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0DF9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95CB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8E02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E039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4B3B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4BBAF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15A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EE07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区级2025年李村镇环境卫生整治资金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AD8D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3787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045B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330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6FEA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DF1F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7E8F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C8AC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CC80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D0FD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80B4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D55B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7EB6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0E188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B0CE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C13F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石财农［2024］69号提前下达2025年省级财政衔接推进乡村振兴补助资金预算-西小壁高标准水产养殖设施建设</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795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892B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9598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1661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734F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0152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76E8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6294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889E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FE4F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F220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ED06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32CB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43255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D403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10F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石财农[2024]70号文件《石家庄市财政局关于提前下达2025年省级农村综合改革转移支付预算的通知》（2025年李村镇农村综合改革项目）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6A55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AC03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AEAE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29E3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2768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56.7</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CC0E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31F8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0804F">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37F2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56.7</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9943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77B5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2598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B473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A4EF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DC3C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F76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石财农[2024]70号文件《石家庄市财政局关于提前下达2025年省级农村综合改革转移支付预算的通知》（2025年李村镇农村综合改革项目）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95B4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343D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20DB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D6D2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A5531">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8BB2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2B9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C069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86C0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AF04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FD674">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2CDB9">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F244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044CD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5D7D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6233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石财农[2024]100号文件《石家庄市财政局关于提前下达2025年市级农村综合改革转移支付资金预算的通知》（2025年李村镇农村综合改革项目）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FCD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A96A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7B05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BD2B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A759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4C3C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C461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DFFC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FDA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FFCD3">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A48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AABF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76A8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6CDA3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0CB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B38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石财农[2024]100号文件《石家庄市财政局关于提前下达2025年市级农村综合改革转移支付预算的通知》（2025年李村镇农村综合改革项目）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49D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C4E5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B40A8">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625F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6449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36.5</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1D36E">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5A87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F0FB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1E2E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F8D7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7A862">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94E7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771D5">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2B6D3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2C6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EC93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石财农〔2023〕86号文件《石家庄市财政局关于提前下达2024年中央农村综合改革转移支付预算的通知》（2024年李村镇农村综合改革项目）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E3D9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8A24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53F7D">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1E584">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B3658">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28.0526</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E8E5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FA1C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1334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644E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28.0526</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BFC9F">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47AFC">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80BB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2184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6C3E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1A7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D476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石财农〔2024〕35号文件《石家庄市财政局关于下达2024年中央农村综合改革转移支付预算的通知》（2024年李村镇农村综合改革项目）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B78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A2F3">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4245B">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9C4C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1FBF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9.5474</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B097">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DA9A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BB2A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4D3C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9.5474</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68660">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698D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1A8E6">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EBE6">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r w14:paraId="363FD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6B8B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3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503E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石财农〔2025〕34号文件《石家庄市财政局关于下达2025年中央农村综合改革转移支付预算的通知》</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C444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819001 - 石家庄市鹿泉区李村镇人民政府本级</w:t>
            </w: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6973C">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43EEA">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1C23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45505">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18880">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093C9">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93A01">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2256B">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C249D">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076A7">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AB77E">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B8122">
            <w:pPr>
              <w:keepNext w:val="0"/>
              <w:keepLines w:val="0"/>
              <w:pageBreakBefore w:val="0"/>
              <w:kinsoku/>
              <w:wordWrap/>
              <w:overflowPunct/>
              <w:topLinePunct w:val="0"/>
              <w:autoSpaceDE/>
              <w:autoSpaceDN/>
              <w:bidi w:val="0"/>
              <w:adjustRightInd/>
              <w:snapToGrid/>
              <w:rPr>
                <w:rFonts w:hint="eastAsia" w:ascii="宋体" w:hAnsi="宋体" w:eastAsia="宋体" w:cs="宋体"/>
                <w:i w:val="0"/>
                <w:iCs w:val="0"/>
                <w:color w:val="000000"/>
                <w:sz w:val="22"/>
                <w:szCs w:val="22"/>
                <w:u w:val="none"/>
              </w:rPr>
            </w:pPr>
          </w:p>
        </w:tc>
      </w:tr>
    </w:tbl>
    <w:p w14:paraId="5440164F">
      <w:pPr>
        <w:keepNext w:val="0"/>
        <w:keepLines w:val="0"/>
        <w:pageBreakBefore w:val="0"/>
        <w:kinsoku/>
        <w:wordWrap/>
        <w:overflowPunct/>
        <w:topLinePunct w:val="0"/>
        <w:autoSpaceDE/>
        <w:autoSpaceDN/>
        <w:bidi w:val="0"/>
        <w:adjustRightInd/>
        <w:snapToGrid/>
        <w:spacing w:line="560" w:lineRule="exact"/>
        <w:rPr>
          <w:rFonts w:hint="eastAsia" w:ascii="仿宋" w:hAnsi="仿宋" w:eastAsia="仿宋"/>
          <w:sz w:val="32"/>
          <w:szCs w:val="32"/>
        </w:rPr>
      </w:pPr>
    </w:p>
    <w:p w14:paraId="55A020DE">
      <w:pPr>
        <w:keepNext w:val="0"/>
        <w:keepLines w:val="0"/>
        <w:pageBreakBefore w:val="0"/>
        <w:kinsoku/>
        <w:wordWrap/>
        <w:overflowPunct/>
        <w:topLinePunct w:val="0"/>
        <w:autoSpaceDE/>
        <w:autoSpaceDN/>
        <w:bidi w:val="0"/>
        <w:adjustRightInd/>
        <w:snapToGrid/>
        <w:spacing w:line="560" w:lineRule="exact"/>
        <w:rPr>
          <w:rFonts w:hint="eastAsia" w:ascii="仿宋" w:hAnsi="仿宋" w:eastAsia="仿宋"/>
          <w:sz w:val="32"/>
          <w:szCs w:val="32"/>
        </w:rPr>
      </w:pPr>
    </w:p>
    <w:p w14:paraId="611ABB1E">
      <w:pPr>
        <w:spacing w:line="560" w:lineRule="exact"/>
        <w:rPr>
          <w:rFonts w:hint="eastAsia" w:ascii="仿宋" w:hAnsi="仿宋" w:eastAsia="仿宋"/>
          <w:sz w:val="32"/>
          <w:szCs w:val="32"/>
        </w:rPr>
      </w:pPr>
    </w:p>
    <w:p w14:paraId="0B70DE32">
      <w:pPr>
        <w:spacing w:line="560" w:lineRule="exact"/>
        <w:rPr>
          <w:rFonts w:hint="eastAsia" w:ascii="仿宋" w:hAnsi="仿宋" w:eastAsia="仿宋"/>
          <w:sz w:val="32"/>
          <w:szCs w:val="32"/>
        </w:rPr>
      </w:pPr>
    </w:p>
    <w:p w14:paraId="460B2FA5">
      <w:pPr>
        <w:spacing w:line="560" w:lineRule="exact"/>
        <w:rPr>
          <w:rFonts w:hint="eastAsia" w:ascii="仿宋" w:hAnsi="仿宋" w:eastAsia="仿宋"/>
          <w:sz w:val="32"/>
          <w:szCs w:val="32"/>
        </w:rPr>
      </w:pPr>
    </w:p>
    <w:p w14:paraId="7D2BFE54">
      <w:pPr>
        <w:spacing w:line="560" w:lineRule="exact"/>
        <w:rPr>
          <w:rFonts w:hint="eastAsia" w:ascii="仿宋" w:hAnsi="仿宋" w:eastAsia="仿宋"/>
          <w:sz w:val="32"/>
          <w:szCs w:val="32"/>
        </w:rPr>
      </w:pPr>
    </w:p>
    <w:p w14:paraId="61B95A1B">
      <w:pPr>
        <w:spacing w:line="560" w:lineRule="exact"/>
        <w:rPr>
          <w:rFonts w:hint="eastAsia" w:ascii="仿宋" w:hAnsi="仿宋" w:eastAsia="仿宋"/>
          <w:sz w:val="32"/>
          <w:szCs w:val="32"/>
        </w:rPr>
        <w:sectPr>
          <w:pgSz w:w="16838" w:h="11906" w:orient="landscape"/>
          <w:pgMar w:top="1587" w:right="567" w:bottom="1474" w:left="567" w:header="851" w:footer="992" w:gutter="0"/>
          <w:pgNumType w:fmt="numberInDash"/>
          <w:cols w:space="0" w:num="1"/>
          <w:rtlGutter w:val="0"/>
          <w:docGrid w:type="lines" w:linePitch="315" w:charSpace="0"/>
        </w:sectPr>
      </w:pPr>
    </w:p>
    <w:p w14:paraId="64C0C8E5">
      <w:pPr>
        <w:spacing w:line="560" w:lineRule="exact"/>
        <w:ind w:firstLine="640" w:firstLineChars="200"/>
        <w:rPr>
          <w:rFonts w:hint="eastAsia" w:ascii="黑体" w:hAnsi="黑体" w:eastAsia="黑体"/>
          <w:sz w:val="32"/>
          <w:szCs w:val="32"/>
        </w:rPr>
      </w:pPr>
    </w:p>
    <w:p w14:paraId="36F735D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1B2BD70">
      <w:pPr>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color w:val="auto"/>
          <w:sz w:val="32"/>
          <w:szCs w:val="32"/>
        </w:rPr>
        <w:t>≥</w:t>
      </w:r>
      <w:r>
        <w:rPr>
          <w:rFonts w:hint="eastAsia" w:ascii="仿宋" w:hAnsi="仿宋" w:eastAsia="仿宋"/>
          <w:color w:val="auto"/>
          <w:sz w:val="32"/>
          <w:szCs w:val="32"/>
        </w:rPr>
        <w:t>85分为优秀；75</w:t>
      </w:r>
      <w:r>
        <w:rPr>
          <w:rFonts w:ascii="仿宋" w:hAnsi="仿宋" w:eastAsia="仿宋" w:cs="Arial"/>
          <w:color w:val="auto"/>
          <w:sz w:val="32"/>
          <w:szCs w:val="32"/>
        </w:rPr>
        <w:t>≤</w:t>
      </w:r>
      <w:r>
        <w:rPr>
          <w:rFonts w:hint="eastAsia" w:ascii="仿宋" w:hAnsi="仿宋" w:eastAsia="仿宋"/>
          <w:color w:val="auto"/>
          <w:sz w:val="32"/>
          <w:szCs w:val="32"/>
        </w:rPr>
        <w:t>得分＜85分为良好；60</w:t>
      </w:r>
      <w:r>
        <w:rPr>
          <w:rFonts w:ascii="仿宋" w:hAnsi="仿宋" w:eastAsia="仿宋" w:cs="Arial"/>
          <w:color w:val="auto"/>
          <w:sz w:val="32"/>
          <w:szCs w:val="32"/>
        </w:rPr>
        <w:t>≤</w:t>
      </w:r>
      <w:r>
        <w:rPr>
          <w:rFonts w:hint="eastAsia" w:ascii="仿宋" w:hAnsi="仿宋" w:eastAsia="仿宋"/>
          <w:color w:val="auto"/>
          <w:sz w:val="32"/>
          <w:szCs w:val="32"/>
        </w:rPr>
        <w:t>得分＜75分为一般；得分＜60分为较差。</w:t>
      </w:r>
    </w:p>
    <w:p w14:paraId="30EBE073">
      <w:pPr>
        <w:spacing w:line="560" w:lineRule="exact"/>
        <w:ind w:firstLine="640" w:firstLineChars="200"/>
        <w:rPr>
          <w:rFonts w:hint="eastAsia" w:ascii="仿宋" w:hAnsi="仿宋" w:eastAsia="仿宋"/>
          <w:color w:val="FF0000"/>
          <w:sz w:val="32"/>
          <w:szCs w:val="32"/>
        </w:rPr>
      </w:pPr>
      <w:r>
        <w:rPr>
          <w:rFonts w:hint="eastAsia" w:ascii="仿宋" w:hAnsi="仿宋" w:eastAsia="仿宋"/>
          <w:sz w:val="32"/>
          <w:szCs w:val="32"/>
        </w:rPr>
        <w:t>综上所述，李村镇人民政府</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年度整体支出情况最终得分</w:t>
      </w:r>
      <w:r>
        <w:rPr>
          <w:rFonts w:ascii="仿宋" w:hAnsi="仿宋" w:eastAsia="仿宋"/>
          <w:sz w:val="32"/>
          <w:szCs w:val="32"/>
        </w:rPr>
        <w:t>9</w:t>
      </w:r>
      <w:r>
        <w:rPr>
          <w:rFonts w:hint="eastAsia" w:ascii="仿宋" w:hAnsi="仿宋" w:eastAsia="仿宋"/>
          <w:sz w:val="32"/>
          <w:szCs w:val="32"/>
          <w:lang w:val="en-US" w:eastAsia="zh-CN"/>
        </w:rPr>
        <w:t>5.7</w:t>
      </w:r>
      <w:r>
        <w:rPr>
          <w:rFonts w:hint="eastAsia" w:ascii="仿宋" w:hAnsi="仿宋" w:eastAsia="仿宋"/>
          <w:sz w:val="32"/>
          <w:szCs w:val="32"/>
        </w:rPr>
        <w:t>分，综合绩效评价等级为优秀。</w:t>
      </w:r>
    </w:p>
    <w:p w14:paraId="0F1A567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146233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886B40E">
      <w:pPr>
        <w:spacing w:line="560" w:lineRule="exact"/>
        <w:ind w:firstLine="640" w:firstLineChars="200"/>
        <w:rPr>
          <w:rFonts w:ascii="仿宋" w:hAnsi="仿宋" w:eastAsia="仿宋" w:cs="仿宋"/>
          <w:bCs/>
          <w:sz w:val="32"/>
          <w:szCs w:val="32"/>
        </w:rPr>
      </w:pPr>
      <w:r>
        <w:rPr>
          <w:rFonts w:ascii="仿宋" w:hAnsi="仿宋" w:eastAsia="仿宋" w:cs="仿宋"/>
          <w:bCs/>
          <w:sz w:val="32"/>
          <w:szCs w:val="32"/>
        </w:rPr>
        <w:t>1</w:t>
      </w:r>
      <w:r>
        <w:rPr>
          <w:rFonts w:hint="eastAsia" w:ascii="仿宋" w:hAnsi="仿宋" w:eastAsia="仿宋" w:cs="仿宋"/>
          <w:bCs/>
          <w:sz w:val="32"/>
          <w:szCs w:val="32"/>
        </w:rPr>
        <w:t>、绩效目标细化、资产管理等方面有待完善，个别绩效目标不够完善，不能完整清晰体现工作活动的产出和效果。</w:t>
      </w:r>
    </w:p>
    <w:p w14:paraId="2CF0F0EC">
      <w:pPr>
        <w:spacing w:line="560" w:lineRule="exact"/>
        <w:ind w:firstLine="640" w:firstLineChars="200"/>
        <w:rPr>
          <w:rFonts w:hint="eastAsia" w:ascii="楷体" w:hAnsi="楷体" w:eastAsia="楷体"/>
          <w:bCs/>
          <w:sz w:val="32"/>
          <w:szCs w:val="32"/>
        </w:rPr>
      </w:pPr>
      <w:r>
        <w:rPr>
          <w:rFonts w:ascii="仿宋" w:hAnsi="仿宋" w:eastAsia="仿宋" w:cs="仿宋"/>
          <w:bCs/>
          <w:sz w:val="32"/>
          <w:szCs w:val="32"/>
        </w:rPr>
        <w:t>2</w:t>
      </w:r>
      <w:r>
        <w:rPr>
          <w:rFonts w:hint="eastAsia" w:ascii="仿宋" w:hAnsi="仿宋" w:eastAsia="仿宋" w:cs="仿宋"/>
          <w:bCs/>
          <w:sz w:val="32"/>
          <w:szCs w:val="32"/>
        </w:rPr>
        <w:t>、依据绩效目标所设置的绩效指标不够细化，不能完整清晰的反映活动目标完成情况。</w:t>
      </w:r>
    </w:p>
    <w:p w14:paraId="2C4579C2">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70B332C5">
      <w:pPr>
        <w:spacing w:line="578" w:lineRule="exact"/>
        <w:ind w:firstLine="640" w:firstLineChars="200"/>
        <w:rPr>
          <w:rFonts w:ascii="仿宋" w:hAnsi="仿宋" w:eastAsia="仿宋"/>
          <w:bCs/>
          <w:sz w:val="32"/>
          <w:szCs w:val="32"/>
        </w:rPr>
      </w:pPr>
      <w:r>
        <w:rPr>
          <w:rFonts w:ascii="仿宋" w:hAnsi="仿宋" w:eastAsia="仿宋"/>
          <w:bCs/>
          <w:sz w:val="32"/>
          <w:szCs w:val="32"/>
        </w:rPr>
        <w:t>1</w:t>
      </w:r>
      <w:r>
        <w:rPr>
          <w:rFonts w:hint="eastAsia" w:ascii="仿宋" w:hAnsi="仿宋" w:eastAsia="仿宋"/>
          <w:bCs/>
          <w:sz w:val="32"/>
          <w:szCs w:val="32"/>
        </w:rPr>
        <w:t>、科学设定绩效目标和指标</w:t>
      </w:r>
    </w:p>
    <w:p w14:paraId="22384621">
      <w:pPr>
        <w:spacing w:line="578" w:lineRule="exact"/>
        <w:ind w:firstLine="640" w:firstLineChars="200"/>
        <w:rPr>
          <w:rFonts w:ascii="仿宋" w:hAnsi="仿宋" w:eastAsia="仿宋"/>
          <w:bCs/>
          <w:sz w:val="32"/>
          <w:szCs w:val="32"/>
        </w:rPr>
      </w:pPr>
      <w:r>
        <w:rPr>
          <w:rFonts w:hint="eastAsia" w:ascii="仿宋" w:hAnsi="仿宋" w:eastAsia="仿宋"/>
          <w:bCs/>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6BFEFB13">
      <w:pPr>
        <w:spacing w:line="578" w:lineRule="exact"/>
        <w:ind w:firstLine="640" w:firstLineChars="200"/>
        <w:rPr>
          <w:rFonts w:ascii="仿宋" w:hAnsi="仿宋" w:eastAsia="仿宋"/>
          <w:bCs/>
          <w:sz w:val="32"/>
          <w:szCs w:val="32"/>
        </w:rPr>
      </w:pPr>
      <w:r>
        <w:rPr>
          <w:rFonts w:ascii="仿宋" w:hAnsi="仿宋" w:eastAsia="仿宋"/>
          <w:bCs/>
          <w:sz w:val="32"/>
          <w:szCs w:val="32"/>
        </w:rPr>
        <w:t>2</w:t>
      </w:r>
      <w:r>
        <w:rPr>
          <w:rFonts w:hint="eastAsia" w:ascii="仿宋" w:hAnsi="仿宋" w:eastAsia="仿宋"/>
          <w:bCs/>
          <w:sz w:val="32"/>
          <w:szCs w:val="32"/>
        </w:rPr>
        <w:t>、加强项目管理，完善项目监督工作</w:t>
      </w:r>
    </w:p>
    <w:p w14:paraId="4FC859EE">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部门应进一步加强对项目实施的管理，加强对项目实施全过程的监管，做到事前计划合理、事中执行监管有力、事后评价及时有效反馈。</w:t>
      </w:r>
    </w:p>
    <w:p w14:paraId="2C5B12C5">
      <w:pPr>
        <w:spacing w:line="578" w:lineRule="exact"/>
        <w:ind w:firstLine="640" w:firstLineChars="200"/>
        <w:rPr>
          <w:rFonts w:ascii="仿宋" w:hAnsi="仿宋" w:eastAsia="仿宋"/>
          <w:bCs/>
          <w:sz w:val="32"/>
          <w:szCs w:val="32"/>
        </w:rPr>
      </w:pPr>
      <w:r>
        <w:rPr>
          <w:rFonts w:ascii="仿宋" w:hAnsi="仿宋" w:eastAsia="仿宋"/>
          <w:bCs/>
          <w:sz w:val="32"/>
          <w:szCs w:val="32"/>
        </w:rPr>
        <w:t>3</w:t>
      </w:r>
      <w:r>
        <w:rPr>
          <w:rFonts w:hint="eastAsia" w:ascii="仿宋" w:hAnsi="仿宋" w:eastAsia="仿宋"/>
          <w:bCs/>
          <w:sz w:val="32"/>
          <w:szCs w:val="32"/>
        </w:rPr>
        <w:t>、提高部门绩效管理意识</w:t>
      </w:r>
    </w:p>
    <w:p w14:paraId="5813B8B2">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部门在今后的工作中，应加强对预算绩效管理工作的重视，</w:t>
      </w:r>
      <w:r>
        <w:rPr>
          <w:rFonts w:ascii="仿宋" w:hAnsi="仿宋" w:eastAsia="仿宋"/>
          <w:bCs/>
          <w:sz w:val="32"/>
          <w:szCs w:val="32"/>
        </w:rPr>
        <w:t xml:space="preserve"> </w:t>
      </w:r>
      <w:r>
        <w:rPr>
          <w:rFonts w:hint="eastAsia" w:ascii="仿宋" w:hAnsi="仿宋" w:eastAsia="仿宋"/>
          <w:bCs/>
          <w:sz w:val="32"/>
          <w:szCs w:val="32"/>
        </w:rPr>
        <w:t>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14:paraId="4388EF37">
      <w:pPr>
        <w:spacing w:line="560" w:lineRule="exact"/>
        <w:rPr>
          <w:rFonts w:ascii="仿宋" w:hAnsi="仿宋" w:eastAsia="仿宋"/>
        </w:rPr>
      </w:pPr>
    </w:p>
    <w:sectPr>
      <w:pgSz w:w="11906" w:h="16838"/>
      <w:pgMar w:top="567" w:right="1474" w:bottom="567" w:left="1587"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2CC2C">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AD3832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8"/>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1DC2A7A"/>
    <w:rsid w:val="02106AB0"/>
    <w:rsid w:val="02382230"/>
    <w:rsid w:val="02B43A28"/>
    <w:rsid w:val="0414574B"/>
    <w:rsid w:val="04367644"/>
    <w:rsid w:val="046F331E"/>
    <w:rsid w:val="05257DE5"/>
    <w:rsid w:val="07956271"/>
    <w:rsid w:val="079F79E4"/>
    <w:rsid w:val="09721397"/>
    <w:rsid w:val="09FF1C03"/>
    <w:rsid w:val="0B1E1C49"/>
    <w:rsid w:val="0BB63BED"/>
    <w:rsid w:val="0BD726FC"/>
    <w:rsid w:val="0C246F78"/>
    <w:rsid w:val="0DDA7292"/>
    <w:rsid w:val="0EB97A43"/>
    <w:rsid w:val="0EBD2122"/>
    <w:rsid w:val="0F0D443D"/>
    <w:rsid w:val="0F214EAE"/>
    <w:rsid w:val="11656300"/>
    <w:rsid w:val="11B71E6A"/>
    <w:rsid w:val="12355F6F"/>
    <w:rsid w:val="129A3FD6"/>
    <w:rsid w:val="12AB5BAD"/>
    <w:rsid w:val="14100CF8"/>
    <w:rsid w:val="14D65379"/>
    <w:rsid w:val="15A779A0"/>
    <w:rsid w:val="162F4575"/>
    <w:rsid w:val="19A37420"/>
    <w:rsid w:val="19B418B8"/>
    <w:rsid w:val="1AAF0063"/>
    <w:rsid w:val="1BD361F4"/>
    <w:rsid w:val="1BE140DE"/>
    <w:rsid w:val="1D22007B"/>
    <w:rsid w:val="1D682FCE"/>
    <w:rsid w:val="1D6C7F5E"/>
    <w:rsid w:val="1E532BCB"/>
    <w:rsid w:val="1ED87762"/>
    <w:rsid w:val="20006165"/>
    <w:rsid w:val="214467A1"/>
    <w:rsid w:val="218F117B"/>
    <w:rsid w:val="248C197D"/>
    <w:rsid w:val="252959AF"/>
    <w:rsid w:val="277A6671"/>
    <w:rsid w:val="292D35B7"/>
    <w:rsid w:val="2AF906E7"/>
    <w:rsid w:val="322D7B5F"/>
    <w:rsid w:val="32817910"/>
    <w:rsid w:val="33BC6421"/>
    <w:rsid w:val="33EB6CFF"/>
    <w:rsid w:val="35A12947"/>
    <w:rsid w:val="37387040"/>
    <w:rsid w:val="37F97A0E"/>
    <w:rsid w:val="3B625C0A"/>
    <w:rsid w:val="3C733C5C"/>
    <w:rsid w:val="3CEE1963"/>
    <w:rsid w:val="3E043659"/>
    <w:rsid w:val="3E772DBA"/>
    <w:rsid w:val="42075259"/>
    <w:rsid w:val="436B78D3"/>
    <w:rsid w:val="46F972E2"/>
    <w:rsid w:val="48D05305"/>
    <w:rsid w:val="4982080C"/>
    <w:rsid w:val="4ADA7AB0"/>
    <w:rsid w:val="4B7025C6"/>
    <w:rsid w:val="4C9C27FE"/>
    <w:rsid w:val="512260B4"/>
    <w:rsid w:val="525E192B"/>
    <w:rsid w:val="52BD6ACB"/>
    <w:rsid w:val="543E3443"/>
    <w:rsid w:val="54F617CB"/>
    <w:rsid w:val="55537534"/>
    <w:rsid w:val="561A74F1"/>
    <w:rsid w:val="56A25943"/>
    <w:rsid w:val="57482141"/>
    <w:rsid w:val="58255193"/>
    <w:rsid w:val="58AF298D"/>
    <w:rsid w:val="597244E8"/>
    <w:rsid w:val="5A4F25F3"/>
    <w:rsid w:val="5B595953"/>
    <w:rsid w:val="5CEC747F"/>
    <w:rsid w:val="5D084197"/>
    <w:rsid w:val="5D3A0462"/>
    <w:rsid w:val="5EB71C30"/>
    <w:rsid w:val="635B4734"/>
    <w:rsid w:val="63636986"/>
    <w:rsid w:val="64501EDD"/>
    <w:rsid w:val="645050CE"/>
    <w:rsid w:val="645841FD"/>
    <w:rsid w:val="64B76A98"/>
    <w:rsid w:val="66AF0CE5"/>
    <w:rsid w:val="67D5211A"/>
    <w:rsid w:val="69CB2F4D"/>
    <w:rsid w:val="6A8F6861"/>
    <w:rsid w:val="6AC537CF"/>
    <w:rsid w:val="6C5662A7"/>
    <w:rsid w:val="6C6B4905"/>
    <w:rsid w:val="6E5B14A6"/>
    <w:rsid w:val="711B255E"/>
    <w:rsid w:val="72376BF2"/>
    <w:rsid w:val="72BC6E4B"/>
    <w:rsid w:val="73050544"/>
    <w:rsid w:val="73D10294"/>
    <w:rsid w:val="76307777"/>
    <w:rsid w:val="76601B34"/>
    <w:rsid w:val="7697080C"/>
    <w:rsid w:val="78807F41"/>
    <w:rsid w:val="78C55F36"/>
    <w:rsid w:val="7AF50CCA"/>
    <w:rsid w:val="7BB51E06"/>
    <w:rsid w:val="7C073CE3"/>
    <w:rsid w:val="7C387F7C"/>
    <w:rsid w:val="7CFC7D9A"/>
    <w:rsid w:val="7E2D5BBB"/>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预算公开部门职责文件"/>
    <w:basedOn w:val="1"/>
    <w:qFormat/>
    <w:uiPriority w:val="99"/>
    <w:pPr>
      <w:spacing w:line="500" w:lineRule="exact"/>
      <w:ind w:firstLine="560"/>
      <w:jc w:val="left"/>
    </w:pPr>
    <w:rPr>
      <w:rFonts w:ascii="Times New Roman" w:hAnsi="Times New Roman" w:eastAsia="方正仿宋_GBK" w:cs="Times New Roman"/>
      <w:sz w:val="28"/>
    </w:rPr>
  </w:style>
  <w:style w:type="paragraph" w:customStyle="1" w:styleId="9">
    <w:name w:val="单元格样式1"/>
    <w:basedOn w:val="1"/>
    <w:qFormat/>
    <w:uiPriority w:val="99"/>
    <w:pPr>
      <w:jc w:val="center"/>
    </w:pPr>
    <w:rPr>
      <w:rFonts w:ascii="方正书宋_GBK" w:hAnsi="方正书宋_GBK" w:eastAsia="方正书宋_GBK" w:cs="方正书宋_GBK"/>
      <w:b/>
    </w:rPr>
  </w:style>
  <w:style w:type="paragraph" w:customStyle="1" w:styleId="10">
    <w:name w:val="单元格样式2"/>
    <w:basedOn w:val="1"/>
    <w:qFormat/>
    <w:uiPriority w:val="99"/>
    <w:pPr>
      <w:jc w:val="left"/>
    </w:pPr>
    <w:rPr>
      <w:rFonts w:ascii="方正书宋_GBK" w:hAnsi="方正书宋_GBK" w:eastAsia="方正书宋_GBK" w:cs="方正书宋_GBK"/>
    </w:rPr>
  </w:style>
  <w:style w:type="paragraph" w:customStyle="1" w:styleId="11">
    <w:name w:val="单元格样式3"/>
    <w:basedOn w:val="1"/>
    <w:qFormat/>
    <w:uiPriority w:val="99"/>
    <w:pPr>
      <w:jc w:val="center"/>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11049</Words>
  <Characters>12338</Characters>
  <Lines>4</Lines>
  <Paragraphs>1</Paragraphs>
  <TotalTime>6</TotalTime>
  <ScaleCrop>false</ScaleCrop>
  <LinksUpToDate>false</LinksUpToDate>
  <CharactersWithSpaces>12455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沈。</cp:lastModifiedBy>
  <cp:lastPrinted>2024-03-06T07:40:00Z</cp:lastPrinted>
  <dcterms:modified xsi:type="dcterms:W3CDTF">2026-05-28T02:17:22Z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eyJoZGlkIjoiYzFhN2M5YjRhMGIzYzY3NzJiMGMzOWE0ZDBmMDVmN2YiLCJ1c2VySWQiOiI3Mjk2NjExMjgifQ==</vt:lpwstr>
  </property>
</Properties>
</file>