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AFD1B1">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630C59CD">
      <w:pPr>
        <w:spacing w:line="560" w:lineRule="exact"/>
        <w:jc w:val="center"/>
        <w:rPr>
          <w:rFonts w:ascii="宋体" w:hAnsi="宋体" w:cs="宋体"/>
          <w:b/>
          <w:bCs/>
          <w:sz w:val="44"/>
          <w:szCs w:val="44"/>
        </w:rPr>
      </w:pPr>
    </w:p>
    <w:p w14:paraId="6BDDF9E4">
      <w:pPr>
        <w:spacing w:line="560" w:lineRule="exact"/>
        <w:jc w:val="center"/>
        <w:rPr>
          <w:rFonts w:ascii="宋体" w:hAnsi="宋体" w:cs="宋体"/>
          <w:b/>
          <w:bCs/>
          <w:sz w:val="44"/>
          <w:szCs w:val="44"/>
        </w:rPr>
      </w:pPr>
      <w:r>
        <w:rPr>
          <w:rFonts w:hint="eastAsia" w:ascii="宋体" w:hAnsi="宋体" w:cs="宋体"/>
          <w:b/>
          <w:bCs/>
          <w:sz w:val="44"/>
          <w:szCs w:val="44"/>
          <w:lang w:val="en-US" w:eastAsia="zh-CN"/>
        </w:rPr>
        <w:t>鹿泉区大河镇人民政府</w:t>
      </w:r>
      <w:r>
        <w:rPr>
          <w:rFonts w:hint="eastAsia" w:ascii="宋体" w:hAnsi="宋体" w:cs="宋体"/>
          <w:b/>
          <w:bCs/>
          <w:sz w:val="44"/>
          <w:szCs w:val="44"/>
        </w:rPr>
        <w:t>部门</w:t>
      </w:r>
    </w:p>
    <w:p w14:paraId="3DC899A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671CB230">
      <w:pPr>
        <w:spacing w:line="560" w:lineRule="exact"/>
        <w:jc w:val="center"/>
        <w:rPr>
          <w:rFonts w:ascii="华文楷体" w:eastAsia="华文楷体"/>
          <w:sz w:val="32"/>
          <w:szCs w:val="32"/>
        </w:rPr>
      </w:pPr>
    </w:p>
    <w:p w14:paraId="52ECCE4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val="en-US" w:eastAsia="zh-CN"/>
        </w:rPr>
        <w:t>鹿泉区大河镇人民政府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1B34B4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65B741A">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5EAC21D6">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79A2D533">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（二）讨论和决定本镇经济建设、政治建设、文化建设、社会建设、生态文明建设和党的建设以及乡村振兴中的重大问题。</w:t>
      </w:r>
    </w:p>
    <w:p w14:paraId="2E9CAC5C">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（三）组织召开本级人民代表大会，充分行使重大事项决定权、监督权和任免权，做好人大代表工作，联系选民、反映群众意见和要求。</w:t>
      </w:r>
    </w:p>
    <w:p w14:paraId="77E1AF30">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（四）负责拟订辖区经济发展规划、年度工作计划并组织实施，负责经济发展、招商引资工作，促进乡村全面振兴。</w:t>
      </w:r>
    </w:p>
    <w:p w14:paraId="56586312">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181C7BF">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7C95440A">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(七)加强镇党委自身建设和村党组织建设，以及其他隶属镇党委的党组织建设，抓好发展党员工作，加强党员队伍建设。维护和执行党的纪律，监督党员干部和其他任何工作人员严格遵守国家法律法规。</w:t>
      </w:r>
    </w:p>
    <w:p w14:paraId="1934D8DA">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(八)按照干部管理权限，负责对干部的教育、培训、选拔、考核和监督工作。协助管理上级有关部门驻镇单位的干部。做好</w:t>
      </w:r>
    </w:p>
    <w:p w14:paraId="6C310E5A">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人才服务工作。</w:t>
      </w:r>
    </w:p>
    <w:p w14:paraId="54C1AED2">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0B752C3E">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C61787D">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(十一)承办上级党委、人大、政府交办的其他事项。</w:t>
      </w:r>
    </w:p>
    <w:p w14:paraId="782F0960">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理顺区乡权责关系:</w:t>
      </w:r>
    </w:p>
    <w:p w14:paraId="761D5E22">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理顺行政执法职责边界。区直部门赋权下放的行政处罚事项,乡镇为执法主体和责任主体;委托下放的行政处罚事项，由区直部门与乡镇签订行政执法委托书，明确委托范围、委托权限、委托依据、委托责任及委托期限等;法律法规未赋权也不宜委托下放，但需乡镇配合的行政执法事项，由乡镇综合行政执法队协助区直部门开展监督检查、立案调查等工作，区直部门为责任主体。建立健全区乡执法协调衔接联动机制，完善相互告知、案件移送、联合执法以及信息共享等工作制度。</w:t>
      </w:r>
    </w:p>
    <w:p w14:paraId="3852831F">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理顺派驻机构管理体制。实行派驻体制的税务分局(所)、公安派出所、市场监督管理所(市场监督管理综合执法所)、司法所纳入乡镇统一指挥和统筹协调，其工作考核和主要负责人的任免要听取乡镇党委的意见。</w:t>
      </w:r>
    </w:p>
    <w:p w14:paraId="1BB73239">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三)建立乡镇职责准入制度。区直部门行政事务需要委托或交由基层承担的,须充分听取乡镇党委、政府意见并经过区委、区政府审核批准，并明确工作目标、内容、权限、分工、期限等具体要求，落实人员、经费以及业务培训等保障措施。需由乡镇配合、协助完成的工作任务，主要责任由区直部门承担。除党中央、国务院和省委、省政府有明确规定外，不得以设置“一票否决”和签订责任状事项等方式，将工作责任转嫁乡镇。</w:t>
      </w:r>
    </w:p>
    <w:p w14:paraId="00D54ED5">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大河镇党委、人大、政府设9个工作机构。</w:t>
      </w:r>
    </w:p>
    <w:p w14:paraId="54E9FE07">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(一)内设机构5个:</w:t>
      </w:r>
    </w:p>
    <w:p w14:paraId="0BE059FF">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14:paraId="56FDAE05">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5139C58C">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53A6264E">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经济发展办公室。负责拟订辖区经济发展规划、年度工作计划并组织实施;负责经济发展、招商引资工作;负责镇统计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w:t>
      </w:r>
    </w:p>
    <w:p w14:paraId="78FA8B75">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59F81F7D">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0AD93458">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5.村镇建设办公室。负责拟订辖区村镇建设规划、年度工作计划并组织实施;负责农村体制改革工作;协助上级部门做好重点项目建设的前期政策处理及项目跟进工作;负责新农村建设，推进和美乡村、美丽庭院创建工作;负责农村环境卫生工作，推进农村改厕、生活垃圾处理、生活污水治理等工作;负责推进农村移风易俗、文明创建等工作。</w:t>
      </w:r>
    </w:p>
    <w:p w14:paraId="72DCF6FA">
      <w:pPr>
        <w:adjustRightInd w:val="0"/>
        <w:snapToGrid w:val="0"/>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4A37C322">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截止2025年底，我镇在编人员69人，资产合计7884.69万元。</w:t>
      </w:r>
    </w:p>
    <w:p w14:paraId="2ABCDBE9">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3180EA3E">
      <w:pPr>
        <w:keepNext w:val="0"/>
        <w:keepLines w:val="0"/>
        <w:pageBreakBefore w:val="0"/>
        <w:numPr>
          <w:ilvl w:val="0"/>
          <w:numId w:val="0"/>
        </w:numPr>
        <w:kinsoku/>
        <w:wordWrap/>
        <w:overflowPunct/>
        <w:topLinePunct w:val="0"/>
        <w:autoSpaceDE/>
        <w:autoSpaceDN/>
        <w:bidi w:val="0"/>
        <w:adjustRightInd w:val="0"/>
        <w:snapToGrid w:val="0"/>
        <w:spacing w:line="578" w:lineRule="exact"/>
        <w:ind w:firstLine="420" w:firstLineChars="0"/>
        <w:rPr>
          <w:rFonts w:hint="eastAsia" w:ascii="楷体" w:hAnsi="楷体" w:eastAsia="楷体" w:cs="楷体_GB2312"/>
          <w:bCs/>
          <w:sz w:val="32"/>
          <w:szCs w:val="32"/>
        </w:rPr>
      </w:pPr>
      <w:r>
        <w:rPr>
          <w:rFonts w:hint="eastAsia" w:ascii="仿宋_GB2312" w:hAnsi="仿宋_GB2312" w:eastAsia="仿宋_GB2312" w:cs="仿宋_GB2312"/>
          <w:sz w:val="32"/>
          <w:szCs w:val="32"/>
          <w:lang w:val="en-US" w:eastAsia="zh-CN"/>
        </w:rPr>
        <w:t>2025年年初预算收入、支出为3703.45万元，决算年末收入4398.36、支出为4448.47万元。</w:t>
      </w:r>
    </w:p>
    <w:p w14:paraId="2A4D369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927489A">
      <w:pPr>
        <w:keepNext w:val="0"/>
        <w:keepLines w:val="0"/>
        <w:pageBreakBefore w:val="0"/>
        <w:kinsoku/>
        <w:wordWrap/>
        <w:overflowPunct/>
        <w:topLinePunct w:val="0"/>
        <w:autoSpaceDE/>
        <w:autoSpaceDN/>
        <w:bidi w:val="0"/>
        <w:adjustRightInd w:val="0"/>
        <w:snapToGrid w:val="0"/>
        <w:spacing w:line="578"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严格执行预算管理制度，保证了各项财务活动的合规性和透明度。在预算执行方面按照年初制定的预算计划，合理安排资金的使用，通过严格的预算控制和审查机制，确保了预算执行的效率和效果</w:t>
      </w:r>
      <w:r>
        <w:rPr>
          <w:rFonts w:hint="eastAsia" w:ascii="仿宋_GB2312" w:hAnsi="仿宋_GB2312" w:eastAsia="仿宋_GB2312" w:cs="仿宋_GB2312"/>
          <w:sz w:val="32"/>
          <w:szCs w:val="32"/>
          <w:lang w:eastAsia="zh-CN"/>
        </w:rPr>
        <w:t>。</w:t>
      </w:r>
    </w:p>
    <w:p w14:paraId="1285FB7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90BCED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1B072EA">
      <w:pPr>
        <w:keepNext w:val="0"/>
        <w:keepLines w:val="0"/>
        <w:pageBreakBefore w:val="0"/>
        <w:kinsoku/>
        <w:wordWrap/>
        <w:overflowPunct/>
        <w:topLinePunct w:val="0"/>
        <w:autoSpaceDE/>
        <w:autoSpaceDN/>
        <w:bidi w:val="0"/>
        <w:spacing w:line="578"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sz w:val="32"/>
          <w:szCs w:val="32"/>
        </w:rPr>
        <w:t>清晰的界定工作的内容与其需要达到的标准，使管理活动更加适宜，组织目标更加明确，达到项目设定的效果。前期进行大量的调查研究，在此基础上进行了项目战略规划的编制、绩效目标的设立、指标设定及论证，科学立项；精确编制建设项目预算；着重于计划管理、绩效监控、风险控制、资金筹措及绩效制度建设，认真组织实施；设立绩效自评工作组织，进行评价。</w:t>
      </w:r>
    </w:p>
    <w:p w14:paraId="4E9ED6CE">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3FFA090">
      <w:pPr>
        <w:keepNext w:val="0"/>
        <w:keepLines w:val="0"/>
        <w:pageBreakBefore w:val="0"/>
        <w:kinsoku/>
        <w:wordWrap/>
        <w:overflowPunct/>
        <w:topLinePunct w:val="0"/>
        <w:autoSpaceDE/>
        <w:autoSpaceDN/>
        <w:bidi w:val="0"/>
        <w:spacing w:line="578" w:lineRule="exact"/>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绩效评价标准和评价方法。根据项目实际情况，选用恰当的标准进行评价，定量评价标准、定性评价标准、隶属度标准、客观标准等相结合，从多角度进行综合评价。</w:t>
      </w:r>
    </w:p>
    <w:p w14:paraId="61F9ED8D">
      <w:pPr>
        <w:keepNext w:val="0"/>
        <w:keepLines w:val="0"/>
        <w:pageBreakBefore w:val="0"/>
        <w:kinsoku/>
        <w:wordWrap/>
        <w:overflowPunct/>
        <w:topLinePunct w:val="0"/>
        <w:autoSpaceDE/>
        <w:autoSpaceDN/>
        <w:bidi w:val="0"/>
        <w:spacing w:line="578" w:lineRule="exact"/>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绩效评价实施过程。</w:t>
      </w:r>
    </w:p>
    <w:p w14:paraId="31CFAFB8">
      <w:pPr>
        <w:keepNext w:val="0"/>
        <w:keepLines w:val="0"/>
        <w:pageBreakBefore w:val="0"/>
        <w:kinsoku/>
        <w:wordWrap/>
        <w:overflowPunct/>
        <w:topLinePunct w:val="0"/>
        <w:autoSpaceDE/>
        <w:autoSpaceDN/>
        <w:bidi w:val="0"/>
        <w:spacing w:line="578" w:lineRule="exact"/>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①</w:t>
      </w:r>
      <w:r>
        <w:rPr>
          <w:rFonts w:hint="eastAsia" w:ascii="仿宋_GB2312" w:hAnsi="仿宋_GB2312" w:eastAsia="仿宋_GB2312" w:cs="仿宋_GB2312"/>
          <w:sz w:val="32"/>
          <w:szCs w:val="32"/>
        </w:rPr>
        <w:t>前期准备。</w:t>
      </w:r>
    </w:p>
    <w:p w14:paraId="670EF399">
      <w:pPr>
        <w:keepNext w:val="0"/>
        <w:keepLines w:val="0"/>
        <w:pageBreakBefore w:val="0"/>
        <w:kinsoku/>
        <w:wordWrap/>
        <w:overflowPunct/>
        <w:topLinePunct w:val="0"/>
        <w:autoSpaceDE/>
        <w:autoSpaceDN/>
        <w:bidi w:val="0"/>
        <w:spacing w:line="578" w:lineRule="exact"/>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根据有关规定及要求，认真组织人员对项目自评资料进行收集、整理，针对指标完成情况进行绩效分析。为有效及时的完成项目绩效自评工作打下坚实的基础。</w:t>
      </w:r>
    </w:p>
    <w:p w14:paraId="45A0FEC3">
      <w:pPr>
        <w:keepNext w:val="0"/>
        <w:keepLines w:val="0"/>
        <w:pageBreakBefore w:val="0"/>
        <w:kinsoku/>
        <w:wordWrap/>
        <w:overflowPunct/>
        <w:topLinePunct w:val="0"/>
        <w:autoSpaceDE/>
        <w:autoSpaceDN/>
        <w:bidi w:val="0"/>
        <w:spacing w:line="578" w:lineRule="exact"/>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②</w:t>
      </w:r>
      <w:r>
        <w:rPr>
          <w:rFonts w:hint="eastAsia" w:ascii="仿宋_GB2312" w:hAnsi="仿宋_GB2312" w:eastAsia="仿宋_GB2312" w:cs="仿宋_GB2312"/>
          <w:sz w:val="32"/>
          <w:szCs w:val="32"/>
        </w:rPr>
        <w:t>组织实施。</w:t>
      </w:r>
    </w:p>
    <w:p w14:paraId="252E5D95">
      <w:pPr>
        <w:keepNext w:val="0"/>
        <w:keepLines w:val="0"/>
        <w:pageBreakBefore w:val="0"/>
        <w:kinsoku/>
        <w:wordWrap/>
        <w:overflowPunct/>
        <w:topLinePunct w:val="0"/>
        <w:autoSpaceDE/>
        <w:autoSpaceDN/>
        <w:bidi w:val="0"/>
        <w:spacing w:line="578" w:lineRule="exact"/>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加强过程控制，认真总结项目实现绩效目标过程中存在的问题和采取的改进措施，对项目的预算编制、工程施工、材料的采购进行认真的分析研究，整个过程严格按照绩效评价管理办法进行。</w:t>
      </w:r>
    </w:p>
    <w:p w14:paraId="26EB9C78">
      <w:pPr>
        <w:keepNext w:val="0"/>
        <w:keepLines w:val="0"/>
        <w:pageBreakBefore w:val="0"/>
        <w:kinsoku/>
        <w:wordWrap/>
        <w:overflowPunct/>
        <w:topLinePunct w:val="0"/>
        <w:autoSpaceDE/>
        <w:autoSpaceDN/>
        <w:bidi w:val="0"/>
        <w:spacing w:line="578" w:lineRule="exact"/>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③</w:t>
      </w:r>
      <w:r>
        <w:rPr>
          <w:rFonts w:hint="eastAsia" w:ascii="仿宋_GB2312" w:hAnsi="仿宋_GB2312" w:eastAsia="仿宋_GB2312" w:cs="仿宋_GB2312"/>
          <w:sz w:val="32"/>
          <w:szCs w:val="32"/>
        </w:rPr>
        <w:t>分析评价。</w:t>
      </w:r>
    </w:p>
    <w:p w14:paraId="77AB5204">
      <w:pPr>
        <w:keepNext w:val="0"/>
        <w:keepLines w:val="0"/>
        <w:pageBreakBefore w:val="0"/>
        <w:kinsoku/>
        <w:wordWrap/>
        <w:overflowPunct/>
        <w:topLinePunct w:val="0"/>
        <w:autoSpaceDE/>
        <w:autoSpaceDN/>
        <w:bidi w:val="0"/>
        <w:spacing w:line="578" w:lineRule="exact"/>
        <w:ind w:firstLine="420" w:firstLineChars="0"/>
        <w:rPr>
          <w:rFonts w:ascii="楷体" w:hAnsi="楷体" w:eastAsia="楷体" w:cs="楷体_GB2312"/>
          <w:bCs/>
          <w:sz w:val="32"/>
          <w:szCs w:val="32"/>
        </w:rPr>
      </w:pPr>
      <w:r>
        <w:rPr>
          <w:rFonts w:hint="eastAsia" w:ascii="仿宋_GB2312" w:hAnsi="仿宋_GB2312" w:eastAsia="仿宋_GB2312" w:cs="仿宋_GB2312"/>
          <w:sz w:val="32"/>
          <w:szCs w:val="32"/>
        </w:rPr>
        <w:t>根据项目立身特点和已经确定的各项绩效指标，对照项目完成情况，逐一评价，确保评价结论真实、客观、公平、公正</w:t>
      </w:r>
      <w:r>
        <w:rPr>
          <w:rFonts w:hint="eastAsia" w:ascii="仿宋_GB2312" w:hAnsi="仿宋_GB2312" w:eastAsia="仿宋_GB2312" w:cs="仿宋_GB2312"/>
          <w:sz w:val="32"/>
          <w:szCs w:val="32"/>
          <w:lang w:eastAsia="zh-CN"/>
        </w:rPr>
        <w:t>。</w:t>
      </w:r>
    </w:p>
    <w:p w14:paraId="3EA383F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20965A2">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41962F8">
      <w:pPr>
        <w:keepNext w:val="0"/>
        <w:keepLines w:val="0"/>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积极响应上级财政部门的指导，严格执行预算管理制度，保证了各项财务活动的合规性和透明度。在预算执行方面按照年初制定的预算计划，合理安排资金的使用，通过严格的预算控制和审查机制，确保了预算执行的效率和效果；在绩效管理方面加强了对绩效的管理，尽力保证每一笔资金都能按照既定的目标和要求使用，并达到预期的效果。</w:t>
      </w:r>
    </w:p>
    <w:p w14:paraId="787028D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1DCB54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14:paraId="6B99D60F">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2025年镇级机关运转经费项目。预算金额572.57万元，资金到位数533.69万元，预算执行533.69万元，预算执行率93.21%，得分9分；数量、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保障办公人数167人、运转保障率95%、经费保障及时性100%，劳务费支出415万元，得分40分；效益指标、满意度指标达到预期指标值得分50分，受益人口数45000人、可持续影响时间5年、受益群众满意度95%，自评得分100分，为优秀。</w:t>
      </w:r>
    </w:p>
    <w:p w14:paraId="0D698D4F">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2025年镇级幼儿教师及代课教师劳务费支出。预算金额250.3万元，资金到位数250.3万元，预算执行250.3万元，预算执行率100%，得分10分；数量、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幼儿教师数量21人、临时代课教师数量72人、补助发放精准性100%、补助发放及时性100%、幼儿教师补助标准2260元、临时代课教师补助标准2200元，得分40分；效益指标、满意度指标达到预期指标值得分50分，自评得分100分，为优秀。</w:t>
      </w:r>
    </w:p>
    <w:p w14:paraId="76B2AF2C">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2025年镇级群众文化宣传资料及条幅、展牌等支出</w:t>
      </w:r>
      <w:r>
        <w:rPr>
          <w:rFonts w:hint="eastAsia" w:ascii="仿宋_GB2312" w:hAnsi="仿宋_GB2312" w:eastAsia="仿宋_GB2312" w:cs="仿宋_GB2312"/>
          <w:sz w:val="32"/>
          <w:szCs w:val="32"/>
          <w:lang w:val="en-US" w:eastAsia="zh-CN"/>
        </w:rPr>
        <w:t>项目。预算金额23.97万元，资金到位数15.95万元，预算执行15.95万元，预算执行率66.57%，得分10分；数量、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均全部完成预期指标值，宣传到位村26个、宣传工作完成率100%、宣传到位及时性100%，得分40分；效益指标、满意度指标达到预期指标值得分50分，自评得分97分，为优秀。</w:t>
      </w:r>
    </w:p>
    <w:p w14:paraId="0B7F9199">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镇级三馆一站免费开放补助。预算金额1万元，资金到位数1万元，预算执行1万元，预算执行率100%，得分10分；数量、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群众文化活动参与率90%、文化活动按期完成率95%、购置图书杂志成本1万元、开展群众文化活动成本1万元，得分40分；效益指标、满意度指标达到预期指标值得分50分，自评得分100分，为优秀。</w:t>
      </w:r>
    </w:p>
    <w:p w14:paraId="654EA896">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2025年镇级社会保障农村救济支出项目。预算金额36.09万元，资金到位数29.9万元，预算执行29.9万元，预算执行率82.86%，得分8分；数量、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均全部完成预期指标值，补助发放精准率和覆盖率100%，得分40分；效益指标、满意度指标达到预期指标值得分50分，自评得分98分，为优秀。</w:t>
      </w:r>
    </w:p>
    <w:p w14:paraId="3890FB02">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2025年镇级卫生及计划生育事物支出。预算金额8.199万元，资金到位数8.199万元，预算执行8.199万元，预算执行率100%，得分10分；数量、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均全部完成预期指标值，补助发放精准率、覆盖率、及时性100%，得分40分；效益指标、满意度指标达到预期指标值得分50分，自评得分100分，为优秀。</w:t>
      </w:r>
    </w:p>
    <w:p w14:paraId="634415D0">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2025年镇级环保、大气污染防治支出项目。预算金额21万元，资金到位数14.78万元，预算执行14.78万元，预算执行率70.37%，得分7分；数量、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均全部完成预期指标值，得分40分；效益指标、满意度指标达到预期指标值得分50分，受益人口数45000人、可持续影响时间5年、受益群众满意度95%，自评得分97分，为优秀。</w:t>
      </w:r>
    </w:p>
    <w:p w14:paraId="1DE9FE43">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2025年镇级道路及周边提升整治等支出。预算金额108.4万元，资金到位数76.59万元，预算执行76.59万元，预算执行率70.66%，得分7分；数量、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均全部完成预期指标值，得分40分；效益指标、满意度指标达到预期指标值得分50分，受益人口数45000人、可持续影响时间5年、受益群众满意度95%，自评得分97分，为优秀。</w:t>
      </w:r>
    </w:p>
    <w:p w14:paraId="40EB0CC9">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2025年镇级城乡社区人居环境整治等支出项目。预算金额98万元，资金到位数89.1万元，预算执行89.1万元，预算执行率90.92%，得分9分；数量、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均全部完成预期指标值，得分40分；效益指标、满意度指标达到预期指标值得分50分，受益人口数45000人、可持续影响时间5年、受益群众满意度95%，自评得分99分，为优秀。</w:t>
      </w:r>
    </w:p>
    <w:p w14:paraId="1E8955DD">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2025年镇级绿化、防汛等事务支出项目。预算金额40万元，资金到位数37.95万元，预算执行37.95万元，预算执行率94.86%，得分9分；数量、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每村每天防火巡逻人员数量3人、项目按时完工率100%、项目总支出37.95万元，得分40分；效益指标、满意度指标达到预期指标值，受益人口数45000人、可持续影响时间5年、受益群众满意度95%，得分50分，自评得分99分，为优秀。</w:t>
      </w:r>
    </w:p>
    <w:p w14:paraId="0F3C4B8A">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2025年镇级各村村级补助支出项目。预算金额71万元，资金到位数70万元，预算执行70万元，预算执行率98.59%，得分10分；数量、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清运垃圾数量2000立方米、补助发放覆盖率100%、补助发放及时性100%、项目所需成本70万元，得分40分；效益指标、满意度指标达到预期指标值得分50分，受益人口数45000人、可持续影响时间5年、受益群众满意度95%，自评得分100分，为优秀。</w:t>
      </w:r>
    </w:p>
    <w:p w14:paraId="2F2F4E3D">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2025年镇级应急管理事务支出项目。预算金额12万元，资金到位数11.85万元，预算执行11.85万元，预算执行率98.77%，得分10分；数量、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均全部完成预期指标值，补助发放村个数26个、消防防火知识宣传覆盖率、及时率100%，得分40分；效益指标、满意度指标达到预期指标值得分50分，自评得分100分，为优秀。</w:t>
      </w:r>
    </w:p>
    <w:p w14:paraId="3CD16C2D">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 w:hAnsi="仿宋" w:eastAsia="仿宋"/>
          <w:sz w:val="32"/>
          <w:szCs w:val="32"/>
        </w:rPr>
      </w:pPr>
      <w:r>
        <w:rPr>
          <w:rFonts w:hint="eastAsia" w:ascii="仿宋_GB2312" w:hAnsi="仿宋_GB2312" w:eastAsia="仿宋_GB2312" w:cs="仿宋_GB2312"/>
          <w:sz w:val="32"/>
          <w:szCs w:val="32"/>
          <w:lang w:val="en-US" w:eastAsia="zh-CN"/>
        </w:rPr>
        <w:t>2025年镇级张石高速占地补偿项目。预算金额169.6万元，资金到位数169.6万元，预算执行169.6万元，预算执行率100%，得分10分；数量、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均全部完成预期指标值，涉及土地面积830亩、资金发放完成率、及时率为100%，得分40分；效益指标、满意度指标达到预期指标值得分50分，自评得分100分，为优秀。</w:t>
      </w:r>
    </w:p>
    <w:p w14:paraId="0B7153C0">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default"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sz w:val="32"/>
          <w:szCs w:val="32"/>
          <w:lang w:val="en-US" w:eastAsia="zh-CN"/>
        </w:rPr>
        <w:t>2025年区级退役公益岗位、派遣人员工资、社保项目。预算金额62.4万元，资金到位数60.73万元，预算执行60.73万元，预算执行率97.32%，得分10分；数量、</w:t>
      </w:r>
      <w:r>
        <w:rPr>
          <w:rFonts w:hint="eastAsia" w:ascii="仿宋_GB2312" w:hAnsi="仿宋_GB2312" w:eastAsia="仿宋_GB2312" w:cs="仿宋_GB2312"/>
          <w:sz w:val="32"/>
          <w:szCs w:val="32"/>
        </w:rPr>
        <w:t>质量、时效、成本</w:t>
      </w:r>
      <w:r>
        <w:rPr>
          <w:rFonts w:hint="eastAsia" w:ascii="仿宋_GB2312" w:hAnsi="仿宋_GB2312" w:eastAsia="仿宋_GB2312" w:cs="仿宋_GB2312"/>
          <w:sz w:val="32"/>
          <w:szCs w:val="32"/>
          <w:lang w:val="en-US" w:eastAsia="zh-CN"/>
        </w:rPr>
        <w:t>均全部完成预期指标值，补贴人员数量10人，资金发放到位率100%,资金发放及时率100%，得分40分；效益指标、满意度指标达到预期指标值得分50分，自评得分100分，为优秀。</w:t>
      </w:r>
    </w:p>
    <w:p w14:paraId="41E92578">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2025年区级石津干渠截导流工程（大河镇段）后续管护费用。预算金额8万元，资金到位数8万元，预算执行8万元，预算执行率100%，得分10分；数量、质量、时效、成本均全部完成预期指标值，管护坑塘3个、管护合格完成率和及时率100%，得分40分；效益指标、满意度指标达到预期指标值得分50分，自评得分100分，为优秀。</w:t>
      </w:r>
    </w:p>
    <w:p w14:paraId="2280037A">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sz w:val="32"/>
          <w:szCs w:val="32"/>
          <w:lang w:val="en-US" w:eastAsia="zh-CN"/>
        </w:rPr>
        <w:t>2025年区级纸房头村给水管网省级改造工程。预算金额7万</w:t>
      </w:r>
      <w:r>
        <w:rPr>
          <w:rFonts w:hint="eastAsia" w:ascii="仿宋_GB2312" w:hAnsi="仿宋_GB2312" w:eastAsia="仿宋_GB2312" w:cs="仿宋_GB2312"/>
          <w:b w:val="0"/>
          <w:kern w:val="2"/>
          <w:sz w:val="32"/>
          <w:szCs w:val="32"/>
          <w:lang w:val="en-US" w:eastAsia="zh-CN" w:bidi="ar-SA"/>
        </w:rPr>
        <w:t>元，资金到位数7万元，预算执行7万元，预算执行率100%，得分10分；数量、质量、时效、成本均全部完成预期指标值，给水管总长度13公里、涉及农户560户、验收合格率和完工率100%，得分40分；效益指标、满意度指标达到预期指标值得分50分，自评得分100分，为优秀。</w:t>
      </w:r>
    </w:p>
    <w:p w14:paraId="41AC2873">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lang w:val="en-US" w:eastAsia="zh-CN"/>
        </w:rPr>
        <w:t>2025年区级南北故城旧工业区拆迁补偿</w:t>
      </w:r>
      <w:r>
        <w:rPr>
          <w:rFonts w:hint="eastAsia" w:ascii="仿宋_GB2312" w:hAnsi="仿宋_GB2312" w:eastAsia="仿宋_GB2312" w:cs="仿宋_GB2312"/>
          <w:sz w:val="32"/>
          <w:szCs w:val="32"/>
          <w:lang w:val="en-US" w:eastAsia="zh-CN"/>
        </w:rPr>
        <w:t>项目。预算金额19.9万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19.9</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19.9</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万元，预算执行率100%，得分10分；数量、质量、时效、成本均全部完成预期指标值，得分40分；效益指标、满意度指标达到预期指标值得分50分，自评得分100分，为优秀。</w:t>
      </w:r>
    </w:p>
    <w:p w14:paraId="3726AF92">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rPr>
        <w:t>2025年区级故城旧工业区拆迁评估费</w:t>
      </w:r>
      <w:r>
        <w:rPr>
          <w:rFonts w:hint="eastAsia" w:ascii="仿宋_GB2312" w:hAnsi="仿宋_GB2312" w:eastAsia="仿宋_GB2312" w:cs="仿宋_GB2312"/>
          <w:sz w:val="32"/>
          <w:szCs w:val="32"/>
          <w:lang w:val="en-US" w:eastAsia="zh-CN"/>
        </w:rPr>
        <w:t>项目。预算金额10万</w:t>
      </w:r>
      <w:r>
        <w:rPr>
          <w:rFonts w:hint="eastAsia" w:ascii="仿宋_GB2312" w:hAnsi="仿宋_GB2312" w:eastAsia="仿宋_GB2312" w:cs="仿宋_GB2312"/>
          <w:b w:val="0"/>
          <w:kern w:val="2"/>
          <w:sz w:val="32"/>
          <w:szCs w:val="32"/>
          <w:lang w:val="en-US" w:eastAsia="zh-CN" w:bidi="ar-SA"/>
        </w:rPr>
        <w:t>元，资金到位数10万元，预算执行</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万元，预算执行率100%，得分10分；数量、质量、时效、成本均全部完成预期指标值，得分40分；效益指标、满意度指标达到预期指标值得分50分，自评得分100分，为优秀。</w:t>
      </w:r>
    </w:p>
    <w:p w14:paraId="609B3E8E">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rPr>
        <w:t>大河镇2025年1-12月扬尘污染防治网格工作经费</w:t>
      </w:r>
      <w:r>
        <w:rPr>
          <w:rFonts w:hint="eastAsia" w:ascii="仿宋_GB2312" w:hAnsi="仿宋_GB2312" w:eastAsia="仿宋_GB2312" w:cs="仿宋_GB2312"/>
          <w:sz w:val="32"/>
          <w:szCs w:val="32"/>
          <w:lang w:val="en-US" w:eastAsia="zh-CN"/>
        </w:rPr>
        <w:t>项目。预算金额2.88万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1.85</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1.85</w:t>
      </w:r>
      <w:r>
        <w:rPr>
          <w:rFonts w:hint="eastAsia" w:ascii="仿宋_GB2312" w:hAnsi="仿宋_GB2312" w:eastAsia="仿宋_GB2312" w:cs="仿宋_GB2312"/>
          <w:b w:val="0"/>
          <w:kern w:val="2"/>
          <w:sz w:val="32"/>
          <w:szCs w:val="32"/>
          <w:lang w:val="en-US" w:eastAsia="zh-CN" w:bidi="ar-SA"/>
        </w:rPr>
        <w:t>万元，预算执行率64.15%，得分6分；数量、质量、时效、均全部完成预期指标值，网格数量2个、网格员巡查及时率100%，得分36分；效益指标、满意度指标达到预期指标值得分50分，自评得分92分，为优秀。</w:t>
      </w:r>
    </w:p>
    <w:p w14:paraId="4D462554">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sz w:val="32"/>
          <w:szCs w:val="32"/>
          <w:lang w:val="en-US" w:eastAsia="zh-CN"/>
        </w:rPr>
        <w:t>2024年11-12月重点区域扬尘污染防治网格工作经费项目。预算金额0.48万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0.48</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0.48</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万元，预算执行率100%，得分10分；数量、质量、时效、成本均全部完成预期指标值，网格数量2个、网格员巡查及时率100%，得分40分；效益指标、满意度指标达到预期指标值得分50分，自评得分100分，为优秀。</w:t>
      </w:r>
    </w:p>
    <w:p w14:paraId="7D10727D">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lang w:val="en-US" w:eastAsia="zh-CN"/>
        </w:rPr>
        <w:t>大河镇西柏坡、京昆高速等沿线两侧环境卫生整治支出</w:t>
      </w:r>
      <w:r>
        <w:rPr>
          <w:rFonts w:hint="eastAsia" w:ascii="仿宋_GB2312" w:hAnsi="仿宋_GB2312" w:eastAsia="仿宋_GB2312" w:cs="仿宋_GB2312"/>
          <w:sz w:val="32"/>
          <w:szCs w:val="32"/>
          <w:lang w:val="en-US" w:eastAsia="zh-CN"/>
        </w:rPr>
        <w:t>项目。预算金额50万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清理人居环境村庄数量10个、人居环境卫生整治合格率和及时完成率100%，得分40分；效益指标、满意度指标达到预期指标值得分50分，自评得分100分，为优秀。</w:t>
      </w:r>
    </w:p>
    <w:p w14:paraId="33BD7257">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lang w:val="en-US" w:eastAsia="zh-CN"/>
        </w:rPr>
        <w:t>大河镇2025年民政临时救助款</w:t>
      </w:r>
      <w:r>
        <w:rPr>
          <w:rFonts w:hint="eastAsia" w:ascii="仿宋_GB2312" w:hAnsi="仿宋_GB2312" w:eastAsia="仿宋_GB2312" w:cs="仿宋_GB2312"/>
          <w:sz w:val="32"/>
          <w:szCs w:val="32"/>
          <w:lang w:val="en-US" w:eastAsia="zh-CN"/>
        </w:rPr>
        <w:t>项目。预算金额2万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救助困境人员40人、救助困难人员准确率、及时率均为95%，得分40分；效益指标、满意度指标达到预期指标值得分50分，自评得分100分，为优秀。</w:t>
      </w:r>
    </w:p>
    <w:p w14:paraId="41F13F87">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lang w:val="en-US" w:eastAsia="zh-CN"/>
        </w:rPr>
        <w:t>大河镇北故城村道路建设工程</w:t>
      </w:r>
      <w:r>
        <w:rPr>
          <w:rFonts w:hint="eastAsia" w:ascii="仿宋_GB2312" w:hAnsi="仿宋_GB2312" w:eastAsia="仿宋_GB2312" w:cs="仿宋_GB2312"/>
          <w:sz w:val="32"/>
          <w:szCs w:val="32"/>
          <w:lang w:val="en-US" w:eastAsia="zh-CN"/>
        </w:rPr>
        <w:t>项目。预算金额260.66万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250.1</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250.1</w:t>
      </w:r>
      <w:r>
        <w:rPr>
          <w:rFonts w:hint="eastAsia" w:ascii="仿宋_GB2312" w:hAnsi="仿宋_GB2312" w:eastAsia="仿宋_GB2312" w:cs="仿宋_GB2312"/>
          <w:b w:val="0"/>
          <w:kern w:val="2"/>
          <w:sz w:val="32"/>
          <w:szCs w:val="32"/>
          <w:lang w:val="en-US" w:eastAsia="zh-CN" w:bidi="ar-SA"/>
        </w:rPr>
        <w:t>万元，预算执行率95.95%，得分10分；数量、质量、时效、成本均全部完成预期指标值，修建道路长度4.3km，验收合格率100%，得分40分；效益指标、满意度指标达到预期指标值得分50分，自评得分100分，为优秀。</w:t>
      </w:r>
    </w:p>
    <w:p w14:paraId="24535009">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 w:hAnsi="仿宋" w:eastAsia="仿宋"/>
          <w:sz w:val="32"/>
          <w:szCs w:val="32"/>
          <w:lang w:val="en-US" w:eastAsia="zh-CN"/>
        </w:rPr>
        <w:t>石财农【2024】35号2024年中央农村综合改革(大河镇项目）</w:t>
      </w:r>
      <w:r>
        <w:rPr>
          <w:rFonts w:hint="eastAsia" w:ascii="仿宋_GB2312" w:hAnsi="仿宋_GB2312" w:eastAsia="仿宋_GB2312" w:cs="仿宋_GB2312"/>
          <w:sz w:val="32"/>
          <w:szCs w:val="32"/>
          <w:lang w:val="en-US" w:eastAsia="zh-CN"/>
        </w:rPr>
        <w:t>。预算金额64.22万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64.22</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64.22</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道路硬化面积5316平方米、安装街道照明设施87盏、修建泄洪破砌墙面293立方米、修建铁栏杆200米、验收合格率95%、按时完工率100%，得分40分；效益指标、满意度指标达到预期指标值得分50分，自评得分100分，为优秀。</w:t>
      </w:r>
    </w:p>
    <w:p w14:paraId="48D22B95">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sz w:val="32"/>
          <w:szCs w:val="32"/>
          <w:lang w:val="en-US" w:eastAsia="zh-CN"/>
        </w:rPr>
        <w:t>石财农【2024】70号2025年农村综合改革（大河镇项目）。预算金额81.2万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81.2</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81.2</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道路硬化面积6935平方米、井盖更换126个、石砌墙面积509平方米、验收合格率95%、按时完工率100%，得分40分；效益指标、满意度指标达到预期指标值得分50分，自评得分100分，为优秀。</w:t>
      </w:r>
    </w:p>
    <w:p w14:paraId="5F4EE34B">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sz w:val="32"/>
          <w:szCs w:val="32"/>
          <w:lang w:val="en-US" w:eastAsia="zh-CN"/>
        </w:rPr>
        <w:t>石财农【2024】70号2025年农村综合改革（大河镇南故城项目）。预算金额29.59万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29.59</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29.59</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道路硬化面积4234平方米、井盖更换22个、验收合格率95%、按时完工率100%，得分40分；效益指标、满意度指标达到预期指标值得分50分，自评得分100分，为优秀。</w:t>
      </w:r>
    </w:p>
    <w:p w14:paraId="16C7E1F1">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sz w:val="32"/>
          <w:szCs w:val="32"/>
          <w:lang w:val="en-US" w:eastAsia="zh-CN"/>
        </w:rPr>
        <w:t>石财农【2024】100号2025年农村综合改革（大河镇小河村项目）。预算金额7万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道路硬化面积924.5平方米、井盖更换15个、验收合格率95%、按时完工率100%，得分40分；效益指标、满意度指标达到预期指标值得分50分，自评得分100分，为优秀。</w:t>
      </w:r>
    </w:p>
    <w:p w14:paraId="47DF0194">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 w:hAnsi="仿宋" w:eastAsia="仿宋"/>
          <w:sz w:val="32"/>
          <w:szCs w:val="32"/>
        </w:rPr>
      </w:pPr>
      <w:r>
        <w:rPr>
          <w:rFonts w:hint="eastAsia" w:ascii="仿宋_GB2312" w:hAnsi="仿宋_GB2312" w:eastAsia="仿宋_GB2312" w:cs="仿宋_GB2312"/>
          <w:sz w:val="32"/>
          <w:szCs w:val="32"/>
          <w:lang w:val="en-US" w:eastAsia="zh-CN"/>
        </w:rPr>
        <w:t>石财农【2024】100号2025年农村综合改革（大河镇项目）。预算金额25.2万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25.2</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25.2</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道路硬化面积1244平方米、阻水墙长度32米、验收合格率95%、按时完工率100%，得分40分；效益指标、满意度指标达到预期指标值得分50分，自评得分100分，为优秀。</w:t>
      </w:r>
    </w:p>
    <w:p w14:paraId="1E41A02A">
      <w:pPr>
        <w:keepNext w:val="0"/>
        <w:keepLines w:val="0"/>
        <w:pageBreakBefore w:val="0"/>
        <w:numPr>
          <w:ilvl w:val="0"/>
          <w:numId w:val="4"/>
        </w:numPr>
        <w:kinsoku/>
        <w:wordWrap/>
        <w:overflowPunct/>
        <w:topLinePunct w:val="0"/>
        <w:autoSpaceDE/>
        <w:autoSpaceDN/>
        <w:bidi w:val="0"/>
        <w:spacing w:line="578" w:lineRule="exact"/>
        <w:ind w:firstLine="800" w:firstLineChars="250"/>
        <w:rPr>
          <w:rFonts w:hint="eastAsia" w:ascii="仿宋" w:hAnsi="仿宋" w:eastAsia="仿宋"/>
          <w:sz w:val="32"/>
          <w:szCs w:val="32"/>
        </w:rPr>
      </w:pPr>
      <w:r>
        <w:rPr>
          <w:rFonts w:hint="eastAsia" w:ascii="仿宋_GB2312" w:hAnsi="仿宋_GB2312" w:eastAsia="仿宋_GB2312" w:cs="仿宋_GB2312"/>
          <w:sz w:val="32"/>
          <w:szCs w:val="32"/>
          <w:lang w:val="en-US" w:eastAsia="zh-CN"/>
        </w:rPr>
        <w:t>2025年区级大河镇水系连通及农村综合整治试点（古运河）项目占地等相关费用项目。预算金额950万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941.29</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941.29</w:t>
      </w:r>
      <w:r>
        <w:rPr>
          <w:rFonts w:hint="eastAsia" w:ascii="仿宋_GB2312" w:hAnsi="仿宋_GB2312" w:eastAsia="仿宋_GB2312" w:cs="仿宋_GB2312"/>
          <w:b w:val="0"/>
          <w:kern w:val="2"/>
          <w:sz w:val="32"/>
          <w:szCs w:val="32"/>
          <w:lang w:val="en-US" w:eastAsia="zh-CN" w:bidi="ar-SA"/>
        </w:rPr>
        <w:t>万元，预算执行率99.08%，得分10分；数量、质量、时效、成本均全部完成预期指标值，涉及村庄数量8个、整治覆盖率和及时率95%、得分40分；效益指标、满意度指标达到预期指标值得分50分，自评得分100分，为优秀。</w:t>
      </w:r>
    </w:p>
    <w:p w14:paraId="0421F45A">
      <w:pPr>
        <w:keepNext w:val="0"/>
        <w:keepLines w:val="0"/>
        <w:pageBreakBefore w:val="0"/>
        <w:numPr>
          <w:ilvl w:val="0"/>
          <w:numId w:val="4"/>
        </w:numPr>
        <w:kinsoku/>
        <w:wordWrap/>
        <w:overflowPunct/>
        <w:topLinePunct w:val="0"/>
        <w:autoSpaceDE/>
        <w:autoSpaceDN/>
        <w:bidi w:val="0"/>
        <w:spacing w:line="578" w:lineRule="exact"/>
        <w:ind w:left="0" w:leftChars="0" w:firstLine="800" w:firstLineChars="250"/>
        <w:rPr>
          <w:rFonts w:hint="eastAsia"/>
        </w:rPr>
      </w:pPr>
      <w:r>
        <w:rPr>
          <w:rFonts w:hint="eastAsia" w:ascii="仿宋_GB2312" w:hAnsi="仿宋_GB2312" w:eastAsia="仿宋_GB2312" w:cs="仿宋_GB2312"/>
          <w:sz w:val="32"/>
          <w:szCs w:val="32"/>
          <w:lang w:val="en-US" w:eastAsia="zh-CN"/>
        </w:rPr>
        <w:t xml:space="preserve"> 630台账项目。预算金额30.5万</w:t>
      </w:r>
      <w:r>
        <w:rPr>
          <w:rFonts w:hint="eastAsia" w:ascii="仿宋_GB2312" w:hAnsi="仿宋_GB2312" w:eastAsia="仿宋_GB2312" w:cs="仿宋_GB2312"/>
          <w:b w:val="0"/>
          <w:kern w:val="2"/>
          <w:sz w:val="32"/>
          <w:szCs w:val="32"/>
          <w:lang w:val="en-US" w:eastAsia="zh-CN" w:bidi="ar-SA"/>
        </w:rPr>
        <w:t>元，资金到位数</w:t>
      </w:r>
      <w:r>
        <w:rPr>
          <w:rFonts w:hint="eastAsia" w:ascii="仿宋_GB2312" w:hAnsi="仿宋_GB2312" w:eastAsia="仿宋_GB2312" w:cs="仿宋_GB2312"/>
          <w:sz w:val="32"/>
          <w:szCs w:val="32"/>
          <w:lang w:val="en-US" w:eastAsia="zh-CN"/>
        </w:rPr>
        <w:t>30.5</w:t>
      </w:r>
      <w:r>
        <w:rPr>
          <w:rFonts w:hint="eastAsia" w:ascii="仿宋_GB2312" w:hAnsi="仿宋_GB2312" w:eastAsia="仿宋_GB2312" w:cs="仿宋_GB2312"/>
          <w:b w:val="0"/>
          <w:kern w:val="2"/>
          <w:sz w:val="32"/>
          <w:szCs w:val="32"/>
          <w:lang w:val="en-US" w:eastAsia="zh-CN" w:bidi="ar-SA"/>
        </w:rPr>
        <w:t>万元，预算执行</w:t>
      </w:r>
      <w:r>
        <w:rPr>
          <w:rFonts w:hint="eastAsia" w:ascii="仿宋_GB2312" w:hAnsi="仿宋_GB2312" w:eastAsia="仿宋_GB2312" w:cs="仿宋_GB2312"/>
          <w:sz w:val="32"/>
          <w:szCs w:val="32"/>
          <w:lang w:val="en-US" w:eastAsia="zh-CN"/>
        </w:rPr>
        <w:t>30.5</w:t>
      </w:r>
      <w:r>
        <w:rPr>
          <w:rFonts w:hint="eastAsia" w:ascii="仿宋_GB2312" w:hAnsi="仿宋_GB2312" w:eastAsia="仿宋_GB2312" w:cs="仿宋_GB2312"/>
          <w:b w:val="0"/>
          <w:kern w:val="2"/>
          <w:sz w:val="32"/>
          <w:szCs w:val="32"/>
          <w:lang w:val="en-US" w:eastAsia="zh-CN" w:bidi="ar-SA"/>
        </w:rPr>
        <w:t>万元，预算执行率100%，得分10分；数量、质量、时效、成本均全部完成预期指标值，清理旧建设工程项目2个，得分40分；效益指标、满意度指标达到预期指标值得分50分，自评得分100分，为优秀。</w:t>
      </w:r>
    </w:p>
    <w:p w14:paraId="0B22219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25262FC">
      <w:pPr>
        <w:keepNext w:val="0"/>
        <w:keepLines w:val="0"/>
        <w:pageBreakBefore w:val="0"/>
        <w:kinsoku/>
        <w:wordWrap/>
        <w:overflowPunct/>
        <w:topLinePunct w:val="0"/>
        <w:autoSpaceDE/>
        <w:autoSpaceDN/>
        <w:bidi w:val="0"/>
        <w:spacing w:line="578"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r>
        <w:rPr>
          <w:rFonts w:hint="eastAsia" w:ascii="仿宋_GB2312" w:hAnsi="仿宋_GB2312" w:eastAsia="仿宋_GB2312" w:cs="仿宋_GB2312"/>
          <w:sz w:val="32"/>
          <w:szCs w:val="32"/>
          <w:lang w:val="en-US" w:eastAsia="zh-CN"/>
        </w:rPr>
        <w:t>我镇评价结果如下</w:t>
      </w:r>
      <w:r>
        <w:rPr>
          <w:rFonts w:hint="eastAsia" w:ascii="仿宋" w:hAnsi="仿宋" w:eastAsia="仿宋"/>
          <w:sz w:val="32"/>
          <w:szCs w:val="32"/>
          <w:lang w:val="en-US" w:eastAsia="zh-CN"/>
        </w:rPr>
        <w:t>：</w:t>
      </w:r>
    </w:p>
    <w:tbl>
      <w:tblPr>
        <w:tblW w:w="94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558"/>
        <w:gridCol w:w="7971"/>
        <w:gridCol w:w="906"/>
      </w:tblGrid>
      <w:tr w14:paraId="61FD1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872" w:type="dxa"/>
            <w:vMerge w:val="restart"/>
            <w:tcBorders>
              <w:top w:val="single" w:color="000000" w:sz="4" w:space="0"/>
              <w:left w:val="single" w:color="000000" w:sz="4" w:space="0"/>
              <w:bottom w:val="single" w:color="000000" w:sz="4" w:space="0"/>
              <w:right w:val="single" w:color="000000" w:sz="4" w:space="0"/>
            </w:tcBorders>
            <w:shd w:val="clear"/>
            <w:vAlign w:val="center"/>
          </w:tcPr>
          <w:p w14:paraId="72CA8E68">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序号</w:t>
            </w:r>
          </w:p>
        </w:tc>
        <w:tc>
          <w:tcPr>
            <w:tcW w:w="6555" w:type="dxa"/>
            <w:vMerge w:val="restart"/>
            <w:tcBorders>
              <w:top w:val="single" w:color="000000" w:sz="4" w:space="0"/>
              <w:left w:val="single" w:color="000000" w:sz="4" w:space="0"/>
              <w:bottom w:val="single" w:color="000000" w:sz="4" w:space="0"/>
              <w:right w:val="single" w:color="000000" w:sz="4" w:space="0"/>
            </w:tcBorders>
            <w:shd w:val="clear"/>
            <w:vAlign w:val="center"/>
          </w:tcPr>
          <w:p w14:paraId="1F5B882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项目名称</w:t>
            </w:r>
          </w:p>
        </w:tc>
        <w:tc>
          <w:tcPr>
            <w:tcW w:w="2016" w:type="dxa"/>
            <w:vMerge w:val="restart"/>
            <w:tcBorders>
              <w:top w:val="single" w:color="000000" w:sz="4" w:space="0"/>
              <w:left w:val="single" w:color="000000" w:sz="4" w:space="0"/>
              <w:bottom w:val="single" w:color="000000" w:sz="4" w:space="0"/>
              <w:right w:val="single" w:color="000000" w:sz="4" w:space="0"/>
            </w:tcBorders>
            <w:shd w:val="clear"/>
            <w:vAlign w:val="center"/>
          </w:tcPr>
          <w:p w14:paraId="5AF0BC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自评得分</w:t>
            </w:r>
          </w:p>
        </w:tc>
      </w:tr>
      <w:tr w14:paraId="2BF2D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72"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9091D75">
            <w:pPr>
              <w:jc w:val="center"/>
              <w:rPr>
                <w:rFonts w:hint="eastAsia" w:ascii="仿宋" w:hAnsi="仿宋" w:eastAsia="仿宋" w:cs="仿宋"/>
                <w:i w:val="0"/>
                <w:iCs w:val="0"/>
                <w:color w:val="000000"/>
                <w:sz w:val="24"/>
                <w:szCs w:val="24"/>
                <w:u w:val="none"/>
              </w:rPr>
            </w:pPr>
          </w:p>
        </w:tc>
        <w:tc>
          <w:tcPr>
            <w:tcW w:w="6555"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D9767FD">
            <w:pPr>
              <w:jc w:val="center"/>
              <w:rPr>
                <w:rFonts w:hint="eastAsia" w:ascii="仿宋" w:hAnsi="仿宋" w:eastAsia="仿宋" w:cs="仿宋"/>
                <w:i w:val="0"/>
                <w:iCs w:val="0"/>
                <w:color w:val="000000"/>
                <w:sz w:val="24"/>
                <w:szCs w:val="24"/>
                <w:u w:val="none"/>
              </w:rPr>
            </w:pPr>
          </w:p>
        </w:tc>
        <w:tc>
          <w:tcPr>
            <w:tcW w:w="2016"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8978617">
            <w:pPr>
              <w:jc w:val="center"/>
              <w:rPr>
                <w:rFonts w:hint="eastAsia" w:ascii="仿宋" w:hAnsi="仿宋" w:eastAsia="仿宋" w:cs="仿宋"/>
                <w:i w:val="0"/>
                <w:iCs w:val="0"/>
                <w:color w:val="000000"/>
                <w:sz w:val="24"/>
                <w:szCs w:val="24"/>
                <w:u w:val="none"/>
              </w:rPr>
            </w:pPr>
          </w:p>
        </w:tc>
      </w:tr>
      <w:tr w14:paraId="06899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5F16A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6BEF6844">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2025年镇级机关运转经费</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A4048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99</w:t>
            </w:r>
          </w:p>
        </w:tc>
      </w:tr>
      <w:tr w14:paraId="0261B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7B2B7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5D9C0D4C">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2025年镇级幼儿教师及代课教师劳务费支出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68953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3C89F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BDCF6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50D71D8B">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2025年镇级群众文化宣传资料及条幅、展牌等支出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F25DA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97</w:t>
            </w:r>
          </w:p>
        </w:tc>
      </w:tr>
      <w:tr w14:paraId="66E7F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E6998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727FCA62">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镇级三馆一站免费开放补助</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56740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059EC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A849A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4D0B3105">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2025年镇级社会保障农村救济支出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DB40A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98</w:t>
            </w:r>
          </w:p>
        </w:tc>
      </w:tr>
      <w:tr w14:paraId="7236D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C8DDA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40AFCB69">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2025年镇级卫生及计划生育事务支出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2CEF7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23EB6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66480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27D2D77A">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2025年镇级环保、大气污染防治支出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EE2A6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97</w:t>
            </w:r>
          </w:p>
        </w:tc>
      </w:tr>
      <w:tr w14:paraId="116A0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A9EAB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57EE3C91">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2025年镇级道路及周边提升整治等支出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AA249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97</w:t>
            </w:r>
          </w:p>
        </w:tc>
      </w:tr>
      <w:tr w14:paraId="3FBD1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E5241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1226C4DC">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2025年镇级城乡社区人居环境整治等支出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6E3AE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99</w:t>
            </w:r>
          </w:p>
        </w:tc>
      </w:tr>
      <w:tr w14:paraId="53086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00CFB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156EE88A">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2025年镇级绿化、防汛等事务支出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4DFAF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99</w:t>
            </w:r>
          </w:p>
        </w:tc>
      </w:tr>
      <w:tr w14:paraId="13275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73A17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14F2A1F7">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2025年镇级各村村级补助支出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8D3E8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4C36D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E0378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4DA73D9C">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2025年镇级应急管理事务支出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631CD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72F23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B6545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216E97D0">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2025年镇级张石高速占地补偿</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9114F0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bdr w:val="none" w:color="auto" w:sz="0" w:space="0"/>
                <w:lang w:val="en-US" w:eastAsia="zh-CN" w:bidi="ar"/>
              </w:rPr>
              <w:t>100</w:t>
            </w:r>
          </w:p>
        </w:tc>
      </w:tr>
      <w:tr w14:paraId="56FBC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097F8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13B5A6DD">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2025年区级退役公益岗位人员工资、社保</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D6D25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4FACF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41FF1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237C0B9D">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2025年区级石津干渠截流导流工程（大河镇段）后续管护费用</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081C8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48765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AFB9F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417C25EA">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2025年区级纸房头村给水管网升级改造工程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24DF9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65FF3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AA3EB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0461CB01">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2025年区级南北故城旧工业区拆迁补偿</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3FFFF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09BD5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60E8F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67D38871">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2025年区级故城旧工业区拆迁评估费</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E3FFA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484F3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0E71F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7E95C42D">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大河镇2025年1-12月扬尘污染防治网格工作经费</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B7228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w:t>
            </w:r>
          </w:p>
        </w:tc>
      </w:tr>
      <w:tr w14:paraId="71BC8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0CC22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72755D4B">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2024年11-12月重点区域扬尘污染防治网格工作经</w:t>
            </w:r>
            <w:bookmarkStart w:id="0" w:name="_GoBack"/>
            <w:bookmarkEnd w:id="0"/>
            <w:r>
              <w:rPr>
                <w:rFonts w:hint="eastAsia" w:ascii="宋体" w:hAnsi="宋体" w:eastAsia="宋体" w:cs="宋体"/>
                <w:i w:val="0"/>
                <w:iCs w:val="0"/>
                <w:color w:val="000000"/>
                <w:kern w:val="0"/>
                <w:sz w:val="22"/>
                <w:szCs w:val="22"/>
                <w:u w:val="none"/>
                <w:bdr w:val="none" w:color="auto" w:sz="0" w:space="0"/>
                <w:lang w:val="en-US" w:eastAsia="zh-CN" w:bidi="ar"/>
              </w:rPr>
              <w:t>费</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0103B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69E7D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41A90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35A3A18B">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大河镇西柏坡、京昆高速等沿线两侧环境卫生整治支出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2C96F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4D6A3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D9F3D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562FFB37">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大河镇2025年民政临时救助款</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5A6105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0998F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B8E89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52593959">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大河镇北故城村道路建设工程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10F125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5A3D3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37844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6CB14783">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石财农【2024】35号2024年中央农村综合改革(大河镇项目）</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3D775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7654F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E757F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2E226D64">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石财农【2024】70号2025年农村综合改革（大河镇项目）</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2A9A9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05C0C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0A0D8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7A7B92BC">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石财农【2024】70号2025年农村综合改革（大河镇南故城项目）</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09615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6EB3A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25DE8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72FC5AB3">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石财农【2024】100号2025年农村综合改革（大河镇小河村项目）</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5A03B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195D6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88D48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46DA9D65">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石财农【2024】100号2025年农村综合改革（大河镇项目）</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33949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49241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9EFB7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710EB88A">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2025年区级大河镇水系连通及农村综合整治试点（古运河）项目占地等相关费用</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1B5B5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14:paraId="07734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35D564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noWrap/>
            <w:vAlign w:val="bottom"/>
          </w:tcPr>
          <w:p w14:paraId="79E65398">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630台账</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4A6958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bl>
    <w:p w14:paraId="75B4BDC9">
      <w:pPr>
        <w:spacing w:line="560" w:lineRule="exact"/>
        <w:ind w:firstLine="640" w:firstLineChars="200"/>
        <w:rPr>
          <w:rFonts w:ascii="仿宋" w:hAnsi="仿宋" w:eastAsia="仿宋"/>
          <w:sz w:val="32"/>
          <w:szCs w:val="32"/>
        </w:rPr>
      </w:pPr>
    </w:p>
    <w:p w14:paraId="604EF2F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DC82068">
      <w:pPr>
        <w:keepNext w:val="0"/>
        <w:keepLines w:val="0"/>
        <w:pageBreakBefore w:val="0"/>
        <w:kinsoku/>
        <w:wordWrap/>
        <w:overflowPunct/>
        <w:topLinePunct w:val="0"/>
        <w:autoSpaceDE/>
        <w:autoSpaceDN/>
        <w:bidi w:val="0"/>
        <w:spacing w:line="578"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4DF4F4B">
      <w:pPr>
        <w:keepNext w:val="0"/>
        <w:keepLines w:val="0"/>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highlight w:val="none"/>
          <w:lang w:val="en-US" w:eastAsia="zh-CN"/>
        </w:rPr>
        <w:t>指标体系不够完善，难以满足不同层面不同性质的绩效评价需求，特别是部分项目效益指标定性指标多定量指标少，主观判断的多，具体可衡量的少。</w:t>
      </w:r>
    </w:p>
    <w:p w14:paraId="6E347A8A">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A23D220">
      <w:pPr>
        <w:keepNext w:val="0"/>
        <w:keepLines w:val="0"/>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加强培训学习。加强内部学习培训的同时，积极参加财政</w:t>
      </w:r>
      <w:r>
        <w:rPr>
          <w:rFonts w:hint="eastAsia" w:ascii="仿宋_GB2312" w:hAnsi="仿宋_GB2312" w:eastAsia="仿宋_GB2312" w:cs="仿宋_GB2312"/>
          <w:sz w:val="32"/>
          <w:szCs w:val="32"/>
          <w:lang w:val="en-US" w:eastAsia="zh-CN"/>
        </w:rPr>
        <w:t>局</w:t>
      </w:r>
      <w:r>
        <w:rPr>
          <w:rFonts w:hint="eastAsia" w:ascii="仿宋_GB2312" w:hAnsi="仿宋_GB2312" w:eastAsia="仿宋_GB2312" w:cs="仿宋_GB2312"/>
          <w:sz w:val="32"/>
          <w:szCs w:val="32"/>
        </w:rPr>
        <w:t>组织的绩效管理业务培训，学习借鉴，多举措、多渠道提升绩效管理认识和能力水平。</w:t>
      </w:r>
    </w:p>
    <w:p w14:paraId="0AB6DC5E">
      <w:pPr>
        <w:keepNext w:val="0"/>
        <w:keepLines w:val="0"/>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完善管理制度建设。我委根据省财政厅的相关文件要求，制定年度预算绩效管理工作计划和实施方案，制定本部门全面实施预算绩效管理意见、办法，为部门预算绩效管理的工作顺利实施提供制度依据。</w:t>
      </w:r>
    </w:p>
    <w:p w14:paraId="4A1BB7B0">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4AE3A">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1FDC19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841C26"/>
    <w:multiLevelType w:val="singleLevel"/>
    <w:tmpl w:val="FE841C26"/>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2F638B5D"/>
    <w:multiLevelType w:val="singleLevel"/>
    <w:tmpl w:val="2F638B5D"/>
    <w:lvl w:ilvl="0" w:tentative="0">
      <w:start w:val="1"/>
      <w:numFmt w:val="decimal"/>
      <w:lvlText w:val="%1."/>
      <w:lvlJc w:val="left"/>
      <w:pPr>
        <w:tabs>
          <w:tab w:val="left" w:pos="312"/>
        </w:tabs>
      </w:p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2817910"/>
    <w:rsid w:val="33EB6CFF"/>
    <w:rsid w:val="35A12947"/>
    <w:rsid w:val="37387040"/>
    <w:rsid w:val="3A742699"/>
    <w:rsid w:val="3B625C0A"/>
    <w:rsid w:val="3CEE1963"/>
    <w:rsid w:val="414C0AD4"/>
    <w:rsid w:val="436B78D3"/>
    <w:rsid w:val="4C9C27FE"/>
    <w:rsid w:val="4CAD4DDD"/>
    <w:rsid w:val="512260B4"/>
    <w:rsid w:val="52BD6ACB"/>
    <w:rsid w:val="55537534"/>
    <w:rsid w:val="561A74F1"/>
    <w:rsid w:val="58255193"/>
    <w:rsid w:val="597244E8"/>
    <w:rsid w:val="5CD050B5"/>
    <w:rsid w:val="5EB71C30"/>
    <w:rsid w:val="667B0788"/>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579</Words>
  <Characters>596</Characters>
  <Lines>4</Lines>
  <Paragraphs>1</Paragraphs>
  <TotalTime>36</TotalTime>
  <ScaleCrop>false</ScaleCrop>
  <LinksUpToDate>false</LinksUpToDate>
  <CharactersWithSpaces>618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侯祺琦</cp:lastModifiedBy>
  <cp:lastPrinted>2026-05-09T03:45:07Z</cp:lastPrinted>
  <dcterms:modified xsi:type="dcterms:W3CDTF">2026-05-09T03:45:10Z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eyJoZGlkIjoiNjYxNjA2YTVkODBmMTA4Y2Y2YjBiMjljNTM5NDRiYzQiLCJ1c2VySWQiOiIxNzUzNTQ3NjcwIn0=</vt:lpwstr>
  </property>
</Properties>
</file>