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ascii="黑体" w:hAnsi="黑体" w:eastAsia="黑体"/>
          <w:sz w:val="32"/>
          <w:szCs w:val="32"/>
        </w:rPr>
      </w:pPr>
      <w:r>
        <w:rPr>
          <w:rFonts w:hint="eastAsia" w:ascii="黑体" w:hAnsi="黑体" w:eastAsia="黑体"/>
          <w:sz w:val="32"/>
          <w:szCs w:val="32"/>
        </w:rPr>
        <w:t>附件3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石家庄市鹿泉区上寨乡人民政府</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贯彻落实石家庄市鹿泉区人民政府《关于全面实施预算绩效管理的实施意见》（鹿发〔2019〕8号）文件精神，遵循“科学性、规范性、客观性和公正性”的原则，对</w:t>
      </w:r>
      <w:r>
        <w:rPr>
          <w:rFonts w:hint="eastAsia" w:ascii="仿宋" w:hAnsi="仿宋" w:eastAsia="仿宋"/>
          <w:sz w:val="32"/>
          <w:szCs w:val="32"/>
          <w:lang w:val="en-US" w:eastAsia="zh-CN"/>
        </w:rPr>
        <w:t>上寨乡人民政府</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上寨乡党委、人大、政府主要职责是：</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2、讨论和决定本乡经济建设、政治建设、文化建设、社会建设、生态文明建设和党的建设以及乡村振兴中的重大问题。</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3、组织召开本级人民代表大会，充分行使重大事项决定权、监督权和任免权，做好人大代表工作，联系选民、反映群众意见和要求。</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4、执行本行政区域内的经济和社会发展计划，预算，管理</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本行政区域内的经济、教育、科学、文化、卫生健康、体育事业和财政、统计、民政、司法行政等行政工作。落实本级行政区域内发展规划、专项规划、区域规划、国土空间规划。</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6、加强乡党委自身建设和村党组织建设，以及其他隶属乡党委的党组织建设，抓好发展党员工作，加强党员队伍建设。维护和执行党的纪律，监督党员干部和其他任何工作人员严格遵守国家法律法规。</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7、按照干部管理权限，负责对干部的教育、培训、选拔、考核和监督工作。协助管理上级有关部门驻乡单位的干部。做好人才服务工作。</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8、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9、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保障宪法和法律赋予妇女的男女平等、同工同酬和婚姻自由等各项权利。</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10、承办上级党委、人大、政府交办的其他事项。</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上寨乡内设机构4个，分别为：党政综合办公室、党建工作办公室（挂人大主席团办公室牌子）、社会治理和应急管理办公室（挂综合指挥和信息化网络中心牌子）、自然资源和生态环境办公室；下辖事业单位4个：综合行政执法队、行政综合服务中心、经济发展办公室、退役军人服务站。乡纪委（监察办公室），负责全乡党的纪律检查工作。</w:t>
      </w:r>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highlight w:val="yellow"/>
          <w:lang w:val="en-US" w:eastAsia="zh-CN" w:bidi="ar-SA"/>
        </w:rPr>
      </w:pPr>
      <w:r>
        <w:rPr>
          <w:rFonts w:hint="eastAsia" w:ascii="仿宋" w:hAnsi="仿宋" w:eastAsia="仿宋" w:cs="黑体"/>
          <w:kern w:val="2"/>
          <w:sz w:val="32"/>
          <w:szCs w:val="32"/>
          <w:lang w:val="en-US" w:eastAsia="zh-CN" w:bidi="ar-SA"/>
        </w:rPr>
        <w:t>截至2025年底，部门独立编制机构1个为上寨乡人民政府；独立核算机构1个为上寨乡人民政府，年末在职在编实有人数</w:t>
      </w:r>
      <w:bookmarkStart w:id="1" w:name="_GoBack"/>
      <w:r>
        <w:rPr>
          <w:rFonts w:hint="eastAsia" w:ascii="仿宋" w:hAnsi="仿宋" w:eastAsia="仿宋" w:cs="黑体"/>
          <w:kern w:val="2"/>
          <w:sz w:val="32"/>
          <w:szCs w:val="32"/>
          <w:highlight w:val="none"/>
          <w:lang w:val="en-US" w:eastAsia="zh-CN" w:bidi="ar-SA"/>
        </w:rPr>
        <w:t>43人，其中行政在编人员19人，非参公事业人员 24人。</w:t>
      </w:r>
      <w:bookmarkEnd w:id="1"/>
    </w:p>
    <w:p>
      <w:pPr>
        <w:pStyle w:val="5"/>
        <w:keepNext w:val="0"/>
        <w:keepLines w:val="0"/>
        <w:pageBreakBefore w:val="0"/>
        <w:widowControl w:val="0"/>
        <w:suppressLineNumbers w:val="0"/>
        <w:kinsoku/>
        <w:wordWrap/>
        <w:overflowPunct/>
        <w:topLinePunct w:val="0"/>
        <w:autoSpaceDE/>
        <w:autoSpaceDN/>
        <w:bidi w:val="0"/>
        <w:adjustRightInd/>
        <w:snapToGrid/>
        <w:spacing w:beforeAutospacing="0" w:afterAutospacing="0" w:line="560" w:lineRule="exact"/>
        <w:ind w:left="0" w:firstLine="640" w:firstLineChars="200"/>
        <w:textAlignment w:val="auto"/>
        <w:rPr>
          <w:rFonts w:hint="eastAsia" w:ascii="仿宋" w:hAnsi="仿宋" w:eastAsia="仿宋" w:cs="黑体"/>
          <w:kern w:val="2"/>
          <w:sz w:val="32"/>
          <w:szCs w:val="32"/>
          <w:highlight w:val="yellow"/>
          <w:lang w:val="en-US" w:eastAsia="zh-CN" w:bidi="ar-SA"/>
        </w:rPr>
      </w:pPr>
      <w:r>
        <w:rPr>
          <w:rFonts w:hint="eastAsia" w:ascii="仿宋" w:hAnsi="仿宋" w:eastAsia="仿宋" w:cs="黑体"/>
          <w:kern w:val="2"/>
          <w:sz w:val="32"/>
          <w:szCs w:val="32"/>
          <w:lang w:val="en-US" w:eastAsia="zh-CN" w:bidi="ar-SA"/>
        </w:rPr>
        <w:t>截至2025年12月31日，本部门共有车辆3辆。其中，副部（省）级及以上领导用车0辆，主要领导干部用车0辆，机要通信用车0辆，应急保障用车1辆，执法执勤用车0辆，清洁用车2辆，离退休干部用车0辆，其他用车0辆；单位价值100万元以上设备（不含车辆）0 台（套）。</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1、收入支出预算总体情况说明</w:t>
      </w:r>
    </w:p>
    <w:p>
      <w:pPr>
        <w:adjustRightInd w:val="0"/>
        <w:snapToGrid w:val="0"/>
        <w:spacing w:line="560" w:lineRule="exact"/>
        <w:ind w:firstLine="640" w:firstLineChars="200"/>
        <w:rPr>
          <w:rFonts w:hint="eastAsia" w:ascii="仿宋" w:hAnsi="仿宋" w:eastAsia="仿宋"/>
          <w:sz w:val="32"/>
          <w:szCs w:val="32"/>
          <w:highlight w:val="none"/>
        </w:rPr>
      </w:pPr>
      <w:r>
        <w:rPr>
          <w:rFonts w:hint="eastAsia" w:ascii="仿宋" w:hAnsi="仿宋" w:eastAsia="仿宋"/>
          <w:sz w:val="32"/>
          <w:szCs w:val="32"/>
          <w:highlight w:val="none"/>
        </w:rPr>
        <w:t>本部门202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年度年初预算收支</w:t>
      </w:r>
      <w:r>
        <w:rPr>
          <w:rFonts w:hint="eastAsia" w:ascii="仿宋" w:hAnsi="仿宋" w:eastAsia="仿宋"/>
          <w:sz w:val="32"/>
          <w:szCs w:val="32"/>
          <w:highlight w:val="none"/>
          <w:lang w:val="en-US" w:eastAsia="zh-CN"/>
        </w:rPr>
        <w:t>2313.34</w:t>
      </w:r>
      <w:r>
        <w:rPr>
          <w:rFonts w:hint="eastAsia" w:ascii="仿宋" w:hAnsi="仿宋" w:eastAsia="仿宋"/>
          <w:sz w:val="32"/>
          <w:szCs w:val="32"/>
          <w:highlight w:val="none"/>
        </w:rPr>
        <w:t>万元，全年预算安排</w:t>
      </w:r>
      <w:r>
        <w:rPr>
          <w:rFonts w:hint="eastAsia" w:ascii="仿宋" w:hAnsi="仿宋" w:eastAsia="仿宋"/>
          <w:sz w:val="32"/>
          <w:szCs w:val="32"/>
          <w:highlight w:val="none"/>
          <w:lang w:val="en-US" w:eastAsia="zh-CN"/>
        </w:rPr>
        <w:t>2365.74</w:t>
      </w:r>
      <w:r>
        <w:rPr>
          <w:rFonts w:hint="eastAsia" w:ascii="仿宋" w:hAnsi="仿宋" w:eastAsia="仿宋"/>
          <w:sz w:val="32"/>
          <w:szCs w:val="32"/>
          <w:highlight w:val="none"/>
        </w:rPr>
        <w:t>万元，预算支出</w:t>
      </w:r>
      <w:r>
        <w:rPr>
          <w:rFonts w:hint="eastAsia" w:ascii="仿宋" w:hAnsi="仿宋" w:eastAsia="仿宋"/>
          <w:sz w:val="32"/>
          <w:szCs w:val="32"/>
          <w:highlight w:val="none"/>
          <w:lang w:val="en-US" w:eastAsia="zh-CN"/>
        </w:rPr>
        <w:t>2385.07</w:t>
      </w:r>
      <w:r>
        <w:rPr>
          <w:rFonts w:hint="eastAsia" w:ascii="仿宋" w:hAnsi="仿宋" w:eastAsia="仿宋"/>
          <w:sz w:val="32"/>
          <w:szCs w:val="32"/>
          <w:highlight w:val="none"/>
        </w:rPr>
        <w:t>万元，较202</w:t>
      </w:r>
      <w:r>
        <w:rPr>
          <w:rFonts w:hint="eastAsia" w:ascii="仿宋" w:hAnsi="仿宋" w:eastAsia="仿宋"/>
          <w:sz w:val="32"/>
          <w:szCs w:val="32"/>
          <w:highlight w:val="none"/>
          <w:lang w:val="en-US" w:eastAsia="zh-CN"/>
        </w:rPr>
        <w:t>4</w:t>
      </w:r>
      <w:r>
        <w:rPr>
          <w:rFonts w:hint="eastAsia" w:ascii="仿宋" w:hAnsi="仿宋" w:eastAsia="仿宋"/>
          <w:sz w:val="32"/>
          <w:szCs w:val="32"/>
          <w:highlight w:val="none"/>
        </w:rPr>
        <w:t>年预算增加</w:t>
      </w:r>
    </w:p>
    <w:p>
      <w:pPr>
        <w:pStyle w:val="2"/>
        <w:rPr>
          <w:rFonts w:hint="eastAsia" w:ascii="仿宋" w:hAnsi="仿宋" w:eastAsia="仿宋"/>
          <w:sz w:val="32"/>
          <w:szCs w:val="32"/>
          <w:highlight w:val="none"/>
        </w:rPr>
      </w:pPr>
      <w:r>
        <w:rPr>
          <w:rFonts w:hint="eastAsia" w:ascii="仿宋" w:hAnsi="仿宋" w:eastAsia="仿宋"/>
          <w:sz w:val="32"/>
          <w:szCs w:val="32"/>
          <w:highlight w:val="none"/>
          <w:lang w:val="en-US" w:eastAsia="zh-CN"/>
        </w:rPr>
        <w:t>389.72</w:t>
      </w:r>
      <w:r>
        <w:rPr>
          <w:rFonts w:hint="eastAsia" w:ascii="仿宋" w:hAnsi="仿宋" w:eastAsia="仿宋"/>
          <w:sz w:val="32"/>
          <w:szCs w:val="32"/>
          <w:highlight w:val="none"/>
        </w:rPr>
        <w:t>万元，其中基本支出</w:t>
      </w:r>
      <w:r>
        <w:rPr>
          <w:rFonts w:hint="eastAsia" w:ascii="仿宋" w:hAnsi="仿宋" w:eastAsia="仿宋"/>
          <w:sz w:val="32"/>
          <w:szCs w:val="32"/>
          <w:highlight w:val="none"/>
          <w:lang w:val="en-US" w:eastAsia="zh-CN"/>
        </w:rPr>
        <w:t>913.89</w:t>
      </w:r>
      <w:r>
        <w:rPr>
          <w:rFonts w:hint="eastAsia" w:ascii="仿宋" w:hAnsi="仿宋" w:eastAsia="仿宋"/>
          <w:sz w:val="32"/>
          <w:szCs w:val="32"/>
          <w:highlight w:val="none"/>
        </w:rPr>
        <w:t>万元，较上年减少</w:t>
      </w:r>
      <w:r>
        <w:rPr>
          <w:rFonts w:hint="eastAsia" w:ascii="仿宋" w:hAnsi="仿宋" w:eastAsia="仿宋"/>
          <w:sz w:val="32"/>
          <w:szCs w:val="32"/>
          <w:highlight w:val="none"/>
          <w:lang w:val="en-US" w:eastAsia="zh-CN"/>
        </w:rPr>
        <w:t>1.91</w:t>
      </w:r>
      <w:r>
        <w:rPr>
          <w:rFonts w:hint="eastAsia" w:ascii="仿宋" w:hAnsi="仿宋" w:eastAsia="仿宋"/>
          <w:sz w:val="32"/>
          <w:szCs w:val="32"/>
          <w:highlight w:val="none"/>
        </w:rPr>
        <w:t>万</w:t>
      </w:r>
    </w:p>
    <w:p>
      <w:pPr>
        <w:pStyle w:val="2"/>
        <w:rPr>
          <w:rFonts w:hint="eastAsia" w:ascii="仿宋" w:hAnsi="仿宋" w:eastAsia="仿宋"/>
          <w:sz w:val="32"/>
          <w:szCs w:val="32"/>
          <w:highlight w:val="none"/>
        </w:rPr>
      </w:pPr>
      <w:r>
        <w:rPr>
          <w:rFonts w:hint="eastAsia" w:ascii="仿宋" w:hAnsi="仿宋" w:eastAsia="仿宋"/>
          <w:sz w:val="32"/>
          <w:szCs w:val="32"/>
          <w:highlight w:val="none"/>
        </w:rPr>
        <w:t>元，项目支出</w:t>
      </w:r>
      <w:r>
        <w:rPr>
          <w:rFonts w:hint="eastAsia" w:ascii="仿宋" w:hAnsi="仿宋" w:eastAsia="仿宋"/>
          <w:sz w:val="32"/>
          <w:szCs w:val="32"/>
          <w:highlight w:val="none"/>
          <w:lang w:val="en-US" w:eastAsia="zh-CN"/>
        </w:rPr>
        <w:t>1471.18</w:t>
      </w:r>
      <w:r>
        <w:rPr>
          <w:rFonts w:hint="eastAsia" w:ascii="仿宋" w:hAnsi="仿宋" w:eastAsia="仿宋"/>
          <w:sz w:val="32"/>
          <w:szCs w:val="32"/>
          <w:highlight w:val="none"/>
        </w:rPr>
        <w:t>万元，比上年增加</w:t>
      </w:r>
      <w:r>
        <w:rPr>
          <w:rFonts w:hint="eastAsia" w:ascii="仿宋" w:hAnsi="仿宋" w:eastAsia="仿宋"/>
          <w:sz w:val="32"/>
          <w:szCs w:val="32"/>
          <w:highlight w:val="none"/>
          <w:lang w:val="en-US" w:eastAsia="zh-CN"/>
        </w:rPr>
        <w:t>391.64</w:t>
      </w:r>
      <w:r>
        <w:rPr>
          <w:rFonts w:hint="eastAsia" w:ascii="仿宋" w:hAnsi="仿宋" w:eastAsia="仿宋"/>
          <w:sz w:val="32"/>
          <w:szCs w:val="32"/>
          <w:highlight w:val="none"/>
        </w:rPr>
        <w:t>万元，主要原</w:t>
      </w:r>
    </w:p>
    <w:p>
      <w:pPr>
        <w:adjustRightInd w:val="0"/>
        <w:snapToGrid w:val="0"/>
        <w:spacing w:line="560" w:lineRule="exact"/>
        <w:rPr>
          <w:rFonts w:hint="eastAsia" w:ascii="仿宋" w:hAnsi="仿宋" w:eastAsia="仿宋"/>
          <w:sz w:val="32"/>
          <w:szCs w:val="32"/>
          <w:highlight w:val="yellow"/>
        </w:rPr>
      </w:pPr>
      <w:r>
        <w:rPr>
          <w:rFonts w:hint="eastAsia" w:ascii="仿宋" w:hAnsi="仿宋" w:eastAsia="仿宋"/>
          <w:sz w:val="32"/>
          <w:szCs w:val="32"/>
          <w:highlight w:val="none"/>
        </w:rPr>
        <w:t>项目预算支出增加。</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2、收入支出决算总体情况说明</w:t>
      </w:r>
    </w:p>
    <w:p>
      <w:pPr>
        <w:numPr>
          <w:numId w:val="0"/>
        </w:numPr>
        <w:adjustRightInd w:val="0"/>
        <w:snapToGrid w:val="0"/>
        <w:spacing w:line="560" w:lineRule="exact"/>
        <w:ind w:firstLine="640" w:firstLineChars="200"/>
        <w:rPr>
          <w:rFonts w:hint="eastAsia" w:ascii="仿宋" w:hAnsi="仿宋" w:eastAsia="仿宋" w:cs="黑体"/>
          <w:kern w:val="2"/>
          <w:sz w:val="32"/>
          <w:szCs w:val="32"/>
          <w:highlight w:val="none"/>
          <w:lang w:val="en-US" w:eastAsia="zh-CN" w:bidi="ar-SA"/>
        </w:rPr>
      </w:pPr>
      <w:r>
        <w:rPr>
          <w:rFonts w:hint="eastAsia" w:ascii="仿宋" w:hAnsi="仿宋" w:eastAsia="仿宋"/>
          <w:sz w:val="32"/>
          <w:szCs w:val="32"/>
          <w:highlight w:val="none"/>
        </w:rPr>
        <w:t>本部门202</w:t>
      </w:r>
      <w:r>
        <w:rPr>
          <w:rFonts w:hint="eastAsia" w:ascii="仿宋" w:hAnsi="仿宋" w:eastAsia="仿宋"/>
          <w:sz w:val="32"/>
          <w:szCs w:val="32"/>
          <w:highlight w:val="none"/>
          <w:lang w:val="en-US" w:eastAsia="zh-CN"/>
        </w:rPr>
        <w:t>5</w:t>
      </w:r>
      <w:r>
        <w:rPr>
          <w:rFonts w:hint="eastAsia" w:ascii="仿宋" w:hAnsi="仿宋" w:eastAsia="仿宋"/>
          <w:sz w:val="32"/>
          <w:szCs w:val="32"/>
          <w:highlight w:val="none"/>
        </w:rPr>
        <w:t>年度收入</w:t>
      </w:r>
      <w:r>
        <w:rPr>
          <w:rFonts w:hint="eastAsia" w:ascii="仿宋" w:hAnsi="仿宋" w:eastAsia="仿宋"/>
          <w:sz w:val="32"/>
          <w:szCs w:val="32"/>
          <w:highlight w:val="none"/>
          <w:lang w:val="en-US" w:eastAsia="zh-CN"/>
        </w:rPr>
        <w:t>2385.07</w:t>
      </w:r>
      <w:r>
        <w:rPr>
          <w:rFonts w:hint="eastAsia" w:ascii="仿宋" w:hAnsi="仿宋" w:eastAsia="仿宋"/>
          <w:sz w:val="32"/>
          <w:szCs w:val="32"/>
          <w:highlight w:val="none"/>
        </w:rPr>
        <w:t>万元，较年初预算</w:t>
      </w:r>
      <w:r>
        <w:rPr>
          <w:rFonts w:hint="eastAsia" w:ascii="仿宋" w:hAnsi="仿宋" w:eastAsia="仿宋"/>
          <w:sz w:val="32"/>
          <w:szCs w:val="32"/>
          <w:highlight w:val="none"/>
          <w:lang w:val="en-US" w:eastAsia="zh-CN"/>
        </w:rPr>
        <w:t>减少73.27</w:t>
      </w:r>
      <w:r>
        <w:rPr>
          <w:rFonts w:hint="eastAsia" w:ascii="仿宋" w:hAnsi="仿宋" w:eastAsia="仿宋"/>
          <w:sz w:val="32"/>
          <w:szCs w:val="32"/>
          <w:highlight w:val="none"/>
        </w:rPr>
        <w:t>万元，较全年预算持平；支出</w:t>
      </w:r>
      <w:r>
        <w:rPr>
          <w:rFonts w:hint="eastAsia" w:ascii="仿宋" w:hAnsi="仿宋" w:eastAsia="仿宋"/>
          <w:sz w:val="32"/>
          <w:szCs w:val="32"/>
          <w:highlight w:val="none"/>
          <w:lang w:val="en-US" w:eastAsia="zh-CN"/>
        </w:rPr>
        <w:t>2385.07</w:t>
      </w:r>
      <w:r>
        <w:rPr>
          <w:rFonts w:hint="eastAsia" w:ascii="仿宋" w:hAnsi="仿宋" w:eastAsia="仿宋"/>
          <w:sz w:val="32"/>
          <w:szCs w:val="32"/>
          <w:highlight w:val="none"/>
        </w:rPr>
        <w:t>万元，较年初预算</w:t>
      </w:r>
      <w:r>
        <w:rPr>
          <w:rFonts w:hint="eastAsia" w:ascii="仿宋" w:hAnsi="仿宋" w:eastAsia="仿宋"/>
          <w:sz w:val="32"/>
          <w:szCs w:val="32"/>
          <w:highlight w:val="none"/>
          <w:lang w:val="en-US" w:eastAsia="zh-CN"/>
        </w:rPr>
        <w:t>减少73.27</w:t>
      </w:r>
      <w:r>
        <w:rPr>
          <w:rFonts w:hint="eastAsia" w:ascii="仿宋" w:hAnsi="仿宋" w:eastAsia="仿宋"/>
          <w:sz w:val="32"/>
          <w:szCs w:val="32"/>
          <w:highlight w:val="none"/>
        </w:rPr>
        <w:t>万元，较全年预算持平。</w:t>
      </w:r>
    </w:p>
    <w:p>
      <w:pPr>
        <w:numPr>
          <w:ilvl w:val="0"/>
          <w:numId w:val="1"/>
        </w:numPr>
        <w:adjustRightInd w:val="0"/>
        <w:snapToGrid w:val="0"/>
        <w:spacing w:line="560" w:lineRule="exact"/>
        <w:ind w:left="0" w:leftChars="0"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pStyle w:val="2"/>
        <w:keepNext w:val="0"/>
        <w:keepLines w:val="0"/>
        <w:pageBreakBefore w:val="0"/>
        <w:widowControl w:val="0"/>
        <w:numPr>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1.加大招商引资和项目建设力度。积极谋划新项目，充分挖掘潜在固投资源，确保各类项目应入进入，应统尽统，克服各类困难，迎难而上，力争保质保量完成各项指标任务。</w:t>
      </w:r>
    </w:p>
    <w:p>
      <w:pPr>
        <w:pStyle w:val="2"/>
        <w:keepNext w:val="0"/>
        <w:keepLines w:val="0"/>
        <w:pageBreakBefore w:val="0"/>
        <w:widowControl w:val="0"/>
        <w:numPr>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2.立足于生态产业优势。拟将在新成立的项目服务中心的帮助下，努力克服自身存在的不足，加大招商引智力度，力促各类项目早日签约落地。</w:t>
      </w:r>
    </w:p>
    <w:p>
      <w:pPr>
        <w:pStyle w:val="2"/>
        <w:keepNext w:val="0"/>
        <w:keepLines w:val="0"/>
        <w:pageBreakBefore w:val="0"/>
        <w:widowControl w:val="0"/>
        <w:numPr>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改造升级现有农业庄园。依托紫藤西山庄园、常馨谷谋划打造现代农业园区，按照“因地制宜、施法自然、注重生态”的原则，致力于乡村休闲旅游、农耕体验度假、有机蔬菜种植与采摘，为全乡经济发展打造新的增长点。</w:t>
      </w:r>
    </w:p>
    <w:p>
      <w:pPr>
        <w:pStyle w:val="2"/>
        <w:keepNext w:val="0"/>
        <w:keepLines w:val="0"/>
        <w:pageBreakBefore w:val="0"/>
        <w:widowControl w:val="0"/>
        <w:numPr>
          <w:numId w:val="0"/>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加大协调力度，促使谋划项目早日建成。主动作为走出去，引智、引资、引政策。对接上级农林水、交通、城建、土地等部门，包装、跑办项目，争取资金、政策等方面扶持，结合本地自然、人文、区位、旅游等特色优势资源，力争实现谋划项目早日建成。</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spacing w:line="560" w:lineRule="exact"/>
        <w:rPr>
          <w:rFonts w:hint="eastAsia" w:ascii="仿宋" w:hAnsi="仿宋" w:eastAsia="仿宋"/>
          <w:sz w:val="32"/>
          <w:szCs w:val="32"/>
        </w:rPr>
      </w:pPr>
      <w:r>
        <w:rPr>
          <w:rFonts w:hint="eastAsia" w:ascii="仿宋" w:hAnsi="仿宋" w:eastAsia="仿宋"/>
          <w:sz w:val="32"/>
          <w:szCs w:val="32"/>
        </w:rPr>
        <w:t xml:space="preserve">     我乡党委、政府严格落实主体责任，成立由乡长任组长，分管项目副职任副组长，财政所长任主任的监管运行领导小组，定期对绩效监控信息进行收集、汇总、分析。同时，我们还实行建设项目工作监察员制度，监察人员为乡纪委，以独立身份对本单位的建设项目工作实行全过程监督，享有知情权、参与权和建议权。</w:t>
      </w:r>
    </w:p>
    <w:p>
      <w:pPr>
        <w:spacing w:line="560" w:lineRule="exact"/>
        <w:ind w:firstLine="640" w:firstLineChars="200"/>
        <w:rPr>
          <w:rFonts w:ascii="仿宋" w:hAnsi="仿宋" w:eastAsia="仿宋"/>
          <w:sz w:val="32"/>
          <w:szCs w:val="32"/>
        </w:rPr>
      </w:pPr>
      <w:r>
        <w:rPr>
          <w:rFonts w:hint="eastAsia" w:ascii="仿宋" w:hAnsi="仿宋" w:eastAsia="仿宋"/>
          <w:sz w:val="32"/>
          <w:szCs w:val="32"/>
        </w:rPr>
        <w:t>通过清晰的界定工作的内容与其需要达到的标准，使管理活动更加适宜，组织目标更加明确，达到项目设定的效果。前期进行大量的调查研究，在此基础上进行了项目战略规划的编制、绩效目标的设立、指标设定及论证，科学立项；精确编制建设项目预算；着重于计划管理、绩效监控、风险控制、资金筹措及绩效制度建设，认真组织实施；设立绩效自评工作组织，进行评价。</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pStyle w:val="2"/>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前期准备：根据有关规定及要求，认真组织人员对项目自评资料进行收集、整理，针对指标完成情况进行绩效分析。为有效及时的完成项目绩效自评工作打下坚实的基础。</w:t>
      </w:r>
    </w:p>
    <w:p>
      <w:pPr>
        <w:pStyle w:val="2"/>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组织实施：加强过程控制，认真总结项目实现绩效目标过程中存在的问题和采取的改进措施，对项目的预算编制、工程施工、材料的采购进行认真的分析研究，整个过程严格按照绩效评价管理办法进行。</w:t>
      </w:r>
    </w:p>
    <w:p>
      <w:pPr>
        <w:pStyle w:val="2"/>
        <w:ind w:firstLine="640" w:firstLineChars="200"/>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分析评价：根据项目的自身特点和确定的各项绩效指标，对</w:t>
      </w:r>
    </w:p>
    <w:p>
      <w:pPr>
        <w:pStyle w:val="2"/>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照项目完成情况，逐一进行评价，确保评价结论真实、客观、公平、公正。</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pStyle w:val="2"/>
        <w:ind w:firstLine="640" w:firstLineChars="200"/>
        <w:rPr>
          <w:rFonts w:hint="eastAsia" w:ascii="宋体" w:hAnsi="宋体" w:eastAsia="仿宋_GB2312" w:cs="仿宋_GB2312"/>
          <w:b w:val="0"/>
          <w:bCs w:val="0"/>
          <w:sz w:val="32"/>
          <w:szCs w:val="32"/>
          <w:lang w:val="en-US" w:eastAsia="zh-CN"/>
        </w:rPr>
      </w:pPr>
      <w:r>
        <w:rPr>
          <w:rFonts w:hint="eastAsia" w:ascii="宋体" w:hAnsi="宋体" w:eastAsia="仿宋_GB2312"/>
          <w:sz w:val="32"/>
          <w:lang w:val="en-US" w:eastAsia="zh-CN"/>
        </w:rPr>
        <w:t>今年以来，上寨乡在区委、区政府的坚强领导下，以习近平新时代中国特色社会主义思想为指导，深入学习贯彻党的二十大及二十届</w:t>
      </w:r>
      <w:r>
        <w:rPr>
          <w:rFonts w:hint="eastAsia" w:ascii="宋体" w:hAnsi="宋体" w:eastAsia="仿宋_GB2312"/>
          <w:sz w:val="32"/>
          <w:highlight w:val="none"/>
          <w:lang w:val="en-US" w:eastAsia="zh-CN"/>
        </w:rPr>
        <w:t>二中、三中、四</w:t>
      </w:r>
      <w:r>
        <w:rPr>
          <w:rFonts w:hint="eastAsia" w:ascii="宋体" w:hAnsi="宋体" w:eastAsia="仿宋_GB2312"/>
          <w:sz w:val="32"/>
          <w:lang w:val="en-US" w:eastAsia="zh-CN"/>
        </w:rPr>
        <w:t>中全会精神，紧扣“生态立乡、文旅兴乡”发展定位，</w:t>
      </w:r>
      <w:r>
        <w:rPr>
          <w:rFonts w:hint="eastAsia" w:ascii="宋体" w:hAnsi="宋体" w:eastAsia="仿宋_GB2312" w:cs="仿宋_GB2312"/>
          <w:sz w:val="32"/>
          <w:szCs w:val="32"/>
        </w:rPr>
        <w:t>在全</w:t>
      </w:r>
      <w:r>
        <w:rPr>
          <w:rFonts w:hint="eastAsia" w:ascii="宋体" w:hAnsi="宋体" w:eastAsia="仿宋_GB2312" w:cs="仿宋_GB2312"/>
          <w:sz w:val="32"/>
          <w:szCs w:val="32"/>
          <w:lang w:eastAsia="zh-CN"/>
        </w:rPr>
        <w:t>乡</w:t>
      </w:r>
      <w:r>
        <w:rPr>
          <w:rFonts w:hint="eastAsia" w:ascii="宋体" w:hAnsi="宋体" w:eastAsia="仿宋_GB2312" w:cs="仿宋_GB2312"/>
          <w:sz w:val="32"/>
          <w:szCs w:val="32"/>
        </w:rPr>
        <w:t>党员干部的共同努力下，奋发有为，开拓进取，高效统筹</w:t>
      </w:r>
      <w:r>
        <w:rPr>
          <w:rFonts w:hint="eastAsia" w:ascii="宋体" w:hAnsi="宋体" w:eastAsia="仿宋_GB2312" w:cs="仿宋_GB2312"/>
          <w:sz w:val="32"/>
          <w:szCs w:val="32"/>
          <w:lang w:val="en-US" w:eastAsia="zh-CN"/>
        </w:rPr>
        <w:t>发展与安全，各项</w:t>
      </w:r>
      <w:r>
        <w:rPr>
          <w:rFonts w:hint="eastAsia" w:ascii="宋体" w:hAnsi="宋体" w:eastAsia="仿宋_GB2312" w:cs="仿宋_GB2312"/>
          <w:sz w:val="32"/>
          <w:szCs w:val="32"/>
        </w:rPr>
        <w:t>工作取得显著成绩</w:t>
      </w:r>
      <w:r>
        <w:rPr>
          <w:rFonts w:hint="eastAsia" w:ascii="宋体" w:hAnsi="宋体" w:eastAsia="仿宋_GB2312" w:cs="仿宋_GB2312"/>
          <w:b w:val="0"/>
          <w:bCs w:val="0"/>
          <w:sz w:val="32"/>
          <w:szCs w:val="32"/>
          <w:lang w:val="en-US" w:eastAsia="zh-CN"/>
        </w:rPr>
        <w:t>。</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jc w:val="both"/>
        <w:textAlignment w:val="auto"/>
        <w:rPr>
          <w:rFonts w:hint="eastAsia" w:ascii="宋体" w:hAnsi="宋体" w:eastAsia="仿宋_GB2312" w:cs="仿宋_GB2312"/>
          <w:b w:val="0"/>
          <w:bCs w:val="0"/>
          <w:sz w:val="32"/>
          <w:szCs w:val="32"/>
          <w:lang w:val="en-US" w:eastAsia="zh-CN"/>
        </w:rPr>
      </w:pPr>
      <w:r>
        <w:rPr>
          <w:rFonts w:hint="eastAsia" w:ascii="宋体" w:hAnsi="宋体" w:eastAsia="楷体" w:cs="楷体"/>
          <w:b w:val="0"/>
          <w:bCs w:val="0"/>
          <w:color w:val="auto"/>
          <w:sz w:val="32"/>
          <w:szCs w:val="32"/>
          <w:lang w:val="en-US" w:eastAsia="zh-CN"/>
        </w:rPr>
        <w:t>（1）经济指标持续增长，内生动力稳步提升。</w:t>
      </w:r>
      <w:r>
        <w:rPr>
          <w:rFonts w:hint="eastAsia" w:ascii="宋体" w:hAnsi="宋体" w:eastAsia="仿宋_GB2312" w:cs="仿宋_GB2312"/>
          <w:b w:val="0"/>
          <w:bCs w:val="0"/>
          <w:sz w:val="32"/>
          <w:szCs w:val="32"/>
          <w:highlight w:val="none"/>
          <w:lang w:val="en-US" w:eastAsia="zh-CN"/>
        </w:rPr>
        <w:t>乡党委、政府坚持稳中求进工作总基调，全力以赴抓经济、促发展。2025年一般公共预算收入预计累计完成800万元，入库入统项目达11个，固定资产投资完成5678万元，增速位居全区第一，圆满完成“十四五”收官。</w:t>
      </w:r>
    </w:p>
    <w:p>
      <w:pPr>
        <w:keepNext w:val="0"/>
        <w:keepLines w:val="0"/>
        <w:pageBreakBefore w:val="0"/>
        <w:widowControl/>
        <w:numPr>
          <w:ilvl w:val="0"/>
          <w:numId w:val="0"/>
        </w:numPr>
        <w:kinsoku/>
        <w:wordWrap/>
        <w:overflowPunct/>
        <w:topLinePunct w:val="0"/>
        <w:autoSpaceDE/>
        <w:autoSpaceDN/>
        <w:bidi w:val="0"/>
        <w:adjustRightInd w:val="0"/>
        <w:snapToGrid w:val="0"/>
        <w:spacing w:line="578" w:lineRule="exact"/>
        <w:ind w:firstLine="640" w:firstLineChars="200"/>
        <w:jc w:val="both"/>
        <w:textAlignment w:val="auto"/>
        <w:rPr>
          <w:rFonts w:hint="eastAsia" w:ascii="宋体" w:hAnsi="宋体" w:eastAsia="仿宋_GB2312" w:cs="仿宋_GB2312"/>
          <w:b w:val="0"/>
          <w:bCs w:val="0"/>
          <w:color w:val="auto"/>
          <w:sz w:val="32"/>
          <w:szCs w:val="32"/>
          <w:lang w:val="en-US" w:eastAsia="zh-CN"/>
        </w:rPr>
      </w:pPr>
      <w:r>
        <w:rPr>
          <w:rFonts w:hint="eastAsia" w:ascii="宋体" w:hAnsi="宋体" w:eastAsia="楷体" w:cs="楷体"/>
          <w:b w:val="0"/>
          <w:bCs w:val="0"/>
          <w:color w:val="auto"/>
          <w:sz w:val="32"/>
          <w:szCs w:val="32"/>
          <w:lang w:val="en-US" w:eastAsia="zh-CN"/>
        </w:rPr>
        <w:t>（2）</w:t>
      </w:r>
      <w:r>
        <w:rPr>
          <w:rFonts w:hint="eastAsia" w:ascii="宋体" w:hAnsi="宋体" w:eastAsia="楷体" w:cs="楷体"/>
          <w:b w:val="0"/>
          <w:bCs w:val="0"/>
          <w:color w:val="auto"/>
          <w:kern w:val="2"/>
          <w:sz w:val="32"/>
          <w:szCs w:val="32"/>
          <w:lang w:val="en-US" w:eastAsia="zh-CN" w:bidi="ar-SA"/>
        </w:rPr>
        <w:t>项目建设全面铺开，发展引擎动能增强</w:t>
      </w:r>
      <w:r>
        <w:rPr>
          <w:rFonts w:hint="eastAsia" w:ascii="宋体" w:hAnsi="宋体" w:eastAsia="仿宋_GB2312" w:cs="仿宋_GB2312"/>
          <w:b w:val="0"/>
          <w:bCs w:val="0"/>
          <w:color w:val="auto"/>
          <w:sz w:val="32"/>
          <w:szCs w:val="32"/>
          <w:lang w:val="en-US" w:eastAsia="zh-CN"/>
        </w:rPr>
        <w:t>。牢固树立“项目为王”理念，以项目建设撬动发展引擎。2025年在建项目6个，重点谋划项目4个，</w:t>
      </w:r>
      <w:r>
        <w:rPr>
          <w:rFonts w:hint="eastAsia" w:ascii="宋体" w:hAnsi="宋体" w:eastAsia="仿宋_GB2312"/>
          <w:b w:val="0"/>
          <w:bCs w:val="0"/>
          <w:sz w:val="32"/>
          <w:szCs w:val="32"/>
        </w:rPr>
        <w:t>形成了“开工一批、建设一批、谋划一批、储备一批”局面。</w:t>
      </w:r>
      <w:r>
        <w:rPr>
          <w:rFonts w:hint="eastAsia" w:ascii="宋体" w:hAnsi="宋体" w:eastAsia="仿宋_GB2312"/>
          <w:b/>
          <w:bCs/>
          <w:sz w:val="32"/>
          <w:szCs w:val="32"/>
          <w:lang w:eastAsia="zh-CN"/>
        </w:rPr>
        <w:t>一是在建项目加速推进，</w:t>
      </w:r>
      <w:r>
        <w:rPr>
          <w:rFonts w:hint="eastAsia" w:ascii="宋体" w:hAnsi="宋体" w:eastAsia="仿宋_GB2312" w:cs="仿宋_GB2312"/>
          <w:b w:val="0"/>
          <w:bCs w:val="0"/>
          <w:color w:val="auto"/>
          <w:sz w:val="32"/>
          <w:szCs w:val="32"/>
          <w:lang w:val="en-US" w:eastAsia="zh-CN"/>
        </w:rPr>
        <w:t>西北寨沟水利综合治理工程顺利完工，治</w:t>
      </w:r>
      <w:r>
        <w:rPr>
          <w:rFonts w:hint="eastAsia" w:ascii="宋体" w:hAnsi="宋体" w:eastAsia="仿宋_GB2312" w:cs="仿宋_GB2312"/>
          <w:b w:val="0"/>
          <w:bCs w:val="0"/>
          <w:kern w:val="2"/>
          <w:sz w:val="32"/>
          <w:szCs w:val="32"/>
          <w:lang w:val="en-US" w:eastAsia="zh-CN" w:bidi="ar-SA"/>
        </w:rPr>
        <w:t>理河道3公里，新建护岸1.19公里，</w:t>
      </w:r>
      <w:r>
        <w:rPr>
          <w:rFonts w:hint="eastAsia" w:ascii="宋体" w:hAnsi="宋体" w:eastAsia="仿宋_GB2312" w:cs="仿宋_GB2312"/>
          <w:b w:val="0"/>
          <w:bCs w:val="0"/>
          <w:color w:val="auto"/>
          <w:sz w:val="32"/>
          <w:szCs w:val="32"/>
          <w:lang w:val="en-US" w:eastAsia="zh-CN"/>
        </w:rPr>
        <w:t>河道行洪排涝能力显著提升。上寨乡办公楼加固修缮项目已进入收尾阶段，完成主体结构加固、室内装修等工程，预计2026年可完成搬迁入驻，行政服务效能将得到全面改善。凤凰山健康步道建设项目，在水悦龙庭区域内新建3公里步道，串联周边生态景观，打造便民休闲健身新空间。启充充电站建设项目，安装10台400kw直流充电桩，配套2台2500KVA变压器及配电柜，有效填补乡域新能源汽车充电服务空白。屋顶分布式光伏建设项目，在警校、水悦龙庭等区域铺设光伏设施，总装机容量3.64兆瓦，预计年发电量360万千瓦时，为全乡绿色低碳转型注入强劲动能。连帮养殖厂鱼箱建设项目，</w:t>
      </w:r>
      <w:r>
        <w:rPr>
          <w:rFonts w:hint="eastAsia" w:ascii="宋体" w:hAnsi="宋体" w:eastAsia="仿宋_GB2312" w:cs="仿宋_GB2312"/>
          <w:b w:val="0"/>
          <w:bCs w:val="0"/>
          <w:kern w:val="2"/>
          <w:sz w:val="32"/>
          <w:szCs w:val="32"/>
          <w:lang w:val="en-US" w:eastAsia="zh-CN" w:bidi="ar-SA"/>
        </w:rPr>
        <w:t>总投资540万元，在20亩地块搭建41个单层鱼箱，采用生态循环养殖模式，市场前景广阔。</w:t>
      </w:r>
      <w:r>
        <w:rPr>
          <w:rFonts w:hint="eastAsia" w:ascii="宋体" w:hAnsi="宋体" w:eastAsia="仿宋_GB2312" w:cs="仿宋_GB2312"/>
          <w:b/>
          <w:bCs/>
          <w:kern w:val="2"/>
          <w:sz w:val="32"/>
          <w:szCs w:val="32"/>
          <w:lang w:val="en-US" w:eastAsia="zh-CN" w:bidi="ar-SA"/>
        </w:rPr>
        <w:t>二是谋划项目精准布局</w:t>
      </w:r>
      <w:r>
        <w:rPr>
          <w:rFonts w:hint="eastAsia" w:ascii="宋体" w:hAnsi="宋体" w:eastAsia="仿宋_GB2312" w:cs="仿宋_GB2312"/>
          <w:b w:val="0"/>
          <w:bCs w:val="0"/>
          <w:kern w:val="2"/>
          <w:sz w:val="32"/>
          <w:szCs w:val="32"/>
          <w:lang w:val="en-US" w:eastAsia="zh-CN" w:bidi="ar-SA"/>
        </w:rPr>
        <w:t>，</w:t>
      </w:r>
      <w:r>
        <w:rPr>
          <w:rFonts w:hint="eastAsia" w:ascii="宋体" w:hAnsi="宋体" w:eastAsia="仿宋_GB2312" w:cs="仿宋_GB2312"/>
          <w:b w:val="0"/>
          <w:bCs w:val="0"/>
          <w:color w:val="auto"/>
          <w:sz w:val="32"/>
          <w:szCs w:val="32"/>
          <w:lang w:val="en-US" w:eastAsia="zh-CN"/>
        </w:rPr>
        <w:t>紧紧围绕“五路一河”基础设施建设项目和“3+10”产业发展项目布局，立足乡域资源禀赋，重点推进四大项目建设。河北省农林科学院石家庄果树研究所葡萄技术研发中心项目已完成备案，将搭建产学研用融合平台，推动葡萄产业高端化发展。常馨谷景区提升改造项目总投资4.5亿元，建成达产后，可有效承接石家庄千万级客源市场需求，带动周边群众就业增收。</w:t>
      </w:r>
      <w:r>
        <w:rPr>
          <w:rFonts w:hint="eastAsia" w:ascii="宋体" w:hAnsi="宋体" w:eastAsia="仿宋_GB2312" w:cs="仿宋_GB2312"/>
          <w:b w:val="0"/>
          <w:bCs w:val="0"/>
          <w:color w:val="auto"/>
          <w:sz w:val="32"/>
          <w:szCs w:val="32"/>
          <w:highlight w:val="none"/>
          <w:lang w:val="en-US" w:eastAsia="zh-CN"/>
        </w:rPr>
        <w:t>比华利西山</w:t>
      </w:r>
      <w:r>
        <w:rPr>
          <w:rFonts w:hint="eastAsia" w:ascii="宋体" w:hAnsi="宋体" w:eastAsia="仿宋_GB2312" w:cs="仿宋_GB2312"/>
          <w:b w:val="0"/>
          <w:bCs w:val="0"/>
          <w:color w:val="auto"/>
          <w:sz w:val="32"/>
          <w:szCs w:val="32"/>
          <w:lang w:val="en-US" w:eastAsia="zh-CN"/>
        </w:rPr>
        <w:t>项目已纳入城市开发边界与三区三线规划，列为西部山前区域“一事一议”重点推进项目。南寨森林公园打造项目，盘活老西山森林公园资源，规划融合文化体验、休闲康养等功能，构建文旅发展新地标。</w:t>
      </w:r>
    </w:p>
    <w:p>
      <w:pPr>
        <w:pStyle w:val="8"/>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宋体" w:hAnsi="宋体" w:eastAsia="仿宋_GB2312" w:cs="仿宋_GB2312"/>
          <w:b w:val="0"/>
          <w:bCs w:val="0"/>
          <w:color w:val="auto"/>
          <w:sz w:val="32"/>
          <w:szCs w:val="32"/>
          <w:lang w:val="en-US" w:eastAsia="zh-CN"/>
        </w:rPr>
      </w:pPr>
      <w:r>
        <w:rPr>
          <w:rFonts w:hint="eastAsia" w:ascii="宋体" w:hAnsi="宋体" w:eastAsia="楷体" w:cs="楷体"/>
          <w:b w:val="0"/>
          <w:bCs w:val="0"/>
          <w:color w:val="auto"/>
          <w:sz w:val="32"/>
          <w:szCs w:val="32"/>
          <w:lang w:val="en-US" w:eastAsia="zh-CN"/>
        </w:rPr>
        <w:t>（</w:t>
      </w:r>
      <w:r>
        <w:rPr>
          <w:rFonts w:hint="eastAsia" w:eastAsia="楷体" w:cs="楷体"/>
          <w:b w:val="0"/>
          <w:bCs w:val="0"/>
          <w:color w:val="auto"/>
          <w:sz w:val="32"/>
          <w:szCs w:val="32"/>
          <w:lang w:val="en-US" w:eastAsia="zh-CN"/>
        </w:rPr>
        <w:t>3</w:t>
      </w:r>
      <w:r>
        <w:rPr>
          <w:rFonts w:hint="eastAsia" w:ascii="宋体" w:hAnsi="宋体" w:eastAsia="楷体" w:cs="楷体"/>
          <w:b w:val="0"/>
          <w:bCs w:val="0"/>
          <w:color w:val="auto"/>
          <w:sz w:val="32"/>
          <w:szCs w:val="32"/>
          <w:lang w:val="en-US" w:eastAsia="zh-CN"/>
        </w:rPr>
        <w:t>）文旅融合深化拓展，农旅文章越做越活。</w:t>
      </w:r>
      <w:r>
        <w:rPr>
          <w:rFonts w:hint="eastAsia" w:ascii="宋体" w:hAnsi="宋体" w:eastAsia="仿宋_GB2312" w:cs="仿宋_GB2312"/>
          <w:b w:val="0"/>
          <w:bCs w:val="0"/>
          <w:color w:val="auto"/>
          <w:sz w:val="32"/>
          <w:szCs w:val="32"/>
          <w:lang w:val="en-US" w:eastAsia="zh-CN"/>
        </w:rPr>
        <w:t>立足生态资源与乡村特色，推动农业与文旅产业深度融合，南寨村成功获评“石家庄市乡村旅游村”，</w:t>
      </w:r>
      <w:r>
        <w:rPr>
          <w:rFonts w:hint="eastAsia" w:ascii="宋体" w:hAnsi="宋体" w:eastAsia="仿宋_GB2312" w:cs="仿宋_GB2312"/>
          <w:b w:val="0"/>
          <w:bCs w:val="0"/>
          <w:kern w:val="2"/>
          <w:sz w:val="32"/>
          <w:szCs w:val="32"/>
          <w:lang w:val="en-US" w:eastAsia="zh-CN" w:bidi="ar-SA"/>
        </w:rPr>
        <w:t>为全乡乡村旅游发展树立示范标杆</w:t>
      </w:r>
      <w:r>
        <w:rPr>
          <w:rFonts w:hint="eastAsia" w:ascii="宋体" w:hAnsi="宋体" w:cs="仿宋_GB2312"/>
          <w:b w:val="0"/>
          <w:bCs w:val="0"/>
          <w:kern w:val="2"/>
          <w:sz w:val="32"/>
          <w:szCs w:val="32"/>
          <w:lang w:val="en-US" w:eastAsia="zh-CN" w:bidi="ar-SA"/>
        </w:rPr>
        <w:t>。</w:t>
      </w:r>
      <w:r>
        <w:rPr>
          <w:rFonts w:hint="eastAsia" w:ascii="宋体" w:hAnsi="宋体" w:eastAsia="仿宋_GB2312" w:cs="仿宋_GB2312"/>
          <w:b w:val="0"/>
          <w:bCs w:val="0"/>
          <w:color w:val="auto"/>
          <w:sz w:val="32"/>
          <w:szCs w:val="32"/>
          <w:lang w:val="en-US" w:eastAsia="zh-CN"/>
        </w:rPr>
        <w:t>上寨村精准布局“农业+文旅”新业态，在洨河河畔、山前大道两侧规划种植油菜花500亩，串联常河·常馨谷千亩花海景区，计划于2026年清明节前后举办“金色洨河油菜花节”，以节庆活动聚人气、拓市场，促进农文旅商一体化发展，拓宽群众增收致富渠道。</w:t>
      </w:r>
    </w:p>
    <w:p>
      <w:pPr>
        <w:pStyle w:val="8"/>
        <w:keepNext w:val="0"/>
        <w:keepLines w:val="0"/>
        <w:pageBreakBefore w:val="0"/>
        <w:widowControl w:val="0"/>
        <w:numPr>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宋体" w:hAnsi="宋体" w:eastAsia="仿宋_GB2312" w:cs="仿宋_GB2312"/>
          <w:b w:val="0"/>
          <w:bCs w:val="0"/>
          <w:color w:val="auto"/>
          <w:sz w:val="32"/>
          <w:szCs w:val="32"/>
          <w:lang w:val="en-US" w:eastAsia="zh-CN"/>
        </w:rPr>
      </w:pPr>
      <w:r>
        <w:rPr>
          <w:rFonts w:hint="eastAsia" w:ascii="宋体" w:hAnsi="宋体" w:eastAsia="楷体" w:cs="楷体"/>
          <w:b w:val="0"/>
          <w:bCs w:val="0"/>
          <w:color w:val="auto"/>
          <w:sz w:val="32"/>
          <w:szCs w:val="32"/>
          <w:lang w:val="en-US" w:eastAsia="zh-CN"/>
        </w:rPr>
        <w:t>（</w:t>
      </w:r>
      <w:r>
        <w:rPr>
          <w:rFonts w:hint="eastAsia" w:eastAsia="楷体" w:cs="楷体"/>
          <w:b w:val="0"/>
          <w:bCs w:val="0"/>
          <w:color w:val="auto"/>
          <w:sz w:val="32"/>
          <w:szCs w:val="32"/>
          <w:lang w:val="en-US" w:eastAsia="zh-CN"/>
        </w:rPr>
        <w:t>4</w:t>
      </w:r>
      <w:r>
        <w:rPr>
          <w:rFonts w:hint="eastAsia" w:ascii="宋体" w:hAnsi="宋体" w:eastAsia="楷体" w:cs="楷体"/>
          <w:b w:val="0"/>
          <w:bCs w:val="0"/>
          <w:color w:val="auto"/>
          <w:sz w:val="32"/>
          <w:szCs w:val="32"/>
          <w:lang w:val="en-US" w:eastAsia="zh-CN"/>
        </w:rPr>
        <w:t>）人居环境精雕细琢，乡村颜值持续刷新。</w:t>
      </w:r>
      <w:r>
        <w:rPr>
          <w:rFonts w:hint="eastAsia" w:ascii="宋体" w:hAnsi="宋体" w:eastAsia="仿宋_GB2312" w:cs="仿宋_GB2312"/>
          <w:b w:val="0"/>
          <w:bCs w:val="0"/>
          <w:color w:val="auto"/>
          <w:sz w:val="32"/>
          <w:szCs w:val="32"/>
          <w:lang w:val="en-US" w:eastAsia="zh-CN"/>
        </w:rPr>
        <w:t>深入实施农村人居环境整治提升行动，以“清脏、治乱、增绿、控污”为核心抓手，统筹推进农村生活垃圾治理、生活污水管控、厕所革命、村容村貌提升等重点工作。全年累计清理各类垃圾1.1万立方米，整治私搭乱建49处、共计195立方米，拆除残垣断壁35处、共计352立方米，在全区季度考核中多次名列前茅，实现了从“一时美”到“持久美”的转变。</w:t>
      </w:r>
    </w:p>
    <w:p>
      <w:pPr>
        <w:keepNext w:val="0"/>
        <w:keepLines w:val="0"/>
        <w:pageBreakBefore w:val="0"/>
        <w:numPr>
          <w:ilvl w:val="0"/>
          <w:numId w:val="0"/>
        </w:numPr>
        <w:kinsoku/>
        <w:wordWrap/>
        <w:overflowPunct/>
        <w:topLinePunct w:val="0"/>
        <w:autoSpaceDE/>
        <w:autoSpaceDN/>
        <w:bidi w:val="0"/>
        <w:spacing w:line="578" w:lineRule="exact"/>
        <w:ind w:firstLine="640" w:firstLineChars="200"/>
        <w:jc w:val="both"/>
        <w:textAlignment w:val="auto"/>
        <w:rPr>
          <w:rFonts w:hint="eastAsia" w:ascii="宋体" w:hAnsi="宋体" w:eastAsia="仿宋_GB2312" w:cs="仿宋_GB2312"/>
          <w:b w:val="0"/>
          <w:bCs w:val="0"/>
          <w:color w:val="auto"/>
          <w:sz w:val="32"/>
          <w:szCs w:val="32"/>
          <w:lang w:val="en-US" w:eastAsia="zh-CN"/>
        </w:rPr>
      </w:pPr>
      <w:r>
        <w:rPr>
          <w:rFonts w:hint="eastAsia" w:ascii="宋体" w:hAnsi="宋体" w:eastAsia="楷体" w:cs="楷体"/>
          <w:b w:val="0"/>
          <w:bCs w:val="0"/>
          <w:color w:val="auto"/>
          <w:sz w:val="32"/>
          <w:szCs w:val="32"/>
          <w:lang w:val="en-US" w:eastAsia="zh-CN"/>
        </w:rPr>
        <w:t>（</w:t>
      </w:r>
      <w:r>
        <w:rPr>
          <w:rFonts w:hint="eastAsia" w:eastAsia="楷体" w:cs="楷体"/>
          <w:b w:val="0"/>
          <w:bCs w:val="0"/>
          <w:color w:val="auto"/>
          <w:sz w:val="32"/>
          <w:szCs w:val="32"/>
          <w:lang w:val="en-US" w:eastAsia="zh-CN"/>
        </w:rPr>
        <w:t>5</w:t>
      </w:r>
      <w:r>
        <w:rPr>
          <w:rFonts w:hint="eastAsia" w:ascii="宋体" w:hAnsi="宋体" w:eastAsia="楷体" w:cs="楷体"/>
          <w:b w:val="0"/>
          <w:bCs w:val="0"/>
          <w:color w:val="auto"/>
          <w:sz w:val="32"/>
          <w:szCs w:val="32"/>
          <w:lang w:val="en-US" w:eastAsia="zh-CN"/>
        </w:rPr>
        <w:t>）</w:t>
      </w:r>
      <w:r>
        <w:rPr>
          <w:rFonts w:hint="eastAsia" w:ascii="宋体" w:hAnsi="宋体" w:eastAsia="楷体" w:cs="楷体"/>
          <w:b w:val="0"/>
          <w:bCs w:val="0"/>
          <w:sz w:val="32"/>
          <w:szCs w:val="32"/>
          <w:lang w:val="en-US" w:eastAsia="zh-CN"/>
        </w:rPr>
        <w:t>基础配套不断完善，宜居水平稳步提升。</w:t>
      </w:r>
      <w:r>
        <w:rPr>
          <w:rFonts w:hint="eastAsia" w:ascii="宋体" w:hAnsi="宋体" w:eastAsia="仿宋_GB2312" w:cs="仿宋_GB2312"/>
          <w:b w:val="0"/>
          <w:bCs w:val="0"/>
          <w:sz w:val="32"/>
          <w:szCs w:val="32"/>
          <w:lang w:val="en-US" w:eastAsia="zh-CN"/>
        </w:rPr>
        <w:t>聚焦村庄功能配套，在基础设施建设上精准发力、持续攻坚。推进村庄道路硬化工程，全年完成3个村庄7.16公里道路硬化，切实改善村民出行条件。加强村庄绿化美化建设，新增绿化面积580平方米，为村民营造绿意盎然的宜居环境。推进照明设施升级改造，新装路灯102盏，全方位保障村民夜间出行安全，村民生活品质稳步提升。</w:t>
      </w:r>
    </w:p>
    <w:p>
      <w:pPr>
        <w:pStyle w:val="8"/>
        <w:keepNext w:val="0"/>
        <w:keepLines w:val="0"/>
        <w:pageBreakBefore w:val="0"/>
        <w:widowControl w:val="0"/>
        <w:numPr>
          <w:ilvl w:val="0"/>
          <w:numId w:val="0"/>
        </w:numPr>
        <w:kinsoku/>
        <w:wordWrap/>
        <w:overflowPunct/>
        <w:topLinePunct w:val="0"/>
        <w:autoSpaceDE/>
        <w:autoSpaceDN/>
        <w:bidi w:val="0"/>
        <w:adjustRightInd/>
        <w:snapToGrid/>
        <w:spacing w:line="578" w:lineRule="exact"/>
        <w:ind w:firstLine="640" w:firstLineChars="200"/>
        <w:jc w:val="both"/>
        <w:textAlignment w:val="auto"/>
        <w:rPr>
          <w:rFonts w:hint="eastAsia" w:ascii="宋体" w:hAnsi="宋体" w:eastAsia="仿宋_GB2312" w:cs="仿宋_GB2312"/>
          <w:b w:val="0"/>
          <w:bCs w:val="0"/>
          <w:color w:val="auto"/>
          <w:sz w:val="32"/>
          <w:szCs w:val="32"/>
          <w:lang w:val="en-US" w:eastAsia="zh-CN"/>
        </w:rPr>
      </w:pPr>
      <w:r>
        <w:rPr>
          <w:rFonts w:hint="eastAsia" w:ascii="宋体" w:hAnsi="宋体" w:eastAsia="楷体" w:cs="楷体"/>
          <w:b w:val="0"/>
          <w:bCs w:val="0"/>
          <w:color w:val="auto"/>
          <w:sz w:val="32"/>
          <w:szCs w:val="32"/>
          <w:lang w:val="en-US" w:eastAsia="zh-CN"/>
        </w:rPr>
        <w:t>（</w:t>
      </w:r>
      <w:r>
        <w:rPr>
          <w:rFonts w:hint="eastAsia" w:eastAsia="楷体" w:cs="楷体"/>
          <w:b w:val="0"/>
          <w:bCs w:val="0"/>
          <w:color w:val="auto"/>
          <w:sz w:val="32"/>
          <w:szCs w:val="32"/>
          <w:lang w:val="en-US" w:eastAsia="zh-CN"/>
        </w:rPr>
        <w:t>6</w:t>
      </w:r>
      <w:r>
        <w:rPr>
          <w:rFonts w:hint="eastAsia" w:ascii="宋体" w:hAnsi="宋体" w:eastAsia="楷体" w:cs="楷体"/>
          <w:b w:val="0"/>
          <w:bCs w:val="0"/>
          <w:color w:val="auto"/>
          <w:sz w:val="32"/>
          <w:szCs w:val="32"/>
          <w:lang w:val="en-US" w:eastAsia="zh-CN"/>
        </w:rPr>
        <w:t>）农业品牌提质增效，特色产业做强做优。</w:t>
      </w:r>
      <w:bookmarkStart w:id="0" w:name="OLE_LINK11"/>
      <w:r>
        <w:rPr>
          <w:rFonts w:hint="eastAsia" w:ascii="宋体" w:hAnsi="宋体" w:eastAsia="仿宋_GB2312" w:cs="仿宋_GB2312"/>
          <w:b w:val="0"/>
          <w:bCs w:val="0"/>
          <w:kern w:val="2"/>
          <w:sz w:val="32"/>
          <w:szCs w:val="32"/>
          <w:lang w:val="en-US" w:eastAsia="zh-CN" w:bidi="ar-SA"/>
        </w:rPr>
        <w:t>锚定生态平衡主线，聚力发展现代化生态农业，培育中以农科小镇</w:t>
      </w:r>
      <w:r>
        <w:rPr>
          <w:rFonts w:hint="eastAsia" w:ascii="宋体" w:hAnsi="宋体" w:cs="仿宋_GB2312"/>
          <w:b w:val="0"/>
          <w:bCs w:val="0"/>
          <w:kern w:val="2"/>
          <w:sz w:val="32"/>
          <w:szCs w:val="32"/>
          <w:lang w:val="en-US" w:eastAsia="zh-CN" w:bidi="ar-SA"/>
        </w:rPr>
        <w:t>、</w:t>
      </w:r>
      <w:r>
        <w:rPr>
          <w:rFonts w:hint="eastAsia" w:ascii="宋体" w:hAnsi="宋体" w:eastAsia="仿宋_GB2312" w:cs="仿宋_GB2312"/>
          <w:b w:val="0"/>
          <w:bCs w:val="0"/>
          <w:kern w:val="2"/>
          <w:sz w:val="32"/>
          <w:szCs w:val="32"/>
          <w:lang w:val="en-US" w:eastAsia="zh-CN" w:bidi="ar-SA"/>
        </w:rPr>
        <w:t>紫藤西山庄园等一批特色文旅采摘园区，构建“一年有花、四季有果”产业格局。紫藤葡萄成功入选石家庄市农产品“土特产”名录，万亩杏花春景</w:t>
      </w:r>
      <w:r>
        <w:rPr>
          <w:rFonts w:hint="eastAsia" w:ascii="宋体" w:hAnsi="宋体" w:cs="仿宋_GB2312"/>
          <w:b w:val="0"/>
          <w:bCs w:val="0"/>
          <w:kern w:val="2"/>
          <w:sz w:val="32"/>
          <w:szCs w:val="32"/>
          <w:lang w:val="en-US" w:eastAsia="zh-CN" w:bidi="ar-SA"/>
        </w:rPr>
        <w:t>被</w:t>
      </w:r>
      <w:r>
        <w:rPr>
          <w:rFonts w:hint="eastAsia" w:ascii="宋体" w:hAnsi="宋体" w:eastAsia="仿宋_GB2312" w:cs="仿宋_GB2312"/>
          <w:b w:val="0"/>
          <w:bCs w:val="0"/>
          <w:kern w:val="2"/>
          <w:sz w:val="32"/>
          <w:szCs w:val="32"/>
          <w:lang w:val="en-US" w:eastAsia="zh-CN" w:bidi="ar-SA"/>
        </w:rPr>
        <w:t>央视新闻直播间专题报道，南寨村灯笼坊项目，带</w:t>
      </w:r>
      <w:r>
        <w:rPr>
          <w:rFonts w:hint="eastAsia" w:ascii="宋体" w:hAnsi="宋体" w:eastAsia="仿宋_GB2312" w:cs="仿宋_GB2312"/>
          <w:b w:val="0"/>
          <w:bCs w:val="0"/>
          <w:kern w:val="2"/>
          <w:sz w:val="32"/>
          <w:szCs w:val="32"/>
          <w:highlight w:val="none"/>
          <w:lang w:val="en-US" w:eastAsia="zh-CN" w:bidi="ar-SA"/>
        </w:rPr>
        <w:t>动</w:t>
      </w:r>
      <w:r>
        <w:rPr>
          <w:rFonts w:hint="eastAsia" w:cs="仿宋_GB2312"/>
          <w:b w:val="0"/>
          <w:bCs w:val="0"/>
          <w:kern w:val="2"/>
          <w:sz w:val="32"/>
          <w:szCs w:val="32"/>
          <w:highlight w:val="none"/>
          <w:lang w:val="en-US" w:eastAsia="zh-CN" w:bidi="ar-SA"/>
        </w:rPr>
        <w:t>百余名</w:t>
      </w:r>
      <w:r>
        <w:rPr>
          <w:rFonts w:hint="eastAsia" w:ascii="宋体" w:hAnsi="宋体" w:cs="仿宋_GB2312"/>
          <w:b w:val="0"/>
          <w:bCs w:val="0"/>
          <w:kern w:val="2"/>
          <w:sz w:val="32"/>
          <w:szCs w:val="32"/>
          <w:highlight w:val="none"/>
          <w:lang w:val="en-US" w:eastAsia="zh-CN" w:bidi="ar-SA"/>
        </w:rPr>
        <w:t>村民</w:t>
      </w:r>
      <w:r>
        <w:rPr>
          <w:rFonts w:hint="eastAsia" w:ascii="宋体" w:hAnsi="宋体" w:cs="仿宋_GB2312"/>
          <w:b w:val="0"/>
          <w:bCs w:val="0"/>
          <w:kern w:val="2"/>
          <w:sz w:val="32"/>
          <w:szCs w:val="32"/>
          <w:lang w:val="en-US" w:eastAsia="zh-CN" w:bidi="ar-SA"/>
        </w:rPr>
        <w:t>就</w:t>
      </w:r>
      <w:r>
        <w:rPr>
          <w:rFonts w:hint="eastAsia" w:ascii="宋体" w:hAnsi="宋体" w:eastAsia="仿宋_GB2312" w:cs="仿宋_GB2312"/>
          <w:b w:val="0"/>
          <w:bCs w:val="0"/>
          <w:kern w:val="2"/>
          <w:sz w:val="32"/>
          <w:szCs w:val="32"/>
          <w:lang w:val="en-US" w:eastAsia="zh-CN" w:bidi="ar-SA"/>
        </w:rPr>
        <w:t>近就业，</w:t>
      </w:r>
      <w:r>
        <w:rPr>
          <w:rFonts w:hint="eastAsia" w:ascii="宋体" w:hAnsi="宋体" w:cs="仿宋_GB2312"/>
          <w:b w:val="0"/>
          <w:bCs w:val="0"/>
          <w:kern w:val="2"/>
          <w:sz w:val="32"/>
          <w:szCs w:val="32"/>
          <w:lang w:val="en-US" w:eastAsia="zh-CN" w:bidi="ar-SA"/>
        </w:rPr>
        <w:t>同时，</w:t>
      </w:r>
      <w:r>
        <w:rPr>
          <w:rFonts w:hint="eastAsia" w:ascii="宋体" w:hAnsi="宋体" w:eastAsia="仿宋_GB2312" w:cs="仿宋_GB2312"/>
          <w:b w:val="0"/>
          <w:bCs w:val="0"/>
          <w:kern w:val="2"/>
          <w:sz w:val="32"/>
          <w:szCs w:val="32"/>
          <w:lang w:val="en-US" w:eastAsia="zh-CN" w:bidi="ar-SA"/>
        </w:rPr>
        <w:t>我乡积极争取上级政策资金支持，</w:t>
      </w:r>
      <w:r>
        <w:rPr>
          <w:rFonts w:hint="eastAsia" w:ascii="宋体" w:hAnsi="宋体" w:cs="仿宋_GB2312"/>
          <w:b w:val="0"/>
          <w:bCs w:val="0"/>
          <w:kern w:val="2"/>
          <w:sz w:val="32"/>
          <w:szCs w:val="32"/>
          <w:lang w:val="en-US" w:eastAsia="zh-CN" w:bidi="ar-SA"/>
        </w:rPr>
        <w:t>推进</w:t>
      </w:r>
      <w:r>
        <w:rPr>
          <w:rFonts w:hint="eastAsia" w:ascii="宋体" w:hAnsi="宋体" w:eastAsia="仿宋_GB2312" w:cs="仿宋_GB2312"/>
          <w:b w:val="0"/>
          <w:bCs w:val="0"/>
          <w:kern w:val="2"/>
          <w:sz w:val="32"/>
          <w:szCs w:val="32"/>
          <w:lang w:val="en-US" w:eastAsia="zh-CN" w:bidi="ar-SA"/>
        </w:rPr>
        <w:t>梁庄村2座温室大棚建设</w:t>
      </w:r>
      <w:r>
        <w:rPr>
          <w:rFonts w:hint="eastAsia" w:ascii="宋体" w:hAnsi="宋体" w:cs="仿宋_GB2312"/>
          <w:b w:val="0"/>
          <w:bCs w:val="0"/>
          <w:kern w:val="2"/>
          <w:sz w:val="32"/>
          <w:szCs w:val="32"/>
          <w:lang w:val="en-US" w:eastAsia="zh-CN" w:bidi="ar-SA"/>
        </w:rPr>
        <w:t>，进一步</w:t>
      </w:r>
      <w:r>
        <w:rPr>
          <w:rFonts w:hint="eastAsia" w:ascii="宋体" w:hAnsi="宋体" w:eastAsia="仿宋_GB2312" w:cs="仿宋_GB2312"/>
          <w:b w:val="0"/>
          <w:bCs w:val="0"/>
          <w:kern w:val="2"/>
          <w:sz w:val="32"/>
          <w:szCs w:val="32"/>
          <w:lang w:val="en-US" w:eastAsia="zh-CN" w:bidi="ar-SA"/>
        </w:rPr>
        <w:t>壮大村集体经济</w:t>
      </w:r>
      <w:r>
        <w:rPr>
          <w:rFonts w:hint="eastAsia" w:ascii="宋体" w:hAnsi="宋体" w:cs="仿宋_GB2312"/>
          <w:b w:val="0"/>
          <w:bCs w:val="0"/>
          <w:kern w:val="2"/>
          <w:sz w:val="32"/>
          <w:szCs w:val="32"/>
          <w:lang w:val="en-US" w:eastAsia="zh-CN" w:bidi="ar-SA"/>
        </w:rPr>
        <w:t>，为乡村振兴注入持久动力</w:t>
      </w:r>
      <w:r>
        <w:rPr>
          <w:rFonts w:hint="eastAsia" w:ascii="宋体" w:hAnsi="宋体" w:eastAsia="仿宋_GB2312" w:cs="仿宋_GB2312"/>
          <w:b w:val="0"/>
          <w:bCs w:val="0"/>
          <w:kern w:val="2"/>
          <w:sz w:val="32"/>
          <w:szCs w:val="32"/>
          <w:lang w:val="en-US" w:eastAsia="zh-CN" w:bidi="ar-SA"/>
        </w:rPr>
        <w:t>。</w:t>
      </w:r>
      <w:bookmarkEnd w:id="0"/>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根据部门职责定位和各项工作履职情况进行综合评价，给出总得分，满分100分，得出综合绩效评价等级。部门整体支出综合绩效评价分为4个等级：得分</w:t>
      </w:r>
      <w:r>
        <w:rPr>
          <w:rFonts w:ascii="仿宋" w:hAnsi="仿宋" w:eastAsia="仿宋" w:cs="Arial"/>
          <w:sz w:val="32"/>
          <w:szCs w:val="32"/>
        </w:rPr>
        <w:t>≥</w:t>
      </w:r>
      <w:r>
        <w:rPr>
          <w:rFonts w:hint="eastAsia" w:ascii="仿宋" w:hAnsi="仿宋" w:eastAsia="仿宋"/>
          <w:sz w:val="32"/>
          <w:szCs w:val="32"/>
        </w:rPr>
        <w:t>85分为优秀；75</w:t>
      </w:r>
      <w:r>
        <w:rPr>
          <w:rFonts w:ascii="仿宋" w:hAnsi="仿宋" w:eastAsia="仿宋" w:cs="Arial"/>
          <w:sz w:val="32"/>
          <w:szCs w:val="32"/>
        </w:rPr>
        <w:t>≤</w:t>
      </w:r>
      <w:r>
        <w:rPr>
          <w:rFonts w:hint="eastAsia" w:ascii="仿宋" w:hAnsi="仿宋" w:eastAsia="仿宋"/>
          <w:sz w:val="32"/>
          <w:szCs w:val="32"/>
        </w:rPr>
        <w:t>得分＜85分为良好；60</w:t>
      </w:r>
      <w:r>
        <w:rPr>
          <w:rFonts w:ascii="仿宋" w:hAnsi="仿宋" w:eastAsia="仿宋" w:cs="Arial"/>
          <w:sz w:val="32"/>
          <w:szCs w:val="32"/>
        </w:rPr>
        <w:t>≤</w:t>
      </w:r>
      <w:r>
        <w:rPr>
          <w:rFonts w:hint="eastAsia" w:ascii="仿宋" w:hAnsi="仿宋" w:eastAsia="仿宋"/>
          <w:sz w:val="32"/>
          <w:szCs w:val="32"/>
        </w:rPr>
        <w:t>得分＜75分为一般；得分＜60分为较差。</w:t>
      </w:r>
    </w:p>
    <w:tbl>
      <w:tblPr>
        <w:tblW w:w="9560" w:type="dxa"/>
        <w:tblInd w:w="98"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fixed"/>
        <w:tblCellMar>
          <w:top w:w="0" w:type="dxa"/>
          <w:left w:w="108" w:type="dxa"/>
          <w:bottom w:w="0" w:type="dxa"/>
          <w:right w:w="108" w:type="dxa"/>
        </w:tblCellMar>
      </w:tblPr>
      <w:tblGrid>
        <w:gridCol w:w="479"/>
        <w:gridCol w:w="3788"/>
        <w:gridCol w:w="2454"/>
        <w:gridCol w:w="1415"/>
        <w:gridCol w:w="14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0" w:hRule="atLeast"/>
        </w:trPr>
        <w:tc>
          <w:tcPr>
            <w:tcW w:w="479"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序号</w:t>
            </w:r>
          </w:p>
        </w:tc>
        <w:tc>
          <w:tcPr>
            <w:tcW w:w="3788"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项目名称</w:t>
            </w:r>
          </w:p>
        </w:tc>
        <w:tc>
          <w:tcPr>
            <w:tcW w:w="2454"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项目实施单位</w:t>
            </w:r>
          </w:p>
        </w:tc>
        <w:tc>
          <w:tcPr>
            <w:tcW w:w="1415"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自评得分</w:t>
            </w:r>
          </w:p>
        </w:tc>
        <w:tc>
          <w:tcPr>
            <w:tcW w:w="1424" w:type="dxa"/>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仿宋" w:hAnsi="仿宋" w:eastAsia="仿宋" w:cs="仿宋"/>
                <w:i w:val="0"/>
                <w:iCs w:val="0"/>
                <w:color w:val="000000"/>
                <w:sz w:val="24"/>
                <w:szCs w:val="24"/>
                <w:u w:val="none"/>
              </w:rPr>
            </w:pPr>
            <w:r>
              <w:rPr>
                <w:rFonts w:hint="eastAsia" w:ascii="仿宋" w:hAnsi="仿宋" w:eastAsia="仿宋" w:cs="仿宋"/>
                <w:i w:val="0"/>
                <w:iCs w:val="0"/>
                <w:color w:val="000000"/>
                <w:kern w:val="0"/>
                <w:sz w:val="24"/>
                <w:szCs w:val="24"/>
                <w:u w:val="none"/>
                <w:bdr w:val="none" w:color="auto" w:sz="0" w:space="0"/>
                <w:lang w:val="en-US" w:eastAsia="zh-CN" w:bidi="ar"/>
              </w:rPr>
              <w:t>自评等级</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2" w:hRule="atLeast"/>
        </w:trPr>
        <w:tc>
          <w:tcPr>
            <w:tcW w:w="479"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仿宋" w:hAnsi="仿宋" w:eastAsia="仿宋" w:cs="仿宋"/>
                <w:i w:val="0"/>
                <w:iCs w:val="0"/>
                <w:color w:val="000000"/>
                <w:sz w:val="24"/>
                <w:szCs w:val="24"/>
                <w:u w:val="none"/>
              </w:rPr>
            </w:pPr>
          </w:p>
        </w:tc>
        <w:tc>
          <w:tcPr>
            <w:tcW w:w="3788"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仿宋" w:hAnsi="仿宋" w:eastAsia="仿宋" w:cs="仿宋"/>
                <w:i w:val="0"/>
                <w:iCs w:val="0"/>
                <w:color w:val="000000"/>
                <w:sz w:val="24"/>
                <w:szCs w:val="24"/>
                <w:u w:val="none"/>
              </w:rPr>
            </w:pPr>
          </w:p>
        </w:tc>
        <w:tc>
          <w:tcPr>
            <w:tcW w:w="2454"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仿宋" w:hAnsi="仿宋" w:eastAsia="仿宋" w:cs="仿宋"/>
                <w:i w:val="0"/>
                <w:iCs w:val="0"/>
                <w:color w:val="000000"/>
                <w:sz w:val="24"/>
                <w:szCs w:val="24"/>
                <w:u w:val="none"/>
              </w:rPr>
            </w:pPr>
          </w:p>
        </w:tc>
        <w:tc>
          <w:tcPr>
            <w:tcW w:w="1415"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仿宋" w:hAnsi="仿宋" w:eastAsia="仿宋" w:cs="仿宋"/>
                <w:i w:val="0"/>
                <w:iCs w:val="0"/>
                <w:color w:val="000000"/>
                <w:sz w:val="24"/>
                <w:szCs w:val="24"/>
                <w:u w:val="none"/>
              </w:rPr>
            </w:pPr>
          </w:p>
        </w:tc>
        <w:tc>
          <w:tcPr>
            <w:tcW w:w="1424" w:type="dxa"/>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仿宋" w:hAnsi="仿宋" w:eastAsia="仿宋" w:cs="仿宋"/>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2025年区级北寨引岗渠塌方抢险</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92.5</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2025年区级北寨自来水改造</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91.5</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4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3</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2025年区级衡井线北寨段两侧绿化、环乡路南寨及梁庄绿化、山前大道南延两侧绿化占地租金</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91</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4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4</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2025年区级衡井线两侧环境整治资金</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86</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5</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2025年区级梁庄村梁常路周边环境整治提升</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85</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0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6</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2025年区级山前大道北寨至上寨段改建工程</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4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7</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2025年区级山前大道北寨至上寨段给水管网工程</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85</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4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2025年区级上寨村村通环乡路梁庄段（一标段）质保金</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95</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2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2025年区级上寨村村通环乡路南寨段（二标段）质保金</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0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2025年区级上寨乡办公楼加固修缮</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92</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12</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2025年区级上寨乡室外公厕建设</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80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良好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0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13</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2025年区级上寨乡洨河支流河道及村内道路水毁抢险修复</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78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14</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2025年区级退役军人公益岗位劳务派遣工资及保险</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15</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2025年区级西山北寨段绿化工程</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8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16</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2025年区级修缮衡井线中间河道河堤、护坡</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93</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17</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2025年区级中以农科违建拆除</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18</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2025年上寨乡办公场所租赁费用</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19</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2025年上寨乡环境卫生整治资金</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2025年上寨乡临时救助备用金</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21</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2025年上寨乡农村生活垃圾清扫费用</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94</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22</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2025年上寨乡市级下达基层平安建设专项经费</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23</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2025年镇级代课教师工资</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24</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上寨乡机关水费</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25</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镇级三馆一站免费开放补助</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2" w:hRule="atLeast"/>
        </w:trPr>
        <w:tc>
          <w:tcPr>
            <w:tcW w:w="479"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26</w:t>
            </w:r>
          </w:p>
        </w:tc>
        <w:tc>
          <w:tcPr>
            <w:tcW w:w="3788" w:type="dxa"/>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2025年镇级专项公用经费</w:t>
            </w:r>
          </w:p>
        </w:tc>
        <w:tc>
          <w:tcPr>
            <w:tcW w:w="245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鹿泉区上寨乡人民政府</w:t>
            </w:r>
          </w:p>
        </w:tc>
        <w:tc>
          <w:tcPr>
            <w:tcW w:w="1415"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100</w:t>
            </w:r>
          </w:p>
        </w:tc>
        <w:tc>
          <w:tcPr>
            <w:tcW w:w="1424" w:type="dxa"/>
            <w:tcBorders>
              <w:top w:val="single" w:color="000000" w:sz="4" w:space="0"/>
              <w:left w:val="single" w:color="000000" w:sz="4" w:space="0"/>
              <w:bottom w:val="single" w:color="000000" w:sz="4" w:space="0"/>
              <w:right w:val="single" w:color="000000" w:sz="4" w:space="0"/>
            </w:tcBorders>
            <w:shd w:val="clear"/>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bdr w:val="none" w:color="auto" w:sz="0" w:space="0"/>
                <w:lang w:val="en-US" w:eastAsia="zh-CN" w:bidi="ar"/>
              </w:rPr>
              <w:t>优秀</w:t>
            </w:r>
          </w:p>
        </w:tc>
      </w:tr>
    </w:tbl>
    <w:p>
      <w:pPr>
        <w:pStyle w:val="2"/>
      </w:pP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Style w:val="2"/>
        <w:ind w:firstLine="640" w:firstLineChars="200"/>
        <w:rPr>
          <w:rFonts w:hint="eastAsia" w:ascii="宋体" w:hAnsi="宋体" w:eastAsia="仿宋_GB2312" w:cs="仿宋_GB2312"/>
          <w:b w:val="0"/>
          <w:bCs w:val="0"/>
          <w:kern w:val="2"/>
          <w:sz w:val="32"/>
          <w:szCs w:val="32"/>
          <w:lang w:val="en-US" w:eastAsia="zh-CN" w:bidi="ar-SA"/>
        </w:rPr>
      </w:pPr>
      <w:r>
        <w:rPr>
          <w:rFonts w:hint="eastAsia" w:ascii="宋体" w:hAnsi="宋体" w:eastAsia="仿宋_GB2312" w:cs="仿宋_GB2312"/>
          <w:b w:val="0"/>
          <w:bCs w:val="0"/>
          <w:kern w:val="2"/>
          <w:sz w:val="32"/>
          <w:szCs w:val="32"/>
          <w:lang w:val="en-US" w:eastAsia="zh-CN" w:bidi="ar-SA"/>
        </w:rPr>
        <w:t>预算实施过程的精准度及预算项目约束性和预算资金安排合理性有待提高。</w:t>
      </w:r>
    </w:p>
    <w:p>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pPr>
        <w:spacing w:line="560" w:lineRule="exact"/>
        <w:ind w:firstLine="640" w:firstLineChars="200"/>
        <w:rPr>
          <w:rFonts w:hint="eastAsia" w:ascii="宋体" w:hAnsi="宋体" w:eastAsia="仿宋_GB2312" w:cs="仿宋_GB2312"/>
          <w:b w:val="0"/>
          <w:bCs w:val="0"/>
          <w:kern w:val="2"/>
          <w:sz w:val="32"/>
          <w:szCs w:val="32"/>
          <w:lang w:val="en-US" w:eastAsia="zh-CN" w:bidi="ar-SA"/>
        </w:rPr>
      </w:pPr>
      <w:r>
        <w:rPr>
          <w:rFonts w:hint="eastAsia" w:ascii="宋体" w:hAnsi="宋体" w:eastAsia="仿宋_GB2312" w:cs="仿宋_GB2312"/>
          <w:b w:val="0"/>
          <w:bCs w:val="0"/>
          <w:kern w:val="2"/>
          <w:sz w:val="32"/>
          <w:szCs w:val="32"/>
          <w:lang w:val="en-US" w:eastAsia="zh-CN" w:bidi="ar-SA"/>
        </w:rPr>
        <w:t>一方面提高预算项目实施前及过程中精准匹配度，另一方面继续加强项目的预算绩效约束性，充分利用有限的预算资金合理安排各项工作事务。</w:t>
      </w: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4D"/>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00" w:usb3="00000000" w:csb0="00040000" w:csb1="00000000"/>
  </w:font>
  <w:font w:name="Noto Sans SC">
    <w:panose1 w:val="020B0200000000000000"/>
    <w:charset w:val="86"/>
    <w:family w:val="auto"/>
    <w:pitch w:val="default"/>
    <w:sig w:usb0="20000083" w:usb1="2ADF3C10" w:usb2="00000016" w:usb3="00000000" w:csb0="60060107"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Quad Arrow 3073" o:spid="_x0000_s3073"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BFB66C"/>
    <w:multiLevelType w:val="singleLevel"/>
    <w:tmpl w:val="A3BFB66C"/>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1B713F"/>
    <w:rsid w:val="00376610"/>
    <w:rsid w:val="007B43E1"/>
    <w:rsid w:val="007E6C1F"/>
    <w:rsid w:val="008E3731"/>
    <w:rsid w:val="00956A93"/>
    <w:rsid w:val="009E575C"/>
    <w:rsid w:val="009F674E"/>
    <w:rsid w:val="00AF167E"/>
    <w:rsid w:val="00AF566A"/>
    <w:rsid w:val="00B478EA"/>
    <w:rsid w:val="00B6553A"/>
    <w:rsid w:val="00BC6576"/>
    <w:rsid w:val="00C66976"/>
    <w:rsid w:val="00CE06BA"/>
    <w:rsid w:val="00E00E65"/>
    <w:rsid w:val="00F441CC"/>
    <w:rsid w:val="01B104CA"/>
    <w:rsid w:val="02106AB0"/>
    <w:rsid w:val="02B43A28"/>
    <w:rsid w:val="046F331E"/>
    <w:rsid w:val="070F6D7E"/>
    <w:rsid w:val="07956271"/>
    <w:rsid w:val="09721397"/>
    <w:rsid w:val="0BB63BED"/>
    <w:rsid w:val="0EB97A43"/>
    <w:rsid w:val="0EBD2122"/>
    <w:rsid w:val="0F214EAE"/>
    <w:rsid w:val="11B71E6A"/>
    <w:rsid w:val="1AAF0063"/>
    <w:rsid w:val="1ABB32B6"/>
    <w:rsid w:val="1B5771AB"/>
    <w:rsid w:val="1BE140DE"/>
    <w:rsid w:val="1E981141"/>
    <w:rsid w:val="1F4D40E8"/>
    <w:rsid w:val="1F6D3CAF"/>
    <w:rsid w:val="24760BE2"/>
    <w:rsid w:val="248C197D"/>
    <w:rsid w:val="250613CB"/>
    <w:rsid w:val="252959AF"/>
    <w:rsid w:val="26760048"/>
    <w:rsid w:val="277A6671"/>
    <w:rsid w:val="292D35B7"/>
    <w:rsid w:val="32817910"/>
    <w:rsid w:val="32A869A8"/>
    <w:rsid w:val="33EB6CFF"/>
    <w:rsid w:val="35A12947"/>
    <w:rsid w:val="37387040"/>
    <w:rsid w:val="37DE735A"/>
    <w:rsid w:val="382D5936"/>
    <w:rsid w:val="38AE1263"/>
    <w:rsid w:val="39B50CEB"/>
    <w:rsid w:val="3B625C0A"/>
    <w:rsid w:val="3CEE1963"/>
    <w:rsid w:val="3F9119DB"/>
    <w:rsid w:val="436B78D3"/>
    <w:rsid w:val="487C56A2"/>
    <w:rsid w:val="4BB81C37"/>
    <w:rsid w:val="4C6E5771"/>
    <w:rsid w:val="4C9C27FE"/>
    <w:rsid w:val="512260B4"/>
    <w:rsid w:val="512D6906"/>
    <w:rsid w:val="52BD6ACB"/>
    <w:rsid w:val="5484650E"/>
    <w:rsid w:val="55537534"/>
    <w:rsid w:val="561A74F1"/>
    <w:rsid w:val="58255193"/>
    <w:rsid w:val="597244E8"/>
    <w:rsid w:val="5EB71C30"/>
    <w:rsid w:val="5F9E18B0"/>
    <w:rsid w:val="601479AF"/>
    <w:rsid w:val="6166050D"/>
    <w:rsid w:val="66AF0CE5"/>
    <w:rsid w:val="6A22197D"/>
    <w:rsid w:val="6AC537CF"/>
    <w:rsid w:val="6CB51A69"/>
    <w:rsid w:val="6E5B14A6"/>
    <w:rsid w:val="6EA81F3E"/>
    <w:rsid w:val="711B255E"/>
    <w:rsid w:val="78695B65"/>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uiPriority w:val="1"/>
  </w:style>
  <w:style w:type="table" w:default="1" w:styleId="6">
    <w:name w:val="Normal Table"/>
    <w:semiHidden/>
    <w:unhideWhenUsed/>
    <w:uiPriority w:val="99"/>
    <w:tblPr>
      <w:tblCellMar>
        <w:top w:w="0" w:type="dxa"/>
        <w:left w:w="108" w:type="dxa"/>
        <w:bottom w:w="0" w:type="dxa"/>
        <w:right w:w="108" w:type="dxa"/>
      </w:tblCellMar>
    </w:tblPr>
  </w:style>
  <w:style w:type="paragraph" w:styleId="2">
    <w:name w:val="endnote text"/>
    <w:qFormat/>
    <w:uiPriority w:val="0"/>
    <w:pPr>
      <w:widowControl w:val="0"/>
      <w:jc w:val="both"/>
    </w:pPr>
    <w:rPr>
      <w:rFonts w:ascii="Calibri" w:hAnsi="Calibri" w:eastAsia="宋体" w:cs="Times New Roman"/>
      <w:kern w:val="2"/>
      <w:sz w:val="21"/>
      <w:szCs w:val="24"/>
      <w:lang w:val="en-US" w:eastAsia="zh-CN"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Normal (Web)"/>
    <w:basedOn w:val="1"/>
    <w:uiPriority w:val="0"/>
    <w:pPr>
      <w:spacing w:before="0" w:beforeAutospacing="1" w:after="0" w:afterAutospacing="1"/>
      <w:ind w:left="0" w:right="0"/>
      <w:jc w:val="left"/>
    </w:pPr>
    <w:rPr>
      <w:kern w:val="0"/>
      <w:sz w:val="24"/>
      <w:lang w:val="en-US" w:eastAsia="zh-CN" w:bidi="ar"/>
    </w:rPr>
  </w:style>
  <w:style w:type="paragraph" w:customStyle="1" w:styleId="8">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579</Words>
  <Characters>596</Characters>
  <Lines>4</Lines>
  <Paragraphs>1</Paragraphs>
  <TotalTime>3</TotalTime>
  <ScaleCrop>false</ScaleCrop>
  <LinksUpToDate>false</LinksUpToDate>
  <CharactersWithSpaces>618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DELL</cp:lastModifiedBy>
  <cp:lastPrinted>2024-03-06T07:40:00Z</cp:lastPrinted>
  <dcterms:modified xsi:type="dcterms:W3CDTF">2026-05-28T07:03:59Z</dcterms:modified>
  <dc:title>附件3：</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96934721B1514D3FBAA28020338CE855_12</vt:lpwstr>
  </property>
  <property fmtid="{D5CDD505-2E9C-101B-9397-08002B2CF9AE}" pid="4" name="KSOTemplateDocerSaveRecord">
    <vt:lpwstr>eyJoZGlkIjoiNDYwYTg2YzZjOTgxYTI5MDNjNmQwYjRiMTRmY2I4OWMiLCJ1c2VySWQiOiIxNzUwMzQ2NjM4In0=</vt:lpwstr>
  </property>
</Properties>
</file>