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石家庄市鹿泉区文化广电体育和旅游局</w:t>
      </w:r>
    </w:p>
    <w:p>
      <w:pPr>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2025年度整体支出绩效自评报告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贯彻落实石家庄市鹿泉区人民政府《关于全面实施预算绩效管理的实施意见》（鹿发〔2019〕8号）文件精神，遵循“科学性、规范性、客观性和公正性”的原则，石家庄市鹿泉区文化广电体育和旅游局对2025年整体支出情况实施了财政支出绩效自评价，形成本评价报告。</w:t>
      </w:r>
    </w:p>
    <w:p>
      <w:pPr>
        <w:adjustRightInd w:val="0"/>
        <w:snapToGrid w:val="0"/>
        <w:spacing w:line="560" w:lineRule="exact"/>
        <w:ind w:firstLine="640" w:firstLineChars="200"/>
        <w:rPr>
          <w:rFonts w:hint="eastAsia"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石家庄市鹿泉区文化广电体育和旅游局（简称区文化广电体育和旅游局）为区政府工作部门，机构规格正科级。贯彻执行中央和省、市、区委关于文化、宣传创作、广播电视、体育和旅游方针政策和决策部署，坚持和加强党对文化、广播电视、体育和旅游工作的集中统一领导。</w:t>
      </w:r>
    </w:p>
    <w:p>
      <w:pPr>
        <w:adjustRightInd w:val="0"/>
        <w:snapToGrid w:val="0"/>
        <w:spacing w:line="360" w:lineRule="auto"/>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机构设置如下：</w:t>
      </w:r>
    </w:p>
    <w:tbl>
      <w:tblPr>
        <w:tblStyle w:val="8"/>
        <w:tblW w:w="8442"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73"/>
        <w:gridCol w:w="3430"/>
        <w:gridCol w:w="1697"/>
        <w:gridCol w:w="1450"/>
        <w:gridCol w:w="12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rPr>
                <w:rFonts w:hint="eastAsia" w:ascii="仿宋_GB2312" w:eastAsia="仿宋_GB2312"/>
                <w:b/>
                <w:sz w:val="28"/>
              </w:rPr>
            </w:pPr>
            <w:r>
              <w:rPr>
                <w:rFonts w:hint="eastAsia" w:ascii="仿宋_GB2312" w:eastAsia="仿宋_GB2312"/>
                <w:b/>
                <w:sz w:val="28"/>
              </w:rPr>
              <w:t>序号</w:t>
            </w:r>
          </w:p>
        </w:tc>
        <w:tc>
          <w:tcPr>
            <w:tcW w:w="3430" w:type="dxa"/>
          </w:tcPr>
          <w:p>
            <w:pPr>
              <w:pStyle w:val="10"/>
              <w:autoSpaceDE w:val="0"/>
              <w:spacing w:line="578" w:lineRule="exact"/>
              <w:jc w:val="center"/>
              <w:rPr>
                <w:rFonts w:hint="eastAsia" w:ascii="仿宋_GB2312" w:eastAsia="仿宋_GB2312"/>
                <w:b/>
                <w:sz w:val="28"/>
              </w:rPr>
            </w:pPr>
            <w:r>
              <w:rPr>
                <w:rFonts w:hint="eastAsia" w:ascii="仿宋_GB2312" w:eastAsia="仿宋_GB2312"/>
                <w:b/>
                <w:sz w:val="28"/>
              </w:rPr>
              <w:t>单位名称</w:t>
            </w:r>
          </w:p>
        </w:tc>
        <w:tc>
          <w:tcPr>
            <w:tcW w:w="1697" w:type="dxa"/>
          </w:tcPr>
          <w:p>
            <w:pPr>
              <w:pStyle w:val="10"/>
              <w:autoSpaceDE w:val="0"/>
              <w:spacing w:line="578" w:lineRule="exact"/>
              <w:jc w:val="center"/>
              <w:rPr>
                <w:rFonts w:hint="eastAsia" w:ascii="仿宋_GB2312" w:eastAsia="仿宋_GB2312"/>
                <w:b/>
                <w:sz w:val="28"/>
              </w:rPr>
            </w:pPr>
            <w:r>
              <w:rPr>
                <w:rFonts w:hint="eastAsia" w:ascii="仿宋_GB2312" w:eastAsia="仿宋_GB2312"/>
                <w:b/>
                <w:sz w:val="28"/>
              </w:rPr>
              <w:t>单位基本性质</w:t>
            </w:r>
          </w:p>
        </w:tc>
        <w:tc>
          <w:tcPr>
            <w:tcW w:w="1450" w:type="dxa"/>
          </w:tcPr>
          <w:p>
            <w:pPr>
              <w:pStyle w:val="10"/>
              <w:autoSpaceDE w:val="0"/>
              <w:spacing w:line="578" w:lineRule="exact"/>
              <w:jc w:val="center"/>
              <w:rPr>
                <w:rFonts w:hint="eastAsia" w:ascii="仿宋_GB2312" w:eastAsia="仿宋_GB2312"/>
                <w:b/>
                <w:sz w:val="28"/>
              </w:rPr>
            </w:pPr>
            <w:r>
              <w:rPr>
                <w:rFonts w:hint="eastAsia" w:ascii="仿宋_GB2312" w:eastAsia="仿宋_GB2312"/>
                <w:b/>
                <w:sz w:val="28"/>
              </w:rPr>
              <w:t>经费形式</w:t>
            </w:r>
          </w:p>
        </w:tc>
        <w:tc>
          <w:tcPr>
            <w:tcW w:w="1292" w:type="dxa"/>
          </w:tcPr>
          <w:p>
            <w:pPr>
              <w:pStyle w:val="10"/>
              <w:autoSpaceDE w:val="0"/>
              <w:spacing w:line="578" w:lineRule="exact"/>
              <w:jc w:val="center"/>
              <w:rPr>
                <w:rFonts w:hint="eastAsia" w:ascii="仿宋_GB2312" w:eastAsia="仿宋_GB2312"/>
                <w:b/>
                <w:sz w:val="28"/>
              </w:rPr>
            </w:pPr>
            <w:r>
              <w:rPr>
                <w:rFonts w:hint="eastAsia" w:ascii="仿宋_GB2312" w:eastAsia="仿宋_GB2312"/>
                <w:b/>
                <w:sz w:val="28"/>
              </w:rPr>
              <w:t>实有人数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1</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石家庄市鹿泉区文化广电体育和旅游局</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行政单位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财政拨款</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2</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石家庄市鹿泉区文化市场综合行政执法大队</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3</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石家庄市鹿泉区图书馆</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4</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石家庄市鹿泉区文物保护管理所</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5</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石家庄市鹿泉区文化馆</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6</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石家庄市鹿泉区体育场</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85" w:hRule="atLeast"/>
          <w:jc w:val="center"/>
        </w:trPr>
        <w:tc>
          <w:tcPr>
            <w:tcW w:w="573" w:type="dxa"/>
          </w:tcPr>
          <w:p>
            <w:pPr>
              <w:pStyle w:val="10"/>
              <w:autoSpaceDE w:val="0"/>
              <w:spacing w:line="578" w:lineRule="exact"/>
              <w:jc w:val="center"/>
              <w:rPr>
                <w:rFonts w:hint="eastAsia" w:ascii="仿宋"/>
                <w:sz w:val="18"/>
                <w:szCs w:val="18"/>
              </w:rPr>
            </w:pPr>
            <w:r>
              <w:rPr>
                <w:rFonts w:ascii="仿宋"/>
                <w:w w:val="97"/>
                <w:sz w:val="18"/>
                <w:szCs w:val="18"/>
              </w:rPr>
              <w:t>7</w:t>
            </w:r>
          </w:p>
        </w:tc>
        <w:tc>
          <w:tcPr>
            <w:tcW w:w="343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石家庄市鹿泉区少年儿童业余体校</w:t>
            </w:r>
          </w:p>
        </w:tc>
        <w:tc>
          <w:tcPr>
            <w:tcW w:w="1697"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财政补助事业单位</w:t>
            </w:r>
          </w:p>
        </w:tc>
        <w:tc>
          <w:tcPr>
            <w:tcW w:w="1450"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财政资金基本保证</w:t>
            </w:r>
          </w:p>
        </w:tc>
        <w:tc>
          <w:tcPr>
            <w:tcW w:w="1292" w:type="dxa"/>
          </w:tcPr>
          <w:p>
            <w:pPr>
              <w:pStyle w:val="10"/>
              <w:autoSpaceDE w:val="0"/>
              <w:spacing w:line="578" w:lineRule="exact"/>
              <w:jc w:val="center"/>
              <w:rPr>
                <w:rFonts w:hint="eastAsia" w:ascii="仿宋" w:eastAsia="仿宋"/>
                <w:sz w:val="18"/>
                <w:szCs w:val="18"/>
              </w:rPr>
            </w:pPr>
            <w:r>
              <w:rPr>
                <w:rFonts w:hint="eastAsia" w:ascii="仿宋" w:eastAsia="仿宋"/>
                <w:sz w:val="18"/>
                <w:szCs w:val="18"/>
              </w:rPr>
              <w:t>6</w:t>
            </w:r>
          </w:p>
        </w:tc>
      </w:tr>
    </w:tbl>
    <w:p>
      <w:pPr>
        <w:adjustRightInd w:val="0"/>
        <w:snapToGrid w:val="0"/>
        <w:spacing w:line="560" w:lineRule="exact"/>
        <w:rPr>
          <w:rFonts w:hint="eastAsia" w:ascii="仿宋" w:hAnsi="仿宋" w:eastAsia="仿宋"/>
          <w:sz w:val="32"/>
          <w:szCs w:val="32"/>
        </w:rPr>
      </w:pP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pStyle w:val="11"/>
        <w:ind w:firstLine="640" w:firstLineChars="200"/>
        <w:rPr>
          <w:rFonts w:hint="eastAsia" w:ascii="仿宋_GB2312" w:hAnsi="仿宋_GB2312" w:cs="仿宋_GB2312"/>
        </w:rPr>
      </w:pPr>
      <w:r>
        <w:rPr>
          <w:rFonts w:hint="eastAsia" w:ascii="仿宋_GB2312" w:hAnsi="仿宋_GB2312" w:cs="仿宋_GB2312"/>
        </w:rPr>
        <w:t>本部门2025年度收、支总计（含结转和结余）3806.15万</w:t>
      </w:r>
      <w:r>
        <w:rPr>
          <w:rFonts w:hint="eastAsia" w:hAnsi="仿宋_GB2312"/>
        </w:rPr>
        <w:t>元</w:t>
      </w:r>
      <w:r>
        <w:rPr>
          <w:rFonts w:hint="eastAsia" w:ascii="仿宋_GB2312" w:hAnsi="仿宋_GB2312" w:cs="仿宋_GB2312"/>
        </w:rPr>
        <w:t>，与2024年度决算相比，收支各增加386.04万元，增加11.29%，主要原因是石井乡环山路、西部长青东环旅游路等项目资金支出增加。</w:t>
      </w:r>
    </w:p>
    <w:p>
      <w:pPr>
        <w:pStyle w:val="11"/>
        <w:ind w:firstLine="640" w:firstLineChars="200"/>
        <w:rPr>
          <w:rFonts w:hint="eastAsia"/>
        </w:rPr>
      </w:pPr>
      <w:r>
        <w:rPr>
          <w:rFonts w:hint="eastAsia" w:ascii="仿宋_GB2312" w:hAnsi="仿宋_GB2312" w:cs="仿宋_GB2312"/>
        </w:rPr>
        <w:t>本部门2025年度形成的财政拨款收入为一般公共预算财政收入、政府性基金财政收入，其中一般公共预算财政拨款收入3273.27万元，完成年初预算的54.01%,比年初预算减少2786.69万元，主要原因是各类项目资金支出减少；政府性基金收入532.87万元，完成年初预算的81.43%,比年初预算减少121.51万元，主要原因是全民健身中心工程资金以及体彩公益金按项目工程进度支付。</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1"/>
        <w:ind w:firstLine="640" w:firstLineChars="200"/>
        <w:rPr>
          <w:rFonts w:hint="eastAsia" w:ascii="仿宋_GB2312" w:hAnsi="仿宋_GB2312" w:cs="仿宋_GB2312"/>
        </w:rPr>
      </w:pPr>
      <w:r>
        <w:rPr>
          <w:rFonts w:hint="eastAsia" w:ascii="仿宋_GB2312" w:hAnsi="仿宋_GB2312" w:cs="仿宋_GB2312"/>
        </w:rPr>
        <w:t>1、着力推动文化、旅游、体育产业高质量发展。</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绩效目标：牢固树立文旅多业态融合发展理念，多渠道争取省、市支持，推动鹿泉区基础设施建设，刺激消费拉动经济增长。</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指标：提升宣传推介力度，加大资源宣传整合，持续做好鹿泉宣传品设计，创新宣传方式，拓展新媒体平台宣传力度，策划组织重点景区到京津冀晋鲁豫周边客源地开展鹿泉专场或者跟周边县区共同组织特色推介会，拓展京津及周边市场。</w:t>
      </w:r>
    </w:p>
    <w:p>
      <w:pPr>
        <w:pStyle w:val="11"/>
        <w:ind w:firstLine="640" w:firstLineChars="200"/>
        <w:rPr>
          <w:rFonts w:hint="eastAsia" w:ascii="仿宋_GB2312" w:hAnsi="仿宋_GB2312" w:cs="仿宋_GB2312"/>
        </w:rPr>
      </w:pPr>
      <w:r>
        <w:rPr>
          <w:rFonts w:hint="eastAsia" w:ascii="仿宋_GB2312" w:hAnsi="仿宋_GB2312" w:cs="仿宋_GB2312"/>
        </w:rPr>
        <w:t>2、加快旅游产业提升发展。</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绩效目标：一是整合旅游资源，统筹酒店、景区等区域资源。二是继续推动文旅重点项目建设。三是持续提升旅游基础设施。</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指标：以当前旅游业发展为基础，结合美丽乡村建设，加快推进工业旅游、生态旅游、文化旅游、康养研学、美丽乡村旅游的发展，实现全区旅游业健康、稳定、可持续发展；加快抱犊寨、封龙山等景区提档升级。推进龙泉古镇、西部长青小三亚、稻香村文化街等续建项目开发建设，丰富全区旅游业态，增加全域旅游发展后劲；加快山前大道等旅游连接线、通景公路、乡村旅游公路的建设提升，推动“快旅慢游”路网体系建设，完成西部长青东环旅游路（南二环西延至梁庄村）、石井乡环山路建设工程，打通西部山区旅游环线，改善沿线各村出行，促进区域旅游发展。</w:t>
      </w:r>
    </w:p>
    <w:p>
      <w:pPr>
        <w:pStyle w:val="11"/>
        <w:ind w:firstLine="640" w:firstLineChars="200"/>
        <w:rPr>
          <w:rFonts w:hint="eastAsia" w:ascii="仿宋_GB2312" w:hAnsi="仿宋_GB2312" w:cs="仿宋_GB2312"/>
        </w:rPr>
      </w:pPr>
      <w:r>
        <w:rPr>
          <w:rFonts w:hint="eastAsia" w:ascii="仿宋_GB2312" w:hAnsi="仿宋_GB2312" w:cs="仿宋_GB2312"/>
        </w:rPr>
        <w:t>3、着力为民增福祉，促进群众体育和竞技体育全面发展。</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绩效目标：促进群众体育和竞技体育全面发展，进一步提升公共服务水平和城乡体育运动设施差距，推动鹿泉体育事业更上一层楼。</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指标：继续开展以群众参与为主的体育活动以及冰雪赛事培训活动50场次以上，进一步打造鹿泉品牌运动赛事“泉民热练”，促进全民健身运动的可持续发展；举办区域类更高水平的体育品牌赛事活动，如鹿泉半程马拉松、自行车赛、乒乓球赛等赛事，将“体育+”理念深度发展，不断增加赛事活动影响力。</w:t>
      </w:r>
    </w:p>
    <w:p>
      <w:pPr>
        <w:pStyle w:val="11"/>
        <w:ind w:firstLine="640" w:firstLineChars="200"/>
        <w:rPr>
          <w:rFonts w:hint="eastAsia" w:ascii="仿宋_GB2312" w:hAnsi="仿宋_GB2312" w:cs="仿宋_GB2312"/>
        </w:rPr>
      </w:pPr>
      <w:r>
        <w:rPr>
          <w:rFonts w:hint="eastAsia" w:ascii="仿宋_GB2312" w:hAnsi="仿宋_GB2312" w:cs="仿宋_GB2312"/>
        </w:rPr>
        <w:t>4、着力开展文化惠民，增强文化自信。</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绩效目标：深入实施文化惠民工程，推动鹿泉非遗品牌的打造，指导文艺工作者以人民为中心创作出更多增强人民精神力量的优秀作品。</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指标：持续开展“六进”、“草根大舞台”、“丝弦进基层”、“非遗演出”等演出培训活动100场次，进一步繁荣发展文化事业，满足人民日益增长的精神文化需求；以健全现代化公共文化服务体系为目标，督导全区各乡镇（区）公共文化服务达标提质，进一步提升鹿泉城市品位，激发鹿泉发展新活力。</w:t>
      </w:r>
    </w:p>
    <w:p>
      <w:pPr>
        <w:pStyle w:val="11"/>
        <w:ind w:firstLine="640" w:firstLineChars="200"/>
        <w:rPr>
          <w:rFonts w:hint="eastAsia" w:ascii="仿宋_GB2312" w:hAnsi="仿宋_GB2312" w:cs="仿宋_GB2312"/>
        </w:rPr>
      </w:pPr>
      <w:r>
        <w:rPr>
          <w:rFonts w:hint="eastAsia" w:ascii="仿宋_GB2312" w:hAnsi="仿宋_GB2312" w:cs="仿宋_GB2312"/>
        </w:rPr>
        <w:t>5、持续强化文化旅游市场综合执法和安全生产监管。</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绩效目标：严格落实安全生产责任制，深入开展文体旅游领域隐患排查治理，确保文化旅游行业能够长期健康有序发展。</w:t>
      </w:r>
    </w:p>
    <w:p>
      <w:pPr>
        <w:spacing w:line="560" w:lineRule="exact"/>
        <w:ind w:firstLine="640" w:firstLineChars="200"/>
        <w:rPr>
          <w:rFonts w:hint="eastAsia" w:ascii="仿宋_GB2312" w:hAnsi="仿宋_GB2312" w:cs="仿宋_GB2312"/>
        </w:rPr>
      </w:pPr>
      <w:r>
        <w:rPr>
          <w:rFonts w:hint="eastAsia" w:ascii="仿宋_GB2312" w:hAnsi="Times New Roman" w:eastAsia="仿宋_GB2312" w:cs="仿宋_GB2312"/>
          <w:sz w:val="32"/>
          <w:szCs w:val="32"/>
        </w:rPr>
        <w:t>绩效指标：健全安全生产目标职责体系，加强监督检查，确保隐患排查到位，加强安全生产责任意识落实，稳定市场秩序</w:t>
      </w:r>
      <w:r>
        <w:rPr>
          <w:rFonts w:hint="eastAsia" w:ascii="仿宋_GB2312" w:hAnsi="仿宋_GB2312" w:cs="仿宋_GB2312"/>
        </w:rPr>
        <w:t>。</w:t>
      </w:r>
    </w:p>
    <w:p>
      <w:pPr>
        <w:numPr>
          <w:ilvl w:val="0"/>
          <w:numId w:val="1"/>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自评工作开展情况</w:t>
      </w:r>
    </w:p>
    <w:p>
      <w:pPr>
        <w:numPr>
          <w:numId w:val="0"/>
        </w:numPr>
        <w:adjustRightInd w:val="0"/>
        <w:snapToGrid w:val="0"/>
        <w:spacing w:line="560" w:lineRule="exact"/>
        <w:ind w:firstLine="640" w:firstLineChars="200"/>
        <w:rPr>
          <w:rFonts w:hint="eastAsia" w:ascii="楷体" w:hAnsi="楷体" w:eastAsia="楷体" w:cs="楷体_GB2312"/>
          <w:sz w:val="32"/>
          <w:szCs w:val="32"/>
        </w:rPr>
      </w:pPr>
      <w:bookmarkStart w:id="0" w:name="_GoBack"/>
      <w:bookmarkEnd w:id="0"/>
      <w:r>
        <w:rPr>
          <w:rFonts w:hint="eastAsia" w:ascii="楷体" w:hAnsi="楷体" w:eastAsia="楷体" w:cs="楷体_GB2312"/>
          <w:bCs/>
          <w:sz w:val="32"/>
          <w:szCs w:val="32"/>
        </w:rPr>
        <w:t>（一）自评的组织工作</w:t>
      </w:r>
    </w:p>
    <w:p>
      <w:pPr>
        <w:spacing w:line="560" w:lineRule="exact"/>
        <w:ind w:firstLine="640" w:firstLineChars="200"/>
        <w:rPr>
          <w:rFonts w:hint="eastAsia" w:ascii="仿宋" w:hAnsi="仿宋" w:eastAsia="仿宋"/>
          <w:sz w:val="32"/>
          <w:szCs w:val="32"/>
        </w:rPr>
      </w:pPr>
      <w:r>
        <w:rPr>
          <w:rFonts w:hint="eastAsia" w:ascii="仿宋_GB2312" w:hAnsi="Times New Roman" w:eastAsia="仿宋_GB2312" w:cs="仿宋_GB2312"/>
          <w:sz w:val="32"/>
          <w:szCs w:val="32"/>
        </w:rPr>
        <w:t>区文化广电体育和旅游局高度重视绩效评价工作，成立了以晋日欣局长为组长、各股室负责人及相关工作人员为成员的绩效工作自评小组。根据职责分工，绩效评价工作小组组织各业务股室抓紧开展资金绩效自评工作，安排业务、财务人员，按照自身职责和评价项目特点确定自评工作程序、工作方法等，保证自评结果真实可靠</w:t>
      </w:r>
      <w:r>
        <w:rPr>
          <w:rFonts w:hint="eastAsia" w:ascii="仿宋" w:hAnsi="仿宋" w:eastAsia="仿宋" w:cs="仿宋"/>
          <w:sz w:val="32"/>
          <w:szCs w:val="32"/>
        </w:rPr>
        <w:t>。</w:t>
      </w:r>
    </w:p>
    <w:p>
      <w:pPr>
        <w:numPr>
          <w:ilvl w:val="0"/>
          <w:numId w:val="2"/>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pPr>
        <w:adjustRightInd w:val="0"/>
        <w:snapToGrid w:val="0"/>
        <w:spacing w:line="578" w:lineRule="exact"/>
        <w:ind w:firstLine="640" w:firstLineChars="200"/>
        <w:rPr>
          <w:rFonts w:ascii="宋体" w:hAnsi="宋体" w:eastAsia="仿宋_GB2312" w:cs="仿宋_GB2312"/>
          <w:sz w:val="32"/>
          <w:szCs w:val="32"/>
        </w:rPr>
      </w:pPr>
      <w:r>
        <w:rPr>
          <w:rFonts w:hint="eastAsia" w:ascii="仿宋_GB2312" w:hAnsi="Times New Roman" w:eastAsia="仿宋_GB2312" w:cs="仿宋_GB2312"/>
          <w:sz w:val="32"/>
          <w:szCs w:val="32"/>
        </w:rPr>
        <w:t>2025年度预算项目绩效自评</w:t>
      </w:r>
      <w:r>
        <w:rPr>
          <w:rFonts w:hint="eastAsia" w:ascii="宋体" w:hAnsi="宋体" w:eastAsia="仿宋_GB2312" w:cs="仿宋_GB2312"/>
          <w:sz w:val="32"/>
          <w:szCs w:val="32"/>
        </w:rPr>
        <w:t>坚持“客观、公正、科学、规范”的原则，</w:t>
      </w:r>
      <w:r>
        <w:rPr>
          <w:rFonts w:hint="eastAsia" w:ascii="仿宋_GB2312" w:hAnsi="Times New Roman" w:eastAsia="仿宋_GB2312" w:cs="仿宋_GB2312"/>
          <w:sz w:val="32"/>
          <w:szCs w:val="32"/>
        </w:rPr>
        <w:t>所有项目的绩效自评均设计了合理、明晰的指标，</w:t>
      </w:r>
      <w:r>
        <w:rPr>
          <w:rFonts w:hint="eastAsia" w:ascii="宋体" w:hAnsi="宋体" w:eastAsia="仿宋_GB2312" w:cs="仿宋_GB2312"/>
          <w:sz w:val="32"/>
          <w:szCs w:val="32"/>
        </w:rPr>
        <w:t>采用业务股室自评与工作组复评相结合的方式进行。在自评的基础上，通过查账目、检查系统运行情况、查阅资料等多种方式，搜集并审核相关绩效材料，运用比较分析、因素分析、成本效益分析等方法，综合评价各项目绩效。</w:t>
      </w:r>
    </w:p>
    <w:p>
      <w:pPr>
        <w:adjustRightInd w:val="0"/>
        <w:snapToGrid w:val="0"/>
        <w:spacing w:line="578"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本次绩效评价自评工作分为三个阶段：</w:t>
      </w:r>
    </w:p>
    <w:p>
      <w:pPr>
        <w:adjustRightInd w:val="0"/>
        <w:snapToGrid w:val="0"/>
        <w:spacing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第一阶段：成立绩效评价工作小组，收集评价资料，要求业务股室准备绩效评价所需的佐证材料，其中评价指标应有对应的材料佐证相关指标的实现情况。</w:t>
      </w:r>
    </w:p>
    <w:p>
      <w:pPr>
        <w:adjustRightInd w:val="0"/>
        <w:snapToGrid w:val="0"/>
        <w:spacing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第二阶段：通过相关资料的原件、数据来源及计算方法等，进一步核实自评材料及佐证材料的客观性，确保相关内容真实可靠；通过仔细查阅实施各项过程材料，</w:t>
      </w:r>
      <w:r>
        <w:rPr>
          <w:rFonts w:hint="eastAsia" w:ascii="宋体" w:hAnsi="宋体" w:eastAsia="仿宋_GB2312" w:cs="仿宋_GB2312"/>
          <w:sz w:val="32"/>
          <w:szCs w:val="32"/>
        </w:rPr>
        <w:t>运用比较分析、因素分析、成本效益分析等方法，</w:t>
      </w:r>
      <w:r>
        <w:rPr>
          <w:rFonts w:hint="eastAsia" w:ascii="仿宋_GB2312" w:hAnsi="Times New Roman" w:eastAsia="仿宋_GB2312" w:cs="仿宋_GB2312"/>
          <w:sz w:val="32"/>
          <w:szCs w:val="32"/>
        </w:rPr>
        <w:t>补充评审评价深度的不足，进一步把握评价项目及预算执行的规范性。</w:t>
      </w:r>
    </w:p>
    <w:p>
      <w:pPr>
        <w:adjustRightInd w:val="0"/>
        <w:snapToGrid w:val="0"/>
        <w:spacing w:line="578"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第三阶段：由绩效评价工作小组对项目进行抽样核查，总结评价结论，最终形成自评报告。</w:t>
      </w:r>
    </w:p>
    <w:p>
      <w:pPr>
        <w:adjustRightInd w:val="0"/>
        <w:snapToGrid w:val="0"/>
        <w:spacing w:line="578" w:lineRule="exact"/>
        <w:ind w:firstLine="640" w:firstLineChars="200"/>
        <w:rPr>
          <w:rFonts w:hint="eastAsia"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今年以来，我局围绕“一带六区”战略布局和“慢生活·休闲游”品牌打造，统筹推进文化事业繁荣、体育竞技活跃、文旅产业发展，各项任务指标稳步推进，重点工作亮点纷呈，进一步为加快建设现代化经济强区、魅力鹿泉提供了坚强的文化滋养和精神支撑。</w:t>
      </w:r>
    </w:p>
    <w:p>
      <w:pPr>
        <w:spacing w:line="560" w:lineRule="exact"/>
        <w:ind w:firstLine="640" w:firstLineChars="200"/>
        <w:rPr>
          <w:rFonts w:hint="eastAsia"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1.文化公共服务水平提升</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公共设施建设持续升级。一是馆藏资源持续扩充。图书馆持续丰富馆藏体系，全年新增及补充图书超6000册，为4个城市书房增配书籍、为人才公寓书房精选专业书籍。全年开展线上线下阅读推广活动、展览超50场，惠及读者超3万人次。非遗传承活动超20场，结合元宵、暑期、国庆中秋等节点推出主题活动。二是服务网络与设施升级。新增6个图书馆服务点，赠送期刊超1500册。升级服务设施，引进AI智能馆员“鹿小图”，覆盖多平台提供智慧服务；投放并更新24小时借阅机，优化自助借阅体验。三是资金保障精准到位。严格执行“三馆一站”免费开放资金管理要求，及时足额向各乡镇拨付补助资金52万元，重点支持公益性文化活动开展、文化骨干培训、设施修缮及设备更新，确保资金使用效益最大化。</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深入开展群众文化活动。一是文化惠民深入基层。2025年组织文艺活动67场次，惠及群众14.1万余人次。“彩色周末”成为特色品牌，5-10月精选乡镇节目呈现文化盛宴；结合重大节日开展“六进”活动及四季村晚，让文化服务落到实处。二是艺术培训精准覆盖。全年开展各类培训106次，惠及4855人次。面向中老年打造《春潮颂》等精品节目，汇聚13个乡镇100余名文艺骨干；为青年开设22场古典舞夜校，实现学习与交友双向赋能；培训青少儿乐器300余人次，创新组建跨职业电声摇滚乐队，培育音乐人才。三是非遗传承亮点纷呈。联动景区举办非遗巡游展演，吸引游客超3万人次。成功申报2项市级非遗、新增7项区级非遗；推动非遗进校园，授牌北故邑小学为非遗传承展示示范基地，600余名师生沉浸式感受传统布艺、丝弦魅力。四是精品创作与展览丰硕。组织红色歌曲、戏曲丝弦等精品创作，开展百人培训与乐队排练。举办美术书法、太行风情等10余个展览，参观人数超1万人次。</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持续加强传承保护力度。一是做好第四次全国文物普查工作。结合我区实际，坚持“应查尽查，应保尽保”原则。开展“地毯式”清查摸底，复查三普不可移动文物401处，新发现文物79处。二是扎实推进文物保护与宣传普及。省级文保单位金河寺大殿修缮通过验收，抱犊山石窟及石刻安防工程即将完工；编制提交高氏民宅安防设计方案及院落维修立项报告，配合省考古研究院在北故邑窦王城遗址的考古发掘招投标工作。举办“第五届鹿泉碑石拓片精品展”并印制成册，弘扬优秀传统文化。</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2.打造优质旅游产业</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推进旅游基础设施建设。一是持续推动厕所革命。向上问计争取资金13万，对西部长青和抱犊寨的两座旅游厕所进行奖补。二是落实省市旅游厕所整治提升专项行动，对2015年以来录入国家旅游厕所系统库74座旅游厕所开展问题排查，通过自查、互查、抽查等方式，实现对辖区内旅游厕所检查全覆盖，采取清单化管理，做到“一厕一册”，更新A级景区“一厕一码”标识牌二维码信息，切实提升游客体验。三是更新维修全区公路沿线、景区景点等各种形式的旅游标识标牌15块，提升了景区通达度。</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推动乡村旅游发展。一是按照市级乡村旅游重点创建要求，指导组织上寨乡南寨村获评市级乡村旅游重点村，全区市级省村旅游重点村家数达到3家。二是开展乡村旅游民宿专项培训，对接乡镇，联合区公安、区市场监管、区消防救援部门对全区40余家民宿开展培训，提高了民宿服务人员的专业水平。三是配合区数政局完善“E鹿悦游”小程序内全区精品民宿相关信息录入，通过智慧旅游系统加强全区民宿的宣传推介力度。</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全力保障大型文旅活动。8月23-24日“2025石家庄草莓音乐节”在鹿泉北国之星演艺基地成功举办，吸引近10万名观众到场，其中，石家庄本地观众占24%，河北省内跨城观众占22%，跨省观众高达54%，创下近年来本地大型演出观演人数新高。音乐节期间直面天气不利、乐迷人流集中等多重挑战，以专业与担当圆满完成了承办地各项保障任务，极大提升鹿泉文化旅游的知名度和影响力。</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3.推动全民健身全面开展</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群众身边赛事活动开展。一是组织开展贴近群众的体育赛事活动，满足群众多元化的健身需求。全年举办群众身边赛事活动和全民健身赛事活动共计87场，活动参与人数5万余人次，有效激发群众参与体育运动的热情。二是积极发挥区域体育活动引领作用，成功承办2025石家庄市第六届体育消费季启动仪式，以消费为抓手，助力体育产业发展。高质量承办2025年健身球操比赛，为健身球操爱好者搭建专业竞技交流平台，推动特色体育项目普及。三是科学健身培训。深入开展“科学健身 乐享生活”全民健身系列培训活动15场次，培训内容广泛覆盖广场舞、健身球、八段锦等项目。同时，根据群众多层次的健身需求，积极谋划开展瑜伽、篮球、足球、游泳、轮滑等体育项目公益课70余课时，持续丰富群众体育服务供给。</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实施体育惠民工程建设。我局积极推进体育惠民工程建设，不断补齐群众身边的体育场地设施短板。2025年，我局持续完善体育设施布局，新建全民健身设施5处。一是在城区新建街边球类场地2处，任务目标已完成。二是在和美乡村建设全民健身运动场地2处，并安装新型健身器材，任务目标已完成；三是乡镇（街道）体育工程1处—方台村，任务目标已完成。</w:t>
      </w:r>
    </w:p>
    <w:p>
      <w:pPr>
        <w:spacing w:line="56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品牌赛事带动体育事业发展。强化“体育+”融合效益，以品牌赛事的成功举办带动区域消费和城市知名度。2025年成功举办迎新长跑、鹿泉武林大会、乒乓球邀请赛、自行车赛、珊瑚少年行、登山大赛、君乐宝“牛奶的行走”公益徒步活动等特色品牌赛事，这些赛事巧妙选址或设计特色路线，吸引全国及海外选手参赛、旅游，进一步拉动我区餐饮、住宿、旅游等行业消费水平。</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4.优化文体旅游市场环境</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规范文化旅游市场秩序。一是开展导游乱象、强制消费等问题整治，联合督导检查不少于两次。二是开展旅游景区旅游市场综合整治工作，成立工作专班，制定方案，联合督导，查出6条问题隐患并完成整改。三是完成5家新设立网吧现场勘察及审监信息互动。四是受理旅游投诉电话和12345政务服务热线转办单106余起，均及时回复回访，保障文旅市场平稳有序。</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开展文化市场秩序整治专项行动。一是重点检查校园周边网吧、歌厅，严查违规接纳未成年人、未核对身份证件等行为。二是打击有害、淫秽暴力等违禁出版物，进行中高考期间专项检查。三是推进涉企检查规范化数字化，累计检查经营单位214家次、出动执法人员323人次。</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根据部门职责定位和各项工作履职情况进行综合评价，给出总得分，满分100分，得出综合绩效评价等级。部门整体支出综合绩效评价分为4个等级：得分</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85分为优秀；75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得分＜85分为良好；60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得分＜75分为一般；得分＜60分为较差。</w:t>
      </w:r>
    </w:p>
    <w:p>
      <w:pPr>
        <w:pStyle w:val="2"/>
        <w:ind w:left="0"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绩效自评结果详见附件一。</w:t>
      </w:r>
    </w:p>
    <w:p>
      <w:pPr>
        <w:pStyle w:val="12"/>
        <w:autoSpaceDE w:val="0"/>
        <w:spacing w:before="0" w:line="578"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截至2025年底，我部门共自评7</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个项目，其中，7</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个项目评分优秀。</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adjustRightInd w:val="0"/>
        <w:snapToGrid w:val="0"/>
        <w:spacing w:line="578" w:lineRule="exact"/>
        <w:ind w:firstLine="640"/>
        <w:rPr>
          <w:rFonts w:ascii="仿宋_GB2312" w:hAnsi="Times New Roman" w:eastAsia="仿宋_GB2312" w:cs="仿宋_GB2312"/>
          <w:sz w:val="32"/>
          <w:szCs w:val="32"/>
        </w:rPr>
      </w:pPr>
      <w:r>
        <w:rPr>
          <w:rFonts w:hint="eastAsia" w:ascii="仿宋_GB2312" w:hAnsi="Times New Roman" w:eastAsia="仿宋_GB2312" w:cs="仿宋_GB2312"/>
          <w:sz w:val="32"/>
          <w:szCs w:val="32"/>
        </w:rPr>
        <w:t>1．绩效管理意识较弱。部门监控绩效目标的实现程度较弱，项目的绩效状况和绩效目标的实现体现不够全面，</w:t>
      </w:r>
      <w:r>
        <w:rPr>
          <w:rFonts w:hint="eastAsia" w:ascii="宋体" w:hAnsi="宋体" w:eastAsia="仿宋_GB2312" w:cs="仿宋"/>
          <w:sz w:val="32"/>
          <w:szCs w:val="32"/>
        </w:rPr>
        <w:t>绩效目标有待精细化、合理化，</w:t>
      </w:r>
      <w:r>
        <w:rPr>
          <w:rFonts w:hint="eastAsia" w:ascii="仿宋_GB2312" w:hAnsi="Times New Roman" w:eastAsia="仿宋_GB2312" w:cs="仿宋_GB2312"/>
          <w:sz w:val="32"/>
          <w:szCs w:val="32"/>
        </w:rPr>
        <w:t>股室整体绩效管理理念还有待进一步提升。</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2.个别项目支出进度较慢，执行过程中存在难点和问题。</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1.强化绩效管理意识。结合项目的具体情况，围绕资金使用、资金配置、项目管理等方面，科学编制绩效指标体系，设定清晰、完整、可衡量的绩效指标，以充分体现和真实反映项目的绩效状况和绩效目标的实现程度，提高项目执行率，提高资金支付效率。</w:t>
      </w:r>
    </w:p>
    <w:p>
      <w:pPr>
        <w:spacing w:line="578" w:lineRule="exact"/>
        <w:ind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2.科学、合理制定项目支出计划。在项目执行过程中，对照支出计划，详细研究项目的实际执行情况和进度。对于未达到支出进度的项目，认真分析执行过程中存在的难点和问题，协调相关部门提出解决方案和办法。</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六、评价工作组人员名单及签字（姓名、职务）</w:t>
      </w:r>
    </w:p>
    <w:p>
      <w:pPr>
        <w:autoSpaceDE w:val="0"/>
        <w:autoSpaceDN w:val="0"/>
        <w:adjustRightInd w:val="0"/>
        <w:snapToGrid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组长：晋日欣   党组书记、局长</w:t>
      </w:r>
    </w:p>
    <w:p>
      <w:pPr>
        <w:autoSpaceDE w:val="0"/>
        <w:autoSpaceDN w:val="0"/>
        <w:adjustRightInd w:val="0"/>
        <w:snapToGrid w:val="0"/>
        <w:spacing w:line="578"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成员：王红     副局长</w:t>
      </w:r>
    </w:p>
    <w:p>
      <w:pPr>
        <w:autoSpaceDE w:val="0"/>
        <w:autoSpaceDN w:val="0"/>
        <w:adjustRightInd w:val="0"/>
        <w:snapToGrid w:val="0"/>
        <w:spacing w:line="578"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李志艳   副局长</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胡顺平   党组成员、旅游规划股股长</w:t>
      </w:r>
    </w:p>
    <w:p>
      <w:pPr>
        <w:autoSpaceDE w:val="0"/>
        <w:autoSpaceDN w:val="0"/>
        <w:adjustRightInd w:val="0"/>
        <w:snapToGrid w:val="0"/>
        <w:spacing w:line="578" w:lineRule="exact"/>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牛国兰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党组成员、政策法规股股长</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刘月桥 财务负责人</w:t>
      </w:r>
    </w:p>
    <w:p>
      <w:pPr>
        <w:pStyle w:val="4"/>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杨婕   宣传推广股负责人</w:t>
      </w:r>
    </w:p>
    <w:p>
      <w:pPr>
        <w:pStyle w:val="4"/>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李军龙 政策法规股负责人</w:t>
      </w:r>
    </w:p>
    <w:p>
      <w:pPr>
        <w:pStyle w:val="4"/>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赵圣梅 文化广电股负责人</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康付英 体育事业股负责人</w:t>
      </w:r>
    </w:p>
    <w:p>
      <w:pPr>
        <w:pStyle w:val="4"/>
        <w:ind w:firstLine="1600" w:firstLineChars="500"/>
        <w:rPr>
          <w:rFonts w:hint="eastAsia" w:ascii="仿宋" w:hAnsi="仿宋" w:eastAsia="仿宋"/>
        </w:rPr>
      </w:pPr>
      <w:r>
        <w:rPr>
          <w:rFonts w:hint="eastAsia" w:ascii="仿宋_GB2312" w:hAnsi="仿宋_GB2312" w:eastAsia="仿宋_GB2312" w:cs="仿宋_GB2312"/>
          <w:sz w:val="32"/>
          <w:szCs w:val="32"/>
        </w:rPr>
        <w:t>黄菲   市场管理股负责人</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A165B57"/>
    <w:multiLevelType w:val="singleLevel"/>
    <w:tmpl w:val="6A165B57"/>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RkYmQ4Y2I3YzlkODVjYTM3N2MwNDFhZmYzNzk5M2MifQ=="/>
  </w:docVars>
  <w:rsids>
    <w:rsidRoot w:val="0EBD2122"/>
    <w:rsid w:val="00001149"/>
    <w:rsid w:val="0002472A"/>
    <w:rsid w:val="00030BF5"/>
    <w:rsid w:val="00037247"/>
    <w:rsid w:val="000572C6"/>
    <w:rsid w:val="00080E3D"/>
    <w:rsid w:val="00095587"/>
    <w:rsid w:val="000967A8"/>
    <w:rsid w:val="00097CBF"/>
    <w:rsid w:val="000A0359"/>
    <w:rsid w:val="000B0260"/>
    <w:rsid w:val="000C2BBA"/>
    <w:rsid w:val="00111881"/>
    <w:rsid w:val="001303CD"/>
    <w:rsid w:val="00144C38"/>
    <w:rsid w:val="00165982"/>
    <w:rsid w:val="001856FE"/>
    <w:rsid w:val="001B713F"/>
    <w:rsid w:val="001D5D75"/>
    <w:rsid w:val="001F0737"/>
    <w:rsid w:val="0022594B"/>
    <w:rsid w:val="0027397B"/>
    <w:rsid w:val="00347029"/>
    <w:rsid w:val="00353FAF"/>
    <w:rsid w:val="003548CA"/>
    <w:rsid w:val="00376610"/>
    <w:rsid w:val="00383152"/>
    <w:rsid w:val="0039614F"/>
    <w:rsid w:val="003B7D89"/>
    <w:rsid w:val="003D7506"/>
    <w:rsid w:val="00413B7F"/>
    <w:rsid w:val="004F2CE3"/>
    <w:rsid w:val="0050110A"/>
    <w:rsid w:val="00521017"/>
    <w:rsid w:val="00571F50"/>
    <w:rsid w:val="005E14B5"/>
    <w:rsid w:val="0060427C"/>
    <w:rsid w:val="006727C7"/>
    <w:rsid w:val="006A6A29"/>
    <w:rsid w:val="006C5F6F"/>
    <w:rsid w:val="006E3008"/>
    <w:rsid w:val="00775D6A"/>
    <w:rsid w:val="007A722D"/>
    <w:rsid w:val="007E4F37"/>
    <w:rsid w:val="007E6C1F"/>
    <w:rsid w:val="008304D3"/>
    <w:rsid w:val="00897453"/>
    <w:rsid w:val="008E16F4"/>
    <w:rsid w:val="008E3731"/>
    <w:rsid w:val="00924B49"/>
    <w:rsid w:val="0095097C"/>
    <w:rsid w:val="009524C3"/>
    <w:rsid w:val="0095603C"/>
    <w:rsid w:val="00956A93"/>
    <w:rsid w:val="009B5CC4"/>
    <w:rsid w:val="009C4DD2"/>
    <w:rsid w:val="009D592A"/>
    <w:rsid w:val="009E575C"/>
    <w:rsid w:val="009F674E"/>
    <w:rsid w:val="00AB1443"/>
    <w:rsid w:val="00AC6050"/>
    <w:rsid w:val="00AF167E"/>
    <w:rsid w:val="00AF566A"/>
    <w:rsid w:val="00B27252"/>
    <w:rsid w:val="00B43736"/>
    <w:rsid w:val="00B478EA"/>
    <w:rsid w:val="00B56439"/>
    <w:rsid w:val="00B6553A"/>
    <w:rsid w:val="00B73BE3"/>
    <w:rsid w:val="00B8279D"/>
    <w:rsid w:val="00BC6576"/>
    <w:rsid w:val="00BF5243"/>
    <w:rsid w:val="00C27EAA"/>
    <w:rsid w:val="00C46D0D"/>
    <w:rsid w:val="00C640EC"/>
    <w:rsid w:val="00C66976"/>
    <w:rsid w:val="00C92227"/>
    <w:rsid w:val="00CD7449"/>
    <w:rsid w:val="00CE06BA"/>
    <w:rsid w:val="00D33DDA"/>
    <w:rsid w:val="00D356A0"/>
    <w:rsid w:val="00D36A78"/>
    <w:rsid w:val="00D67667"/>
    <w:rsid w:val="00DA5573"/>
    <w:rsid w:val="00DC3F36"/>
    <w:rsid w:val="00E05774"/>
    <w:rsid w:val="00E26A06"/>
    <w:rsid w:val="00E37341"/>
    <w:rsid w:val="00E747CF"/>
    <w:rsid w:val="00E957B0"/>
    <w:rsid w:val="00EC4186"/>
    <w:rsid w:val="00ED77A3"/>
    <w:rsid w:val="00EE68CD"/>
    <w:rsid w:val="00F344FA"/>
    <w:rsid w:val="00F36ACA"/>
    <w:rsid w:val="00F441CC"/>
    <w:rsid w:val="00F47F4B"/>
    <w:rsid w:val="00FB5282"/>
    <w:rsid w:val="01B104CA"/>
    <w:rsid w:val="02106AB0"/>
    <w:rsid w:val="02B43A28"/>
    <w:rsid w:val="02EF57D7"/>
    <w:rsid w:val="046F331E"/>
    <w:rsid w:val="05921E65"/>
    <w:rsid w:val="06077084"/>
    <w:rsid w:val="07956271"/>
    <w:rsid w:val="09721397"/>
    <w:rsid w:val="0A73546E"/>
    <w:rsid w:val="0AD24634"/>
    <w:rsid w:val="0BB63BED"/>
    <w:rsid w:val="0C7E412C"/>
    <w:rsid w:val="0C9E292E"/>
    <w:rsid w:val="0CD5300C"/>
    <w:rsid w:val="0EB97A43"/>
    <w:rsid w:val="0EBD2122"/>
    <w:rsid w:val="0EBD7710"/>
    <w:rsid w:val="0F214EAE"/>
    <w:rsid w:val="10215E47"/>
    <w:rsid w:val="107D189F"/>
    <w:rsid w:val="110D45F3"/>
    <w:rsid w:val="116A2EC4"/>
    <w:rsid w:val="11B71E6A"/>
    <w:rsid w:val="15D352C1"/>
    <w:rsid w:val="167E532C"/>
    <w:rsid w:val="18A92950"/>
    <w:rsid w:val="190071D5"/>
    <w:rsid w:val="1AAF0063"/>
    <w:rsid w:val="1BE140DE"/>
    <w:rsid w:val="1E74715E"/>
    <w:rsid w:val="221C5907"/>
    <w:rsid w:val="2423534D"/>
    <w:rsid w:val="248C197D"/>
    <w:rsid w:val="252959AF"/>
    <w:rsid w:val="25DE62D3"/>
    <w:rsid w:val="268A7D15"/>
    <w:rsid w:val="273D56F5"/>
    <w:rsid w:val="277A6671"/>
    <w:rsid w:val="292D35B7"/>
    <w:rsid w:val="2A16349B"/>
    <w:rsid w:val="2FE111A4"/>
    <w:rsid w:val="30C118C7"/>
    <w:rsid w:val="31D36EB0"/>
    <w:rsid w:val="32817910"/>
    <w:rsid w:val="33EB6CFF"/>
    <w:rsid w:val="34FF2CEE"/>
    <w:rsid w:val="3558430E"/>
    <w:rsid w:val="35A12947"/>
    <w:rsid w:val="35E137E8"/>
    <w:rsid w:val="35F172AD"/>
    <w:rsid w:val="37387040"/>
    <w:rsid w:val="39394AD3"/>
    <w:rsid w:val="39885D54"/>
    <w:rsid w:val="398956AC"/>
    <w:rsid w:val="3B625C0A"/>
    <w:rsid w:val="3CEE1963"/>
    <w:rsid w:val="3E020A5E"/>
    <w:rsid w:val="3F4154D2"/>
    <w:rsid w:val="3F9A01DF"/>
    <w:rsid w:val="436B78D3"/>
    <w:rsid w:val="4C85108F"/>
    <w:rsid w:val="4C9C27FE"/>
    <w:rsid w:val="512260B4"/>
    <w:rsid w:val="51DD297C"/>
    <w:rsid w:val="52BD6ACB"/>
    <w:rsid w:val="55537534"/>
    <w:rsid w:val="561A74F1"/>
    <w:rsid w:val="574F68E2"/>
    <w:rsid w:val="58275ED1"/>
    <w:rsid w:val="597244E8"/>
    <w:rsid w:val="5C056DD3"/>
    <w:rsid w:val="5C247E30"/>
    <w:rsid w:val="5EB71C30"/>
    <w:rsid w:val="5F553055"/>
    <w:rsid w:val="651A53BE"/>
    <w:rsid w:val="667B3B2E"/>
    <w:rsid w:val="66AF0CE5"/>
    <w:rsid w:val="67005C31"/>
    <w:rsid w:val="69DC381F"/>
    <w:rsid w:val="6AC537CF"/>
    <w:rsid w:val="6CA55389"/>
    <w:rsid w:val="6E5B14A6"/>
    <w:rsid w:val="711B255E"/>
    <w:rsid w:val="713D674F"/>
    <w:rsid w:val="71FB553B"/>
    <w:rsid w:val="724F2E4C"/>
    <w:rsid w:val="737304C2"/>
    <w:rsid w:val="7A5703C1"/>
    <w:rsid w:val="7BB51E06"/>
    <w:rsid w:val="7C387F7C"/>
    <w:rsid w:val="7F5E0F8B"/>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Calibri" w:hAnsi="Calibri" w:eastAsia="宋体" w:cs="黑体"/>
      <w:kern w:val="2"/>
      <w:sz w:val="21"/>
      <w:szCs w:val="22"/>
      <w:lang w:val="en-US" w:eastAsia="zh-CN" w:bidi="ar-SA"/>
    </w:rPr>
  </w:style>
  <w:style w:type="paragraph" w:styleId="3">
    <w:name w:val="heading 1"/>
    <w:basedOn w:val="1"/>
    <w:next w:val="1"/>
    <w:link w:val="9"/>
    <w:qFormat/>
    <w:uiPriority w:val="0"/>
    <w:pPr>
      <w:ind w:left="126"/>
      <w:outlineLvl w:val="0"/>
    </w:pPr>
    <w:rPr>
      <w:b/>
      <w:sz w:val="32"/>
    </w:rPr>
  </w:style>
  <w:style w:type="character" w:default="1" w:styleId="7">
    <w:name w:val="Default Paragraph Font"/>
    <w:unhideWhenUsed/>
    <w:uiPriority w:val="1"/>
  </w:style>
  <w:style w:type="table" w:default="1" w:styleId="8">
    <w:name w:val="Normal Table"/>
    <w:unhideWhenUsed/>
    <w:uiPriority w:val="99"/>
    <w:tblPr>
      <w:tblLayout w:type="fixed"/>
      <w:tblCellMar>
        <w:top w:w="0" w:type="dxa"/>
        <w:left w:w="108" w:type="dxa"/>
        <w:bottom w:w="0" w:type="dxa"/>
        <w:right w:w="108" w:type="dxa"/>
      </w:tblCellMar>
    </w:tblPr>
  </w:style>
  <w:style w:type="paragraph" w:customStyle="1" w:styleId="2">
    <w:name w:val="Normal Indent1"/>
    <w:basedOn w:val="1"/>
    <w:next w:val="1"/>
    <w:qFormat/>
    <w:uiPriority w:val="0"/>
    <w:pPr>
      <w:wordWrap w:val="0"/>
      <w:ind w:left="3400"/>
    </w:pPr>
  </w:style>
  <w:style w:type="paragraph" w:styleId="4">
    <w:name w:val="Body Text"/>
    <w:basedOn w:val="1"/>
    <w:next w:val="1"/>
    <w:link w:val="13"/>
    <w:qFormat/>
    <w:uiPriority w:val="0"/>
    <w:rPr>
      <w:rFonts w:cs="Times New Roman"/>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9">
    <w:name w:val="标题 1 字符"/>
    <w:basedOn w:val="7"/>
    <w:link w:val="3"/>
    <w:qFormat/>
    <w:uiPriority w:val="0"/>
    <w:rPr>
      <w:rFonts w:ascii="Calibri" w:hAnsi="Calibri" w:cs="黑体"/>
      <w:b/>
      <w:kern w:val="2"/>
      <w:sz w:val="32"/>
      <w:szCs w:val="22"/>
    </w:rPr>
  </w:style>
  <w:style w:type="paragraph" w:customStyle="1" w:styleId="10">
    <w:name w:val="Table Paragraph"/>
    <w:basedOn w:val="1"/>
    <w:qFormat/>
    <w:uiPriority w:val="1"/>
    <w:rPr>
      <w:rFonts w:ascii="宋体" w:hAnsi="宋体" w:cs="宋体"/>
    </w:rPr>
  </w:style>
  <w:style w:type="paragraph" w:customStyle="1" w:styleId="11">
    <w:name w:val="无间隔1"/>
    <w:basedOn w:val="1"/>
    <w:qFormat/>
    <w:uiPriority w:val="0"/>
    <w:rPr>
      <w:rFonts w:ascii="宋体" w:hAnsi="宋体" w:eastAsia="仿宋_GB2312"/>
      <w:sz w:val="32"/>
      <w:szCs w:val="32"/>
    </w:rPr>
  </w:style>
  <w:style w:type="paragraph" w:customStyle="1" w:styleId="12">
    <w:name w:val="UserStyle_0"/>
    <w:basedOn w:val="1"/>
    <w:next w:val="1"/>
    <w:qFormat/>
    <w:uiPriority w:val="0"/>
    <w:pPr>
      <w:spacing w:before="120"/>
      <w:textAlignment w:val="baseline"/>
    </w:pPr>
    <w:rPr>
      <w:rFonts w:ascii="Cambria" w:hAnsi="Cambria"/>
      <w:sz w:val="24"/>
      <w:szCs w:val="24"/>
    </w:rPr>
  </w:style>
  <w:style w:type="character" w:customStyle="1" w:styleId="13">
    <w:name w:val="正文文本 字符"/>
    <w:basedOn w:val="7"/>
    <w:link w:val="4"/>
    <w:qFormat/>
    <w:uiPriority w:val="0"/>
    <w:rPr>
      <w:rFonts w:ascii="Calibri" w:hAnsi="Calibri"/>
      <w:kern w:val="2"/>
      <w:sz w:val="21"/>
      <w:szCs w:val="22"/>
    </w:rPr>
  </w:style>
  <w:style w:type="paragraph" w:customStyle="1" w:styleId="14">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2909</Words>
  <Characters>3142</Characters>
  <Lines>174</Lines>
  <Paragraphs>183</Paragraphs>
  <TotalTime>0</TotalTime>
  <ScaleCrop>false</ScaleCrop>
  <LinksUpToDate>false</LinksUpToDate>
  <CharactersWithSpaces>5868</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2026-05-27T02:45:57Z</dcterms:modified>
  <dc:title>附件3：</dc:title>
  <cp:revision>83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96934721B1514D3FBAA28020338CE855_12</vt:lpwstr>
  </property>
</Properties>
</file>