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rPr>
        <w:t>石家庄市鹿泉区山尹村镇人民政府</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keepNext w:val="0"/>
        <w:keepLines w:val="0"/>
        <w:pageBreakBefore w:val="0"/>
        <w:kinsoku/>
        <w:wordWrap/>
        <w:overflowPunct/>
        <w:topLinePunct w:val="0"/>
        <w:autoSpaceDE/>
        <w:autoSpaceDN/>
        <w:bidi w:val="0"/>
        <w:adjustRightInd w:val="0"/>
        <w:snapToGrid w:val="0"/>
        <w:spacing w:line="570" w:lineRule="exact"/>
        <w:ind w:firstLine="640" w:firstLineChars="200"/>
        <w:rPr>
          <w:rFonts w:ascii="仿宋" w:hAnsi="仿宋" w:eastAsia="仿宋"/>
          <w:sz w:val="32"/>
          <w:szCs w:val="32"/>
        </w:rPr>
      </w:pPr>
      <w:bookmarkStart w:id="0" w:name="_GoBack"/>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贯彻落实石家庄市鹿泉区人民政府《关于全面实施预算绩效管理的实施意见》（鹿发〔2019〕8号）文件精神，遵循“科学性、规范性、客观性和公正性”的原则，对鹿泉区山尹村镇人民政府202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keepNext w:val="0"/>
        <w:keepLines w:val="0"/>
        <w:pageBreakBefore w:val="0"/>
        <w:kinsoku/>
        <w:wordWrap/>
        <w:overflowPunct/>
        <w:topLinePunct w:val="0"/>
        <w:autoSpaceDE/>
        <w:autoSpaceDN/>
        <w:bidi w:val="0"/>
        <w:adjustRightInd w:val="0"/>
        <w:snapToGrid w:val="0"/>
        <w:spacing w:line="57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keepNext w:val="0"/>
        <w:keepLines w:val="0"/>
        <w:pageBreakBefore w:val="0"/>
        <w:kinsoku/>
        <w:wordWrap/>
        <w:overflowPunct/>
        <w:topLinePunct w:val="0"/>
        <w:autoSpaceDE/>
        <w:autoSpaceDN/>
        <w:bidi w:val="0"/>
        <w:adjustRightInd w:val="0"/>
        <w:snapToGrid w:val="0"/>
        <w:spacing w:line="57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kinsoku/>
        <w:wordWrap/>
        <w:overflowPunct/>
        <w:topLinePunct w:val="0"/>
        <w:autoSpaceDE/>
        <w:autoSpaceDN/>
        <w:bidi w:val="0"/>
        <w:adjustRightInd w:val="0"/>
        <w:snapToGrid w:val="0"/>
        <w:spacing w:line="570" w:lineRule="exact"/>
        <w:ind w:firstLine="640" w:firstLineChars="200"/>
        <w:rPr>
          <w:rFonts w:hint="eastAsia" w:ascii="仿宋" w:hAnsi="仿宋" w:eastAsia="仿宋"/>
          <w:sz w:val="32"/>
          <w:szCs w:val="32"/>
        </w:rPr>
      </w:pPr>
      <w:r>
        <w:rPr>
          <w:rFonts w:hint="eastAsia" w:ascii="仿宋" w:hAnsi="仿宋" w:eastAsia="仿宋"/>
          <w:sz w:val="32"/>
          <w:szCs w:val="32"/>
        </w:rPr>
        <w:t>山尹村镇党委、人大、政府主要职责是：（一）宣传贯彻执行党的路线方针政策和党中央、上级党组织及本镇党员代表大会（党员大会）的决议。贯彻执行法律、法规、规章和上级人民代表大会及其常务委员会决议及上级政府的决定、命令，执行本级人民代表大会的决议。（二）讨论和决定本镇经济建设、政治建设、文化建设、社会建设、生态文明建设和党的建设以及乡村振兴中的重大问题。（三）组织召开本级人民代表大会，充分行使重大事项决定权、监督权和任免权，做好人大代表工作，联系选民、反映群众意见和要求。（四）执行本行政区域内的经济和社会发展计划、预算，管理本行政区域内的经济、教育、科学、文化、卫生健康、体育事业和财政、统计、民政、司法行政等行政工作。落实本行政区域内发展规划、专项规划、区域规划、国土空间规划。（五）镇党委领导镇政权机关、群团组织和其他各类组织，加强指导和规范，支持和保证这些机关和组织依照国家法律法规以及各自章程履行职责。坚持党管武装的根本原则和制度，协调各方力量，对镇人民武装工作实行统一领导。（六）加强镇党委自身建设和村党组织建设，以及其他隶属镇党委的党组织建设，抓好发展党员工作，加强党员队伍建设。维护和执行党的纪律，监督党员干部和其他任何工作人员严格遵守国家法律法规。（七）按照干部管理权限，负责对干部的教育、培训、选拔、考核和监督工作。协调管理上级有关部门驻镇单位的干部，做好人才服务工作。（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九）保护社会主义全民所有的财产和劳动群众集体所有的财产，保护公民私人所有的合法财产，维护社会秩序，保障公民的人身权利、民主权利和其他权利。保护各种经济组织的合法权益。保障少数民族的合法权益和利益。尊重少数民族的风俗习惯。保障宪法和法律赋予妇女的男女平等、同工同酬和婚姻自由等各项权利。（十）承办上级党委、人大、政府交办的其他事项。内设机构职责：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监理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协调各类纠纷；负责加强群防群治组织建设，做好防范邪教工作；会同司法部门开展社区矫正、社区戒毒、社区康复工作，负责刑满释放人员安置帮教工作，负责做好未成年人保护工作。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禁烧秸秆、“散乱污”企业综合整治工作。5.综合行政执法队。核定财政性资金基本保障事业编制10名，股级职教1正2副。根据有关法律法规和上级部门授权、委托，承担城乡建设、生态环境、文化市场、农业农村、安全生产、民族宗教等领域行政执法工作。6.行政综合服务中心（挂综合文化服务站、财政所牌子）。核定财政性资金基本保障事业编制6名，股级职教1正1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7.农业综合服务中心(挂经济发展办公室牌子）。核定财政性资金基本保障事业编制6名，股级职教1正1副。负责农业、畜牧、林业、水利、农机等技术推广和服务工作，负责农产品质量安全监管工作，负责知道农业生产、技术培训和信息咨询服务；负责动植物病虫害及灾情的预报、防治、处置；负责指导新农村建设、乡村振兴、农村经济发展、农村体制改革、农村土地承包、扶贫开发、水土保持和综合治理等工作，负责农村环境卫生工作。另根据中央和省委要求，设立退役军人服务站，规格为股级，所属类别为公益一类，经费形式为财政性资金基本保障，核定事业编制3名，股级职教1名。负责退役军人就业创业扶持、拥军优属、优抚帮扶、走访慰问、信访接待、权益保障等工作；配合武装部做好征兵、民兵、预备役、国防教育、国民经济动员、人民防空、国防交通、国防设施保护等相关工作。</w:t>
      </w:r>
    </w:p>
    <w:p>
      <w:pPr>
        <w:keepNext w:val="0"/>
        <w:keepLines w:val="0"/>
        <w:pageBreakBefore w:val="0"/>
        <w:kinsoku/>
        <w:wordWrap/>
        <w:overflowPunct/>
        <w:topLinePunct w:val="0"/>
        <w:autoSpaceDE/>
        <w:autoSpaceDN/>
        <w:bidi w:val="0"/>
        <w:adjustRightInd w:val="0"/>
        <w:snapToGrid w:val="0"/>
        <w:spacing w:line="570" w:lineRule="exact"/>
        <w:ind w:firstLine="640" w:firstLineChars="200"/>
        <w:rPr>
          <w:rFonts w:hint="eastAsia" w:ascii="仿宋" w:hAnsi="仿宋" w:eastAsia="仿宋"/>
          <w:sz w:val="32"/>
          <w:szCs w:val="32"/>
        </w:rPr>
      </w:pPr>
      <w:r>
        <w:rPr>
          <w:rFonts w:hint="eastAsia" w:ascii="仿宋" w:hAnsi="仿宋" w:eastAsia="仿宋"/>
          <w:sz w:val="32"/>
          <w:szCs w:val="32"/>
        </w:rPr>
        <w:t>镇纪委（监察办公室）。核定行政编制3名（含纪委书记、副书记）。负责全镇党的纪律检查工作，监督检查辖区内党组织和党员贯彻执行党的路线方针政策和协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pPr>
        <w:keepNext w:val="0"/>
        <w:keepLines w:val="0"/>
        <w:pageBreakBefore w:val="0"/>
        <w:kinsoku/>
        <w:wordWrap/>
        <w:overflowPunct/>
        <w:topLinePunct w:val="0"/>
        <w:autoSpaceDE/>
        <w:autoSpaceDN/>
        <w:bidi w:val="0"/>
        <w:adjustRightInd w:val="0"/>
        <w:snapToGrid w:val="0"/>
        <w:spacing w:line="570" w:lineRule="exact"/>
        <w:ind w:firstLine="640" w:firstLineChars="200"/>
        <w:rPr>
          <w:rFonts w:hint="eastAsia" w:ascii="仿宋" w:hAnsi="仿宋" w:eastAsia="仿宋"/>
          <w:sz w:val="32"/>
          <w:szCs w:val="32"/>
        </w:rPr>
      </w:pPr>
      <w:r>
        <w:rPr>
          <w:rFonts w:hint="eastAsia" w:ascii="仿宋" w:hAnsi="仿宋" w:eastAsia="仿宋"/>
          <w:sz w:val="32"/>
          <w:szCs w:val="32"/>
        </w:rPr>
        <w:t>人民武装部及工会、共青团、妇联等群团组织按有关章程和规定设置，在镇党委统一领导下开展工作。</w:t>
      </w:r>
    </w:p>
    <w:p>
      <w:pPr>
        <w:keepNext w:val="0"/>
        <w:keepLines w:val="0"/>
        <w:pageBreakBefore w:val="0"/>
        <w:numPr>
          <w:ilvl w:val="0"/>
          <w:numId w:val="1"/>
        </w:numPr>
        <w:kinsoku/>
        <w:wordWrap/>
        <w:overflowPunct/>
        <w:topLinePunct w:val="0"/>
        <w:autoSpaceDE/>
        <w:autoSpaceDN/>
        <w:bidi w:val="0"/>
        <w:adjustRightInd w:val="0"/>
        <w:snapToGrid w:val="0"/>
        <w:spacing w:line="57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numPr>
          <w:ilvl w:val="0"/>
          <w:numId w:val="2"/>
        </w:numPr>
        <w:kinsoku/>
        <w:wordWrap/>
        <w:overflowPunct/>
        <w:topLinePunct w:val="0"/>
        <w:autoSpaceDE/>
        <w:autoSpaceDN/>
        <w:bidi w:val="0"/>
        <w:adjustRightInd w:val="0"/>
        <w:snapToGrid w:val="0"/>
        <w:spacing w:line="570" w:lineRule="exact"/>
        <w:ind w:right="0" w:rightChars="0" w:firstLine="640" w:firstLineChars="200"/>
        <w:textAlignment w:val="auto"/>
        <w:outlineLvl w:val="9"/>
        <w:rPr>
          <w:rFonts w:hint="eastAsia" w:ascii="楷体" w:hAnsi="楷体" w:eastAsia="楷体" w:cs="楷体_GB2312"/>
          <w:bCs/>
          <w:sz w:val="32"/>
          <w:szCs w:val="32"/>
        </w:rPr>
      </w:pPr>
      <w:r>
        <w:rPr>
          <w:rFonts w:hint="eastAsia" w:ascii="仿宋" w:hAnsi="仿宋" w:eastAsia="仿宋" w:cs="仿宋"/>
          <w:b w:val="0"/>
          <w:bCs w:val="0"/>
          <w:sz w:val="32"/>
          <w:szCs w:val="32"/>
          <w:lang w:val="en-US" w:eastAsia="zh-CN"/>
        </w:rPr>
        <w:t>收入支出预算总体情况说明</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right="0" w:rightChars="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本部门2025年度预算收入3632.57万元，预算支出3632.57万元。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right="0" w:rightChars="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2.收入支出决算总体情况说明</w:t>
      </w:r>
    </w:p>
    <w:p>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0" w:firstLineChars="0"/>
        <w:textAlignment w:val="auto"/>
        <w:rPr>
          <w:rFonts w:hint="eastAsia" w:ascii="楷体" w:hAnsi="楷体" w:eastAsia="楷体" w:cs="楷体_GB2312"/>
          <w:bCs/>
          <w:sz w:val="32"/>
          <w:szCs w:val="32"/>
        </w:rPr>
      </w:pP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本部门202</w:t>
      </w:r>
      <w:r>
        <w:rPr>
          <w:rFonts w:hint="eastAsia" w:ascii="仿宋" w:hAnsi="仿宋" w:eastAsia="仿宋" w:cs="仿宋"/>
          <w:sz w:val="32"/>
          <w:szCs w:val="32"/>
          <w:lang w:val="en-US" w:eastAsia="zh-CN"/>
        </w:rPr>
        <w:t>5</w:t>
      </w:r>
      <w:r>
        <w:rPr>
          <w:rFonts w:hint="eastAsia" w:ascii="仿宋" w:hAnsi="仿宋" w:eastAsia="仿宋" w:cs="仿宋"/>
          <w:sz w:val="32"/>
          <w:szCs w:val="32"/>
        </w:rPr>
        <w:t>年度收、支总计（含结转和结余）</w:t>
      </w:r>
      <w:r>
        <w:rPr>
          <w:rFonts w:hint="eastAsia" w:ascii="仿宋" w:hAnsi="仿宋" w:eastAsia="仿宋" w:cs="仿宋"/>
          <w:sz w:val="32"/>
          <w:szCs w:val="32"/>
          <w:lang w:val="en-US" w:eastAsia="zh-CN"/>
        </w:rPr>
        <w:t>4685.09</w:t>
      </w:r>
      <w:r>
        <w:rPr>
          <w:rFonts w:hint="eastAsia" w:ascii="仿宋" w:hAnsi="仿宋" w:eastAsia="仿宋" w:cs="仿宋"/>
          <w:sz w:val="32"/>
          <w:szCs w:val="32"/>
        </w:rPr>
        <w:t>万元。与202</w:t>
      </w:r>
      <w:r>
        <w:rPr>
          <w:rFonts w:hint="eastAsia" w:ascii="仿宋" w:hAnsi="仿宋" w:eastAsia="仿宋" w:cs="仿宋"/>
          <w:sz w:val="32"/>
          <w:szCs w:val="32"/>
          <w:lang w:val="en-US" w:eastAsia="zh-CN"/>
        </w:rPr>
        <w:t>4</w:t>
      </w:r>
      <w:r>
        <w:rPr>
          <w:rFonts w:hint="eastAsia" w:ascii="仿宋" w:hAnsi="仿宋" w:eastAsia="仿宋" w:cs="仿宋"/>
          <w:sz w:val="32"/>
          <w:szCs w:val="32"/>
        </w:rPr>
        <w:t>年度决算相比，收支各</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611.99</w:t>
      </w:r>
      <w:r>
        <w:rPr>
          <w:rFonts w:hint="eastAsia" w:ascii="仿宋" w:hAnsi="仿宋" w:eastAsia="仿宋" w:cs="仿宋"/>
          <w:sz w:val="32"/>
          <w:szCs w:val="32"/>
        </w:rPr>
        <w:t>万元，</w:t>
      </w:r>
      <w:r>
        <w:rPr>
          <w:rFonts w:hint="eastAsia" w:ascii="仿宋" w:hAnsi="仿宋" w:eastAsia="仿宋" w:cs="仿宋"/>
          <w:sz w:val="32"/>
          <w:szCs w:val="32"/>
          <w:lang w:eastAsia="zh-CN"/>
        </w:rPr>
        <w:t>降低</w:t>
      </w:r>
      <w:r>
        <w:rPr>
          <w:rFonts w:hint="eastAsia" w:ascii="仿宋" w:hAnsi="仿宋" w:eastAsia="仿宋" w:cs="仿宋"/>
          <w:sz w:val="32"/>
          <w:szCs w:val="32"/>
          <w:lang w:val="en-US" w:eastAsia="zh-CN"/>
        </w:rPr>
        <w:t>13.1</w:t>
      </w:r>
      <w:r>
        <w:rPr>
          <w:rFonts w:hint="eastAsia" w:ascii="仿宋" w:hAnsi="仿宋" w:eastAsia="仿宋" w:cs="仿宋"/>
          <w:sz w:val="32"/>
          <w:szCs w:val="32"/>
        </w:rPr>
        <w:t>%，主要原因是</w:t>
      </w:r>
      <w:r>
        <w:rPr>
          <w:rFonts w:hint="eastAsia" w:ascii="仿宋" w:hAnsi="仿宋" w:eastAsia="仿宋" w:cs="仿宋"/>
          <w:sz w:val="32"/>
          <w:szCs w:val="32"/>
          <w:lang w:eastAsia="zh-CN"/>
        </w:rPr>
        <w:t>一般公共</w:t>
      </w:r>
      <w:r>
        <w:rPr>
          <w:rFonts w:hint="eastAsia" w:ascii="仿宋" w:hAnsi="仿宋" w:eastAsia="仿宋" w:cs="仿宋"/>
          <w:sz w:val="32"/>
          <w:szCs w:val="32"/>
        </w:rPr>
        <w:t>预算财政拨款收入</w:t>
      </w:r>
      <w:r>
        <w:rPr>
          <w:rFonts w:hint="eastAsia" w:ascii="仿宋" w:hAnsi="仿宋" w:eastAsia="仿宋" w:cs="仿宋"/>
          <w:sz w:val="32"/>
          <w:szCs w:val="32"/>
          <w:lang w:eastAsia="zh-CN"/>
        </w:rPr>
        <w:t>减少</w:t>
      </w:r>
      <w:r>
        <w:rPr>
          <w:rFonts w:hint="eastAsia" w:ascii="仿宋" w:hAnsi="仿宋" w:eastAsia="仿宋" w:cs="仿宋"/>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right="0" w:rightChars="0" w:firstLine="640" w:firstLineChars="200"/>
        <w:textAlignment w:val="auto"/>
        <w:outlineLvl w:val="9"/>
        <w:rPr>
          <w:rFonts w:hint="eastAsia" w:ascii="仿宋" w:hAnsi="仿宋" w:eastAsia="仿宋" w:cs="仿宋"/>
          <w:b w:val="0"/>
          <w:bCs w:val="0"/>
          <w:sz w:val="32"/>
          <w:szCs w:val="32"/>
          <w:lang w:val="en-US" w:eastAsia="zh-CN"/>
        </w:rPr>
      </w:pPr>
    </w:p>
    <w:p>
      <w:pPr>
        <w:keepNext w:val="0"/>
        <w:keepLines w:val="0"/>
        <w:pageBreakBefore w:val="0"/>
        <w:kinsoku/>
        <w:wordWrap/>
        <w:overflowPunct/>
        <w:topLinePunct w:val="0"/>
        <w:autoSpaceDE/>
        <w:autoSpaceDN/>
        <w:bidi w:val="0"/>
        <w:adjustRightInd w:val="0"/>
        <w:snapToGrid w:val="0"/>
        <w:spacing w:line="57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numPr>
          <w:ilvl w:val="0"/>
          <w:numId w:val="0"/>
        </w:numPr>
        <w:kinsoku/>
        <w:wordWrap/>
        <w:overflowPunct/>
        <w:topLinePunct w:val="0"/>
        <w:autoSpaceDE/>
        <w:autoSpaceDN/>
        <w:bidi w:val="0"/>
        <w:spacing w:line="570" w:lineRule="exact"/>
        <w:ind w:firstLine="642"/>
        <w:rPr>
          <w:rFonts w:hint="eastAsia" w:ascii="仿宋" w:hAnsi="仿宋" w:eastAsia="仿宋" w:cs="仿宋"/>
          <w:b w:val="0"/>
          <w:bCs/>
          <w:sz w:val="32"/>
          <w:szCs w:val="32"/>
          <w:lang w:val="en-US" w:eastAsia="zh-CN"/>
        </w:rPr>
      </w:pPr>
      <w:r>
        <w:rPr>
          <w:rFonts w:hint="eastAsia" w:ascii="仿宋" w:hAnsi="仿宋" w:eastAsia="仿宋" w:cs="仿宋"/>
          <w:b/>
          <w:bCs/>
          <w:color w:val="auto"/>
          <w:sz w:val="32"/>
          <w:szCs w:val="32"/>
          <w:lang w:val="en-US" w:eastAsia="zh-CN"/>
        </w:rPr>
        <w:t>2025</w:t>
      </w:r>
      <w:r>
        <w:rPr>
          <w:rFonts w:hint="eastAsia" w:ascii="仿宋" w:hAnsi="仿宋" w:eastAsia="仿宋" w:cs="仿宋"/>
          <w:color w:val="auto"/>
          <w:sz w:val="32"/>
          <w:szCs w:val="32"/>
          <w:lang w:val="en-US" w:eastAsia="zh-CN"/>
        </w:rPr>
        <w:t>年是中国“十四五”规划的收官之年，也是“十五五”规划谋篇布局之年。我镇坚持以习近平新时代中国特色社会主义思想为指导，</w:t>
      </w:r>
      <w:r>
        <w:rPr>
          <w:rFonts w:hint="eastAsia" w:ascii="仿宋" w:hAnsi="仿宋" w:eastAsia="仿宋" w:cs="仿宋"/>
          <w:color w:val="auto"/>
          <w:sz w:val="32"/>
          <w:szCs w:val="32"/>
          <w:lang w:eastAsia="zh-CN"/>
        </w:rPr>
        <w:t>全面贯彻党的二十大</w:t>
      </w:r>
      <w:r>
        <w:rPr>
          <w:rFonts w:hint="eastAsia" w:ascii="仿宋" w:hAnsi="仿宋" w:eastAsia="仿宋" w:cs="仿宋"/>
          <w:color w:val="auto"/>
          <w:sz w:val="32"/>
          <w:szCs w:val="32"/>
          <w:lang w:val="en-US" w:eastAsia="zh-CN"/>
        </w:rPr>
        <w:t>和二十届二中、三中全会以及</w:t>
      </w:r>
      <w:r>
        <w:rPr>
          <w:rFonts w:hint="eastAsia" w:ascii="仿宋" w:hAnsi="仿宋" w:eastAsia="仿宋" w:cs="仿宋"/>
          <w:color w:val="auto"/>
          <w:sz w:val="32"/>
          <w:szCs w:val="32"/>
          <w:lang w:eastAsia="zh-CN"/>
        </w:rPr>
        <w:t>中央经济工作会议精神，</w:t>
      </w:r>
      <w:r>
        <w:rPr>
          <w:rFonts w:hint="eastAsia" w:ascii="仿宋" w:hAnsi="仿宋" w:eastAsia="仿宋" w:cs="仿宋"/>
          <w:b w:val="0"/>
          <w:bCs/>
          <w:sz w:val="32"/>
          <w:szCs w:val="32"/>
          <w:lang w:val="en-US" w:eastAsia="zh-CN"/>
        </w:rPr>
        <w:t>坚持稳中求进工作总基调，扎实推动高质量发展。</w:t>
      </w:r>
    </w:p>
    <w:p>
      <w:pPr>
        <w:keepNext w:val="0"/>
        <w:keepLines w:val="0"/>
        <w:pageBreakBefore w:val="0"/>
        <w:numPr>
          <w:ilvl w:val="0"/>
          <w:numId w:val="0"/>
        </w:numPr>
        <w:kinsoku/>
        <w:wordWrap/>
        <w:overflowPunct/>
        <w:topLinePunct w:val="0"/>
        <w:autoSpaceDE/>
        <w:autoSpaceDN/>
        <w:bidi w:val="0"/>
        <w:spacing w:line="570" w:lineRule="exact"/>
        <w:ind w:firstLine="642"/>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总体绩效目标是：</w:t>
      </w:r>
      <w:r>
        <w:rPr>
          <w:rFonts w:hint="eastAsia" w:ascii="仿宋" w:hAnsi="仿宋" w:eastAsia="仿宋" w:cs="仿宋"/>
          <w:b w:val="0"/>
          <w:bCs/>
          <w:sz w:val="32"/>
          <w:szCs w:val="32"/>
          <w:lang w:val="en-US" w:eastAsia="zh-CN"/>
        </w:rPr>
        <w:t>严格预算执行，确保预算执行率、预决算报告编制及时率、预决算公开及时率达到100%。</w:t>
      </w:r>
    </w:p>
    <w:p>
      <w:pPr>
        <w:keepNext w:val="0"/>
        <w:keepLines w:val="0"/>
        <w:pageBreakBefore w:val="0"/>
        <w:numPr>
          <w:ilvl w:val="0"/>
          <w:numId w:val="0"/>
        </w:numPr>
        <w:kinsoku/>
        <w:wordWrap/>
        <w:overflowPunct/>
        <w:topLinePunct w:val="0"/>
        <w:autoSpaceDE/>
        <w:autoSpaceDN/>
        <w:bidi w:val="0"/>
        <w:spacing w:line="570" w:lineRule="exact"/>
        <w:ind w:firstLine="642"/>
        <w:rPr>
          <w:rFonts w:hint="eastAsia" w:ascii="仿宋" w:hAnsi="仿宋" w:eastAsia="仿宋" w:cs="仿宋"/>
          <w:b w:val="0"/>
          <w:bCs/>
          <w:sz w:val="32"/>
          <w:szCs w:val="32"/>
          <w:lang w:val="en-US" w:eastAsia="zh-CN"/>
        </w:rPr>
      </w:pPr>
      <w:r>
        <w:rPr>
          <w:rFonts w:hint="eastAsia" w:ascii="仿宋" w:hAnsi="仿宋" w:eastAsia="仿宋" w:cs="仿宋"/>
          <w:sz w:val="32"/>
          <w:szCs w:val="32"/>
          <w:lang w:val="en-US" w:eastAsia="zh-CN"/>
        </w:rPr>
        <w:t>完成2025年各项经济指标，项目建设合格率达100%；</w:t>
      </w:r>
      <w:r>
        <w:rPr>
          <w:rFonts w:hint="eastAsia" w:ascii="仿宋" w:hAnsi="仿宋" w:eastAsia="仿宋" w:cs="仿宋"/>
          <w:b w:val="0"/>
          <w:bCs/>
          <w:sz w:val="32"/>
          <w:szCs w:val="32"/>
          <w:lang w:val="en-US" w:eastAsia="zh-CN"/>
        </w:rPr>
        <w:t>加强党对三农工作的全面领导，学习运用“千万工程”工作方法和推进机制，以“三个提升”作为推进乡村全面振兴的工作重点，集中力量抓好办成一些群众可感可及的实事。</w:t>
      </w:r>
    </w:p>
    <w:p>
      <w:pPr>
        <w:keepNext w:val="0"/>
        <w:keepLines w:val="0"/>
        <w:pageBreakBefore w:val="0"/>
        <w:numPr>
          <w:ilvl w:val="0"/>
          <w:numId w:val="0"/>
        </w:numPr>
        <w:kinsoku/>
        <w:wordWrap/>
        <w:overflowPunct/>
        <w:topLinePunct w:val="0"/>
        <w:autoSpaceDE/>
        <w:autoSpaceDN/>
        <w:bidi w:val="0"/>
        <w:spacing w:line="570" w:lineRule="exact"/>
        <w:ind w:firstLine="642"/>
        <w:rPr>
          <w:rFonts w:hint="eastAsia" w:ascii="仿宋" w:hAnsi="仿宋" w:eastAsia="仿宋" w:cs="仿宋"/>
          <w:b/>
          <w:bCs/>
          <w:sz w:val="32"/>
          <w:szCs w:val="32"/>
        </w:rPr>
      </w:pPr>
      <w:r>
        <w:rPr>
          <w:rFonts w:hint="eastAsia" w:ascii="仿宋" w:hAnsi="仿宋" w:eastAsia="仿宋" w:cs="仿宋"/>
          <w:sz w:val="32"/>
          <w:szCs w:val="32"/>
          <w:lang w:eastAsia="zh-CN"/>
        </w:rPr>
        <w:t>农村养老医保参保率达</w:t>
      </w:r>
      <w:r>
        <w:rPr>
          <w:rFonts w:hint="eastAsia" w:ascii="仿宋" w:hAnsi="仿宋" w:eastAsia="仿宋" w:cs="仿宋"/>
          <w:sz w:val="32"/>
          <w:szCs w:val="32"/>
          <w:lang w:val="en-US" w:eastAsia="zh-CN"/>
        </w:rPr>
        <w:t>90%以上，使群众老有所医、老有所养。组织辖区群众开展各类文体活动不少于10场次，做好辖区基础设施养护工作</w:t>
      </w:r>
      <w:r>
        <w:rPr>
          <w:rFonts w:hint="eastAsia" w:ascii="仿宋" w:hAnsi="仿宋" w:eastAsia="仿宋" w:cs="仿宋"/>
          <w:sz w:val="32"/>
          <w:szCs w:val="32"/>
          <w:lang w:eastAsia="zh-CN"/>
        </w:rPr>
        <w:t>；落实</w:t>
      </w:r>
      <w:r>
        <w:rPr>
          <w:rFonts w:hint="eastAsia" w:ascii="仿宋" w:hAnsi="仿宋" w:eastAsia="仿宋" w:cs="仿宋"/>
          <w:sz w:val="32"/>
          <w:szCs w:val="32"/>
          <w:lang w:val="en-US" w:eastAsia="zh-CN"/>
        </w:rPr>
        <w:t>7个行政村农村道路和辖区工业园区道路保洁及垃圾清运工作</w:t>
      </w:r>
      <w:r>
        <w:rPr>
          <w:rFonts w:hint="eastAsia" w:ascii="仿宋" w:hAnsi="仿宋" w:eastAsia="仿宋" w:cs="仿宋"/>
          <w:sz w:val="32"/>
          <w:szCs w:val="32"/>
          <w:lang w:eastAsia="zh-CN"/>
        </w:rPr>
        <w:t>。构建和谐治安综合治理局面，着力化解重点信访案件；深化各项灾害预防细化措施和大气污染治理的联防联控机制，遏制重大安全事故。</w:t>
      </w:r>
    </w:p>
    <w:p>
      <w:pPr>
        <w:keepNext w:val="0"/>
        <w:keepLines w:val="0"/>
        <w:pageBreakBefore w:val="0"/>
        <w:kinsoku/>
        <w:wordWrap/>
        <w:overflowPunct/>
        <w:topLinePunct w:val="0"/>
        <w:autoSpaceDE/>
        <w:autoSpaceDN/>
        <w:bidi w:val="0"/>
        <w:adjustRightInd w:val="0"/>
        <w:snapToGrid w:val="0"/>
        <w:spacing w:line="57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kinsoku/>
        <w:wordWrap/>
        <w:overflowPunct/>
        <w:topLinePunct w:val="0"/>
        <w:autoSpaceDE/>
        <w:autoSpaceDN/>
        <w:bidi w:val="0"/>
        <w:spacing w:line="57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kinsoku/>
        <w:wordWrap/>
        <w:overflowPunct/>
        <w:topLinePunct w:val="0"/>
        <w:autoSpaceDE/>
        <w:autoSpaceDN/>
        <w:bidi w:val="0"/>
        <w:spacing w:line="570" w:lineRule="exact"/>
        <w:rPr>
          <w:rFonts w:ascii="仿宋" w:hAnsi="仿宋" w:eastAsia="仿宋"/>
          <w:sz w:val="32"/>
          <w:szCs w:val="32"/>
        </w:rPr>
      </w:pPr>
      <w:r>
        <w:rPr>
          <w:rFonts w:hint="eastAsia" w:ascii="仿宋" w:hAnsi="仿宋" w:eastAsia="仿宋"/>
          <w:sz w:val="32"/>
          <w:szCs w:val="32"/>
        </w:rPr>
        <w:t xml:space="preserve">     一是采用目标比较法对202</w:t>
      </w:r>
      <w:r>
        <w:rPr>
          <w:rFonts w:hint="eastAsia" w:ascii="仿宋" w:hAnsi="仿宋" w:eastAsia="仿宋"/>
          <w:sz w:val="32"/>
          <w:szCs w:val="32"/>
          <w:lang w:val="en-US" w:eastAsia="zh-CN"/>
        </w:rPr>
        <w:t>5</w:t>
      </w:r>
      <w:r>
        <w:rPr>
          <w:rFonts w:hint="eastAsia" w:ascii="仿宋" w:hAnsi="仿宋" w:eastAsia="仿宋"/>
          <w:sz w:val="32"/>
          <w:szCs w:val="32"/>
        </w:rPr>
        <w:t>预算项目进行分析，通过定量和定性分析相结合的方式，将预算项目的绩效实现情况与预期绩效目标进行比较，对目标完成、预算执行、组织实施、资金管理等情况进行分析研判。二是清晰界定工作内容与其需要达到的标准，在前期进行大量调查研究基础上进行项目策略计划的编制、充分论证绩效目标和指标的设定是否合理，精确分析项目执行过程，着重预算项目的绩效监控、风险控制、资金筹措及绩效制度监管过程，认真组织实施了预算绩效的自评工作。</w:t>
      </w:r>
    </w:p>
    <w:p>
      <w:pPr>
        <w:keepNext w:val="0"/>
        <w:keepLines w:val="0"/>
        <w:pageBreakBefore w:val="0"/>
        <w:numPr>
          <w:ilvl w:val="0"/>
          <w:numId w:val="3"/>
        </w:numPr>
        <w:kinsoku/>
        <w:wordWrap/>
        <w:overflowPunct/>
        <w:topLinePunct w:val="0"/>
        <w:autoSpaceDE/>
        <w:autoSpaceDN/>
        <w:bidi w:val="0"/>
        <w:spacing w:line="57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1.自评方法：</w:t>
      </w:r>
      <w:r>
        <w:rPr>
          <w:rFonts w:hint="eastAsia" w:ascii="仿宋" w:hAnsi="仿宋" w:eastAsia="仿宋" w:cs="仿宋"/>
          <w:sz w:val="32"/>
          <w:szCs w:val="32"/>
        </w:rPr>
        <w:t>根据</w:t>
      </w:r>
      <w:r>
        <w:rPr>
          <w:rFonts w:hint="eastAsia" w:ascii="仿宋" w:hAnsi="仿宋" w:eastAsia="仿宋" w:cs="仿宋"/>
          <w:sz w:val="32"/>
          <w:szCs w:val="32"/>
          <w:lang w:eastAsia="zh-CN"/>
        </w:rPr>
        <w:t>不同</w:t>
      </w:r>
      <w:r>
        <w:rPr>
          <w:rFonts w:hint="eastAsia" w:ascii="仿宋" w:hAnsi="仿宋" w:eastAsia="仿宋" w:cs="仿宋"/>
          <w:sz w:val="32"/>
          <w:szCs w:val="32"/>
        </w:rPr>
        <w:t>项目情况，选用</w:t>
      </w:r>
      <w:r>
        <w:rPr>
          <w:rFonts w:hint="eastAsia" w:ascii="仿宋" w:hAnsi="仿宋" w:eastAsia="仿宋" w:cs="仿宋"/>
          <w:sz w:val="32"/>
          <w:szCs w:val="32"/>
          <w:lang w:eastAsia="zh-CN"/>
        </w:rPr>
        <w:t>适宜</w:t>
      </w:r>
      <w:r>
        <w:rPr>
          <w:rFonts w:hint="eastAsia" w:ascii="仿宋" w:hAnsi="仿宋" w:eastAsia="仿宋" w:cs="仿宋"/>
          <w:sz w:val="32"/>
          <w:szCs w:val="32"/>
        </w:rPr>
        <w:t>标准进行评价</w:t>
      </w:r>
      <w:r>
        <w:rPr>
          <w:rFonts w:hint="eastAsia" w:ascii="仿宋" w:hAnsi="仿宋" w:eastAsia="仿宋" w:cs="仿宋"/>
          <w:sz w:val="32"/>
          <w:szCs w:val="32"/>
          <w:lang w:eastAsia="zh-CN"/>
        </w:rPr>
        <w:t>。主要采用目标比较法通过</w:t>
      </w:r>
      <w:r>
        <w:rPr>
          <w:rFonts w:hint="eastAsia" w:ascii="仿宋" w:hAnsi="仿宋" w:eastAsia="仿宋" w:cs="仿宋"/>
          <w:sz w:val="32"/>
          <w:szCs w:val="32"/>
        </w:rPr>
        <w:t>定量</w:t>
      </w:r>
      <w:r>
        <w:rPr>
          <w:rFonts w:hint="eastAsia" w:ascii="仿宋" w:hAnsi="仿宋" w:eastAsia="仿宋" w:cs="仿宋"/>
          <w:sz w:val="32"/>
          <w:szCs w:val="32"/>
          <w:lang w:eastAsia="zh-CN"/>
        </w:rPr>
        <w:t>和</w:t>
      </w:r>
      <w:r>
        <w:rPr>
          <w:rFonts w:hint="eastAsia" w:ascii="仿宋" w:hAnsi="仿宋" w:eastAsia="仿宋" w:cs="仿宋"/>
          <w:sz w:val="32"/>
          <w:szCs w:val="32"/>
        </w:rPr>
        <w:t>定性评价标准</w:t>
      </w:r>
      <w:r>
        <w:rPr>
          <w:rFonts w:hint="eastAsia" w:ascii="仿宋" w:hAnsi="仿宋" w:eastAsia="仿宋" w:cs="仿宋"/>
          <w:sz w:val="32"/>
          <w:szCs w:val="32"/>
          <w:lang w:eastAsia="zh-CN"/>
        </w:rPr>
        <w:t>与不同项目的</w:t>
      </w:r>
      <w:r>
        <w:rPr>
          <w:rFonts w:hint="eastAsia" w:ascii="仿宋" w:hAnsi="仿宋" w:eastAsia="仿宋" w:cs="仿宋"/>
          <w:sz w:val="32"/>
          <w:szCs w:val="32"/>
        </w:rPr>
        <w:t>客观</w:t>
      </w:r>
      <w:r>
        <w:rPr>
          <w:rFonts w:hint="eastAsia" w:ascii="仿宋" w:hAnsi="仿宋" w:eastAsia="仿宋" w:cs="仿宋"/>
          <w:sz w:val="32"/>
          <w:szCs w:val="32"/>
          <w:lang w:eastAsia="zh-CN"/>
        </w:rPr>
        <w:t>实际</w:t>
      </w:r>
      <w:r>
        <w:rPr>
          <w:rFonts w:hint="eastAsia" w:ascii="仿宋" w:hAnsi="仿宋" w:eastAsia="仿宋" w:cs="仿宋"/>
          <w:sz w:val="32"/>
          <w:szCs w:val="32"/>
        </w:rPr>
        <w:t>相结合多角度综合评价</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textAlignment w:val="auto"/>
        <w:rPr>
          <w:rFonts w:ascii="楷体" w:hAnsi="楷体" w:eastAsia="楷体" w:cs="楷体_GB2312"/>
          <w:bCs/>
          <w:sz w:val="32"/>
          <w:szCs w:val="32"/>
        </w:rPr>
      </w:pPr>
      <w:r>
        <w:rPr>
          <w:rFonts w:hint="eastAsia" w:ascii="仿宋" w:hAnsi="仿宋" w:eastAsia="仿宋" w:cs="仿宋"/>
          <w:sz w:val="32"/>
          <w:szCs w:val="32"/>
          <w:lang w:val="en-US" w:eastAsia="zh-CN"/>
        </w:rPr>
        <w:t xml:space="preserve">    2.自评过程：第一组织人员召开自评会议，明确对预算项目前期和执行过程中的资料收集整理责任划分；第二根据业务科室提交资料，查阅财务资料、核实资金使用情况，分析项目目标实现过程中出现的问题及采取的措施，从项目可行性、预算编制、目标设定、材料采购过程实施、资金拨付等各个环节严格按评价管理办法逐一分析；第三以2025年申报的财政预算预期绩效目标为基础，结合绩效目标实现程度及项目自身特点，根据指标重要程度赋予权重分值，对所有预算项目真实、客观、公平、公正进行自评，以并填写自评表。</w:t>
      </w:r>
    </w:p>
    <w:p>
      <w:pPr>
        <w:keepNext w:val="0"/>
        <w:keepLines w:val="0"/>
        <w:pageBreakBefore w:val="0"/>
        <w:kinsoku/>
        <w:wordWrap/>
        <w:overflowPunct/>
        <w:topLinePunct w:val="0"/>
        <w:autoSpaceDE/>
        <w:autoSpaceDN/>
        <w:bidi w:val="0"/>
        <w:spacing w:line="57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keepNext w:val="0"/>
        <w:keepLines w:val="0"/>
        <w:pageBreakBefore w:val="0"/>
        <w:numPr>
          <w:ilvl w:val="0"/>
          <w:numId w:val="4"/>
        </w:numPr>
        <w:kinsoku/>
        <w:wordWrap/>
        <w:overflowPunct/>
        <w:topLinePunct w:val="0"/>
        <w:autoSpaceDE/>
        <w:autoSpaceDN/>
        <w:bidi w:val="0"/>
        <w:spacing w:line="57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pStyle w:val="7"/>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rPr>
        <w:t>2025年我镇坚持以习近平新时代中国特色社会主义思想为指导，全面贯彻党的二十大和二十届二中、三中全会以及中央经济工作会议精神，坚持稳中求进工作总基调，推动高质量发展。</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leftChars="0" w:right="0" w:rightChars="0" w:firstLine="640" w:firstLineChars="200"/>
        <w:textAlignment w:val="auto"/>
        <w:outlineLvl w:val="9"/>
        <w:rPr>
          <w:rFonts w:hint="eastAsia" w:ascii="仿宋" w:hAnsi="仿宋" w:eastAsia="仿宋" w:cs="仿宋"/>
          <w:b w:val="0"/>
          <w:bCs w:val="0"/>
          <w:sz w:val="32"/>
          <w:szCs w:val="32"/>
          <w:highlight w:val="yellow"/>
          <w:lang w:val="en-US" w:eastAsia="zh-CN"/>
        </w:rPr>
      </w:pPr>
      <w:r>
        <w:rPr>
          <w:rFonts w:hint="eastAsia" w:ascii="仿宋" w:hAnsi="仿宋" w:eastAsia="仿宋" w:cs="仿宋"/>
          <w:b w:val="0"/>
          <w:bCs w:val="0"/>
          <w:sz w:val="32"/>
          <w:szCs w:val="32"/>
          <w:lang w:val="en-US" w:eastAsia="zh-CN"/>
        </w:rPr>
        <w:t>2025年预算执行基本完成，预决算公开和报告编制及时完成。</w:t>
      </w:r>
      <w:r>
        <w:rPr>
          <w:rFonts w:hint="eastAsia" w:ascii="仿宋" w:hAnsi="仿宋" w:eastAsia="仿宋" w:cs="仿宋"/>
          <w:b w:val="0"/>
          <w:bCs w:val="0"/>
          <w:sz w:val="32"/>
          <w:szCs w:val="32"/>
          <w:highlight w:val="none"/>
        </w:rPr>
        <w:t>202</w:t>
      </w:r>
      <w:r>
        <w:rPr>
          <w:rFonts w:hint="eastAsia" w:ascii="仿宋" w:hAnsi="仿宋" w:eastAsia="仿宋" w:cs="仿宋"/>
          <w:b w:val="0"/>
          <w:bCs w:val="0"/>
          <w:sz w:val="32"/>
          <w:szCs w:val="32"/>
          <w:highlight w:val="none"/>
          <w:lang w:val="en-US" w:eastAsia="zh-CN"/>
        </w:rPr>
        <w:t>5</w:t>
      </w:r>
      <w:r>
        <w:rPr>
          <w:rFonts w:hint="eastAsia" w:ascii="仿宋" w:hAnsi="仿宋" w:eastAsia="仿宋" w:cs="仿宋"/>
          <w:b w:val="0"/>
          <w:bCs w:val="0"/>
          <w:sz w:val="32"/>
          <w:szCs w:val="32"/>
          <w:highlight w:val="none"/>
        </w:rPr>
        <w:t>年固定资产投资完成</w:t>
      </w:r>
      <w:r>
        <w:rPr>
          <w:rFonts w:hint="eastAsia" w:ascii="仿宋" w:hAnsi="仿宋" w:eastAsia="仿宋" w:cs="仿宋"/>
          <w:b w:val="0"/>
          <w:bCs w:val="0"/>
          <w:sz w:val="32"/>
          <w:szCs w:val="32"/>
          <w:highlight w:val="none"/>
          <w:lang w:val="en-US" w:eastAsia="zh-CN"/>
        </w:rPr>
        <w:t>3.5</w:t>
      </w:r>
      <w:r>
        <w:rPr>
          <w:rFonts w:hint="eastAsia" w:ascii="仿宋" w:hAnsi="仿宋" w:eastAsia="仿宋" w:cs="仿宋"/>
          <w:b w:val="0"/>
          <w:bCs w:val="0"/>
          <w:sz w:val="32"/>
          <w:szCs w:val="32"/>
          <w:highlight w:val="none"/>
        </w:rPr>
        <w:t>亿元；规上工业产值完成</w:t>
      </w:r>
      <w:r>
        <w:rPr>
          <w:rFonts w:hint="eastAsia" w:ascii="仿宋" w:hAnsi="仿宋" w:eastAsia="仿宋" w:cs="仿宋"/>
          <w:b w:val="0"/>
          <w:bCs w:val="0"/>
          <w:sz w:val="32"/>
          <w:szCs w:val="32"/>
          <w:highlight w:val="none"/>
          <w:lang w:val="en-US" w:eastAsia="zh-CN"/>
        </w:rPr>
        <w:t>10.3</w:t>
      </w:r>
      <w:r>
        <w:rPr>
          <w:rFonts w:hint="eastAsia" w:ascii="仿宋" w:hAnsi="仿宋" w:eastAsia="仿宋" w:cs="仿宋"/>
          <w:b w:val="0"/>
          <w:bCs w:val="0"/>
          <w:sz w:val="32"/>
          <w:szCs w:val="32"/>
          <w:highlight w:val="none"/>
        </w:rPr>
        <w:t>亿元；税收完成</w:t>
      </w:r>
      <w:r>
        <w:rPr>
          <w:rFonts w:hint="eastAsia" w:ascii="仿宋" w:hAnsi="仿宋" w:eastAsia="仿宋" w:cs="仿宋"/>
          <w:b w:val="0"/>
          <w:bCs w:val="0"/>
          <w:sz w:val="32"/>
          <w:szCs w:val="32"/>
          <w:highlight w:val="none"/>
          <w:lang w:val="en-US" w:eastAsia="zh-CN"/>
        </w:rPr>
        <w:t>21691</w:t>
      </w:r>
      <w:r>
        <w:rPr>
          <w:rFonts w:hint="eastAsia" w:ascii="仿宋" w:hAnsi="仿宋" w:eastAsia="仿宋" w:cs="仿宋"/>
          <w:b w:val="0"/>
          <w:bCs w:val="0"/>
          <w:sz w:val="32"/>
          <w:szCs w:val="32"/>
          <w:highlight w:val="none"/>
        </w:rPr>
        <w:t>万元；公共预算收入完成</w:t>
      </w:r>
      <w:r>
        <w:rPr>
          <w:rFonts w:hint="eastAsia" w:ascii="仿宋" w:hAnsi="仿宋" w:eastAsia="仿宋" w:cs="仿宋"/>
          <w:b w:val="0"/>
          <w:bCs w:val="0"/>
          <w:sz w:val="32"/>
          <w:szCs w:val="32"/>
          <w:highlight w:val="none"/>
          <w:lang w:val="en-US" w:eastAsia="zh-CN"/>
        </w:rPr>
        <w:t>10721</w:t>
      </w:r>
      <w:r>
        <w:rPr>
          <w:rFonts w:hint="eastAsia" w:ascii="仿宋" w:hAnsi="仿宋" w:eastAsia="仿宋" w:cs="仿宋"/>
          <w:b w:val="0"/>
          <w:bCs w:val="0"/>
          <w:sz w:val="32"/>
          <w:szCs w:val="32"/>
          <w:highlight w:val="none"/>
        </w:rPr>
        <w:t>万元，</w:t>
      </w:r>
      <w:r>
        <w:rPr>
          <w:rFonts w:hint="eastAsia" w:ascii="仿宋" w:hAnsi="仿宋" w:eastAsia="仿宋" w:cs="仿宋"/>
          <w:b w:val="0"/>
          <w:bCs w:val="0"/>
          <w:sz w:val="32"/>
          <w:szCs w:val="32"/>
          <w:highlight w:val="none"/>
          <w:lang w:eastAsia="zh-CN"/>
        </w:rPr>
        <w:t>同比</w:t>
      </w:r>
      <w:r>
        <w:rPr>
          <w:rFonts w:hint="eastAsia" w:ascii="仿宋" w:hAnsi="仿宋" w:eastAsia="仿宋" w:cs="仿宋"/>
          <w:b w:val="0"/>
          <w:bCs w:val="0"/>
          <w:sz w:val="32"/>
          <w:szCs w:val="32"/>
          <w:highlight w:val="none"/>
        </w:rPr>
        <w:t>增</w:t>
      </w:r>
      <w:r>
        <w:rPr>
          <w:rFonts w:hint="eastAsia" w:ascii="仿宋" w:hAnsi="仿宋" w:eastAsia="仿宋" w:cs="仿宋"/>
          <w:b w:val="0"/>
          <w:bCs w:val="0"/>
          <w:sz w:val="32"/>
          <w:szCs w:val="32"/>
          <w:highlight w:val="none"/>
          <w:lang w:eastAsia="zh-CN"/>
        </w:rPr>
        <w:t>长</w:t>
      </w:r>
      <w:r>
        <w:rPr>
          <w:rFonts w:hint="eastAsia" w:ascii="仿宋" w:hAnsi="仿宋" w:eastAsia="仿宋" w:cs="仿宋"/>
          <w:b w:val="0"/>
          <w:bCs w:val="0"/>
          <w:sz w:val="32"/>
          <w:szCs w:val="32"/>
          <w:highlight w:val="none"/>
          <w:lang w:val="en-US" w:eastAsia="zh-CN"/>
        </w:rPr>
        <w:t>5</w:t>
      </w:r>
      <w:r>
        <w:rPr>
          <w:rFonts w:hint="eastAsia" w:ascii="仿宋" w:hAnsi="仿宋" w:eastAsia="仿宋" w:cs="仿宋"/>
          <w:b w:val="0"/>
          <w:bCs w:val="0"/>
          <w:sz w:val="32"/>
          <w:szCs w:val="32"/>
          <w:highlight w:val="none"/>
        </w:rPr>
        <w:t>%。</w:t>
      </w:r>
      <w:r>
        <w:rPr>
          <w:rFonts w:hint="eastAsia" w:ascii="仿宋" w:hAnsi="仿宋" w:eastAsia="仿宋" w:cs="仿宋"/>
          <w:b w:val="0"/>
          <w:bCs w:val="0"/>
          <w:sz w:val="32"/>
          <w:szCs w:val="32"/>
          <w:highlight w:val="none"/>
          <w:lang w:val="en-US" w:eastAsia="zh-CN"/>
        </w:rPr>
        <w:t>2025年新开工建设项目14个，完成各类审批事项600余件。</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leftChars="0" w:right="0" w:rightChars="0" w:firstLine="640" w:firstLineChars="200"/>
        <w:textAlignment w:val="auto"/>
        <w:outlineLvl w:val="9"/>
        <w:rPr>
          <w:rFonts w:hint="eastAsia" w:ascii="仿宋" w:hAnsi="仿宋" w:eastAsia="仿宋" w:cs="仿宋"/>
          <w:b w:val="0"/>
          <w:bCs w:val="0"/>
          <w:sz w:val="32"/>
          <w:szCs w:val="32"/>
          <w:highlight w:val="yellow"/>
          <w:lang w:val="en-US"/>
        </w:rPr>
      </w:pPr>
      <w:r>
        <w:rPr>
          <w:rFonts w:hint="eastAsia" w:ascii="仿宋" w:hAnsi="仿宋" w:eastAsia="仿宋" w:cs="仿宋"/>
          <w:b w:val="0"/>
          <w:bCs w:val="0"/>
          <w:sz w:val="32"/>
          <w:szCs w:val="32"/>
          <w:highlight w:val="none"/>
        </w:rPr>
        <w:t>以产业兴、生态美、乡风清、治理有效、生活富裕为总目标，多措并举</w:t>
      </w:r>
      <w:r>
        <w:rPr>
          <w:rFonts w:hint="eastAsia" w:ascii="仿宋" w:hAnsi="仿宋" w:eastAsia="仿宋" w:cs="仿宋"/>
          <w:b w:val="0"/>
          <w:bCs w:val="0"/>
          <w:sz w:val="32"/>
          <w:szCs w:val="32"/>
          <w:highlight w:val="none"/>
          <w:lang w:eastAsia="zh-CN"/>
        </w:rPr>
        <w:t>，</w:t>
      </w:r>
      <w:r>
        <w:rPr>
          <w:rFonts w:hint="eastAsia" w:ascii="仿宋" w:hAnsi="仿宋" w:eastAsia="仿宋" w:cs="仿宋"/>
          <w:b w:val="0"/>
          <w:bCs w:val="0"/>
          <w:sz w:val="32"/>
          <w:szCs w:val="32"/>
          <w:highlight w:val="none"/>
        </w:rPr>
        <w:t>提升基层党建水平，以党建引领</w:t>
      </w:r>
      <w:r>
        <w:rPr>
          <w:rFonts w:hint="eastAsia" w:ascii="仿宋" w:hAnsi="仿宋" w:eastAsia="仿宋" w:cs="仿宋"/>
          <w:b w:val="0"/>
          <w:bCs w:val="0"/>
          <w:sz w:val="32"/>
          <w:szCs w:val="32"/>
          <w:highlight w:val="none"/>
          <w:lang w:eastAsia="zh-CN"/>
        </w:rPr>
        <w:t>，和美</w:t>
      </w:r>
      <w:r>
        <w:rPr>
          <w:rFonts w:hint="eastAsia" w:ascii="仿宋" w:hAnsi="仿宋" w:eastAsia="仿宋" w:cs="仿宋"/>
          <w:b w:val="0"/>
          <w:bCs w:val="0"/>
          <w:sz w:val="32"/>
          <w:szCs w:val="32"/>
          <w:highlight w:val="none"/>
        </w:rPr>
        <w:t>乡村</w:t>
      </w:r>
      <w:r>
        <w:rPr>
          <w:rFonts w:hint="eastAsia" w:ascii="仿宋" w:hAnsi="仿宋" w:eastAsia="仿宋" w:cs="仿宋"/>
          <w:b w:val="0"/>
          <w:bCs w:val="0"/>
          <w:sz w:val="32"/>
          <w:szCs w:val="32"/>
          <w:highlight w:val="none"/>
          <w:lang w:eastAsia="zh-CN"/>
        </w:rPr>
        <w:t>日新月异</w:t>
      </w:r>
      <w:r>
        <w:rPr>
          <w:rFonts w:hint="eastAsia" w:ascii="仿宋" w:hAnsi="仿宋" w:eastAsia="仿宋" w:cs="仿宋"/>
          <w:b w:val="0"/>
          <w:bCs w:val="0"/>
          <w:sz w:val="32"/>
          <w:szCs w:val="32"/>
          <w:highlight w:val="none"/>
        </w:rPr>
        <w:t>。</w:t>
      </w:r>
      <w:r>
        <w:rPr>
          <w:rFonts w:hint="eastAsia" w:ascii="仿宋" w:hAnsi="仿宋" w:eastAsia="仿宋" w:cs="仿宋"/>
          <w:b w:val="0"/>
          <w:bCs w:val="0"/>
          <w:sz w:val="32"/>
          <w:szCs w:val="32"/>
          <w:highlight w:val="none"/>
          <w:lang w:eastAsia="zh-CN"/>
        </w:rPr>
        <w:t>争取上级资金</w:t>
      </w:r>
      <w:r>
        <w:rPr>
          <w:rFonts w:hint="eastAsia" w:ascii="仿宋" w:hAnsi="仿宋" w:eastAsia="仿宋" w:cs="仿宋"/>
          <w:b w:val="0"/>
          <w:bCs w:val="0"/>
          <w:sz w:val="32"/>
          <w:szCs w:val="32"/>
          <w:highlight w:val="none"/>
          <w:lang w:val="en-US" w:eastAsia="zh-CN"/>
        </w:rPr>
        <w:t>88.7583万元对西郭庄进行部分道路硬化、山尹村东郭庄底下园三个村部分道路提升、韩家园南平同两村路灯建设。建成美丽庭院2642户，精品庭院733户，创建率分别达83%、23%，农村卫生厕所普及率98%。发放耕地地力保护补贴2947户，涉及耕地面积9432.5亩，发放总金额87.57万元。</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leftChars="0" w:right="0" w:rightChars="0" w:firstLine="640" w:firstLineChars="200"/>
        <w:textAlignment w:val="auto"/>
        <w:outlineLvl w:val="9"/>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rPr>
        <w:t>保辖区民生稳定发展，强基层民政服务能力，着力化解重点信访案件，构建和谐治安综合治理局面</w:t>
      </w:r>
      <w:r>
        <w:rPr>
          <w:rFonts w:hint="eastAsia" w:ascii="仿宋" w:hAnsi="仿宋" w:eastAsia="仿宋" w:cs="仿宋"/>
          <w:b w:val="0"/>
          <w:bCs w:val="0"/>
          <w:sz w:val="32"/>
          <w:szCs w:val="32"/>
          <w:highlight w:val="none"/>
          <w:lang w:eastAsia="zh-CN"/>
        </w:rPr>
        <w:t>。加大矛盾纠纷排查化解力度，化解矛盾纠纷</w:t>
      </w:r>
      <w:r>
        <w:rPr>
          <w:rFonts w:hint="eastAsia" w:ascii="仿宋" w:hAnsi="仿宋" w:eastAsia="仿宋" w:cs="仿宋"/>
          <w:b w:val="0"/>
          <w:bCs w:val="0"/>
          <w:sz w:val="32"/>
          <w:szCs w:val="32"/>
          <w:highlight w:val="none"/>
          <w:lang w:val="en-US" w:eastAsia="zh-CN"/>
        </w:rPr>
        <w:t>100余起，协调</w:t>
      </w:r>
      <w:r>
        <w:rPr>
          <w:rFonts w:hint="eastAsia" w:ascii="仿宋" w:hAnsi="仿宋" w:eastAsia="仿宋" w:cs="仿宋"/>
          <w:b w:val="0"/>
          <w:bCs w:val="0"/>
          <w:sz w:val="32"/>
          <w:szCs w:val="32"/>
          <w:highlight w:val="none"/>
          <w:lang w:eastAsia="zh-CN"/>
        </w:rPr>
        <w:t>农民工欠薪纠纷</w:t>
      </w:r>
      <w:r>
        <w:rPr>
          <w:rFonts w:hint="eastAsia" w:ascii="仿宋" w:hAnsi="仿宋" w:eastAsia="仿宋" w:cs="仿宋"/>
          <w:b w:val="0"/>
          <w:bCs w:val="0"/>
          <w:sz w:val="32"/>
          <w:szCs w:val="32"/>
          <w:highlight w:val="none"/>
          <w:lang w:val="en-US" w:eastAsia="zh-CN"/>
        </w:rPr>
        <w:t>14起，追讨欠薪60余万元。加强重点领域环境保护联动监管，确保散煤动态清零；对33家企业按网格划分，按上级要求进行限、停产措施；排查出3起问题均已整改完毕。组建15人森林草原消防专业队伍并配备灭火装备，全年开展防火演练8次。针对安全生产组织检查300余次，排查各类隐患130余项，整改率100%。</w:t>
      </w:r>
    </w:p>
    <w:p>
      <w:pPr>
        <w:keepNext w:val="0"/>
        <w:keepLines w:val="0"/>
        <w:pageBreakBefore w:val="0"/>
        <w:kinsoku/>
        <w:wordWrap/>
        <w:overflowPunct/>
        <w:topLinePunct w:val="0"/>
        <w:autoSpaceDE/>
        <w:autoSpaceDN/>
        <w:bidi w:val="0"/>
        <w:spacing w:line="57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6"/>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）实现我镇经济稳增长</w:t>
      </w:r>
    </w:p>
    <w:p>
      <w:pPr>
        <w:pStyle w:val="6"/>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rPr>
        <w:t>绩效目标：推进产业升级和项目建设、优化营商环境、一般公共预算收入增长5%以上。</w:t>
      </w:r>
    </w:p>
    <w:p>
      <w:pPr>
        <w:pStyle w:val="6"/>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rPr>
        <w:t>绩效指标：</w:t>
      </w:r>
      <w:r>
        <w:rPr>
          <w:rFonts w:hint="eastAsia" w:ascii="仿宋" w:hAnsi="仿宋" w:eastAsia="仿宋" w:cs="仿宋"/>
          <w:sz w:val="32"/>
          <w:szCs w:val="32"/>
          <w:lang w:eastAsia="zh-CN"/>
        </w:rPr>
        <w:t>完成</w:t>
      </w:r>
      <w:r>
        <w:rPr>
          <w:rFonts w:hint="eastAsia" w:ascii="仿宋" w:hAnsi="仿宋" w:eastAsia="仿宋" w:cs="仿宋"/>
          <w:sz w:val="32"/>
          <w:szCs w:val="32"/>
        </w:rPr>
        <w:t>青山路西延</w:t>
      </w:r>
      <w:r>
        <w:rPr>
          <w:rFonts w:hint="eastAsia" w:ascii="仿宋" w:hAnsi="仿宋" w:eastAsia="仿宋" w:cs="仿宋"/>
          <w:sz w:val="32"/>
          <w:szCs w:val="32"/>
          <w:lang w:eastAsia="zh-CN"/>
        </w:rPr>
        <w:t>工程建设</w:t>
      </w:r>
      <w:r>
        <w:rPr>
          <w:rFonts w:hint="eastAsia" w:ascii="仿宋" w:hAnsi="仿宋" w:eastAsia="仿宋" w:cs="仿宋"/>
          <w:sz w:val="32"/>
          <w:szCs w:val="32"/>
        </w:rPr>
        <w:t>、</w:t>
      </w:r>
      <w:r>
        <w:rPr>
          <w:rFonts w:hint="eastAsia" w:ascii="仿宋" w:hAnsi="仿宋" w:eastAsia="仿宋" w:cs="仿宋"/>
          <w:sz w:val="32"/>
          <w:szCs w:val="32"/>
          <w:lang w:eastAsia="zh-CN"/>
        </w:rPr>
        <w:t>完成</w:t>
      </w:r>
      <w:r>
        <w:rPr>
          <w:rFonts w:hint="eastAsia" w:ascii="仿宋" w:hAnsi="仿宋" w:eastAsia="仿宋" w:cs="仿宋"/>
          <w:sz w:val="32"/>
          <w:szCs w:val="32"/>
        </w:rPr>
        <w:t>工业园区绿化景观</w:t>
      </w:r>
      <w:r>
        <w:rPr>
          <w:rFonts w:hint="eastAsia" w:ascii="仿宋" w:hAnsi="仿宋" w:eastAsia="仿宋" w:cs="仿宋"/>
          <w:sz w:val="32"/>
          <w:szCs w:val="32"/>
          <w:lang w:eastAsia="zh-CN"/>
        </w:rPr>
        <w:t>项目的预算</w:t>
      </w:r>
      <w:r>
        <w:rPr>
          <w:rFonts w:hint="eastAsia" w:ascii="仿宋" w:hAnsi="仿宋" w:eastAsia="仿宋" w:cs="仿宋"/>
          <w:sz w:val="32"/>
          <w:szCs w:val="32"/>
        </w:rPr>
        <w:t>；做好23.22万平方米的工业园区道路保洁和绿化养护工作；刷新审批速度，新开工项目</w:t>
      </w:r>
      <w:r>
        <w:rPr>
          <w:rFonts w:hint="eastAsia" w:ascii="仿宋" w:hAnsi="仿宋" w:eastAsia="仿宋" w:cs="仿宋"/>
          <w:sz w:val="32"/>
          <w:szCs w:val="32"/>
          <w:lang w:val="en-US" w:eastAsia="zh-CN"/>
        </w:rPr>
        <w:t>14个</w:t>
      </w:r>
      <w:r>
        <w:rPr>
          <w:rFonts w:hint="eastAsia" w:ascii="仿宋" w:hAnsi="仿宋" w:eastAsia="仿宋" w:cs="仿宋"/>
          <w:sz w:val="32"/>
          <w:szCs w:val="32"/>
        </w:rPr>
        <w:t>。</w:t>
      </w:r>
    </w:p>
    <w:p>
      <w:pPr>
        <w:pStyle w:val="6"/>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）推动农业增效、农民增收，巩固和美农村建设</w:t>
      </w:r>
    </w:p>
    <w:p>
      <w:pPr>
        <w:pStyle w:val="6"/>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rPr>
        <w:t>绩效目标：村内外基础设施维修养护、按“五有”标准扎实推进和美乡村建设、保316路公交车站运转。</w:t>
      </w:r>
    </w:p>
    <w:p>
      <w:pPr>
        <w:pStyle w:val="6"/>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rPr>
        <w:t>绩效指标：7个村83条道路的农村环境卫生清扫；养护镇域辖区涉及百姓生活的路气水电网，养护辖区道路两侧绿植；做好3500亩农田管护工作；卫片图斑、人居检查问题动态清零；保316路公交车站正常运转。</w:t>
      </w:r>
    </w:p>
    <w:p>
      <w:pPr>
        <w:pStyle w:val="6"/>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）扎实保障民生基础，丰富农村精神文化生活。</w:t>
      </w:r>
    </w:p>
    <w:p>
      <w:pPr>
        <w:pStyle w:val="6"/>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rPr>
        <w:t>绩效目标：加强基层党建坚持党的领导、落实独生子女政策、保低收入家庭生活、提高群众就医环境、化解群众矛盾纠纷、落实项目占地对群众生活补贴、牢固把握意识形态领域主动权并营造正能量宣传氛围。</w:t>
      </w:r>
    </w:p>
    <w:p>
      <w:pPr>
        <w:pStyle w:val="6"/>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rPr>
        <w:t>绩效指标：9个方面做好基层党建工作；在卫生健康领域开展不低于5个方面的群众权益保障活动；密切监测173户脱贫、低保、特困、低边户，做好341名高龄老人、333名残疾人、436名退役军人服务；信访案件按期结案率100%，重点信访隐患排查达97%；项目占地对群众的生活补助资金发放率100%；从6个方面开展宣传工作（8个节日节点6个志愿者活动5个宣传阵地4部门培训拉练参观）。</w:t>
      </w:r>
    </w:p>
    <w:p>
      <w:pPr>
        <w:pStyle w:val="6"/>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）减污降排增绿保护生态，灾害应急预防</w:t>
      </w:r>
    </w:p>
    <w:p>
      <w:pPr>
        <w:pStyle w:val="6"/>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rPr>
        <w:t>绩效目标：落实大气污染防治，保护水土生态，持续推动新能源发展；防范遏制重特大事故；统筹抓好安全生产、防火、防汛、动植物疫情、食品药品安全防范。</w:t>
      </w:r>
    </w:p>
    <w:p>
      <w:pPr>
        <w:pStyle w:val="6"/>
        <w:keepNext w:val="0"/>
        <w:keepLines w:val="0"/>
        <w:pageBreakBefore w:val="0"/>
        <w:kinsoku/>
        <w:wordWrap/>
        <w:overflowPunct/>
        <w:topLinePunct w:val="0"/>
        <w:autoSpaceDE/>
        <w:autoSpaceDN/>
        <w:bidi w:val="0"/>
        <w:spacing w:line="570" w:lineRule="exact"/>
        <w:rPr>
          <w:rFonts w:hint="eastAsia" w:ascii="仿宋" w:hAnsi="仿宋" w:eastAsia="仿宋" w:cs="仿宋"/>
          <w:sz w:val="32"/>
          <w:szCs w:val="32"/>
        </w:rPr>
      </w:pPr>
      <w:r>
        <w:rPr>
          <w:rFonts w:hint="eastAsia" w:ascii="仿宋" w:hAnsi="仿宋" w:eastAsia="仿宋" w:cs="仿宋"/>
          <w:sz w:val="32"/>
          <w:szCs w:val="32"/>
        </w:rPr>
        <w:t>绩效指标：空气监测设备运转率达97%以上，13个在建工地、道路、场站扬尘治理常态化，正常天气每日不低于2次洒水，强化散乱污、涉VOCs企业、禁煤、禁烧、禁炮、河道、黑臭水体排查，促封龙河碧水街至装院路段液压坝建设；安全生产隐患排查问题整改率达100%，0火情0水患，6700亩山场和林木管护，镇村两级巡河次数不低于3500次。</w:t>
      </w:r>
    </w:p>
    <w:p>
      <w:pPr>
        <w:keepNext w:val="0"/>
        <w:keepLines w:val="0"/>
        <w:pageBreakBefore w:val="0"/>
        <w:kinsoku/>
        <w:wordWrap/>
        <w:overflowPunct/>
        <w:topLinePunct w:val="0"/>
        <w:autoSpaceDE/>
        <w:autoSpaceDN/>
        <w:bidi w:val="0"/>
        <w:spacing w:line="57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kinsoku/>
        <w:wordWrap/>
        <w:overflowPunct/>
        <w:topLinePunct w:val="0"/>
        <w:autoSpaceDE/>
        <w:autoSpaceDN/>
        <w:bidi w:val="0"/>
        <w:spacing w:line="57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W w:w="8919" w:type="dxa"/>
        <w:tblInd w:w="0" w:type="dxa"/>
        <w:shd w:val="clear"/>
        <w:tblLayout w:type="fixed"/>
        <w:tblCellMar>
          <w:top w:w="0" w:type="dxa"/>
          <w:left w:w="0" w:type="dxa"/>
          <w:bottom w:w="0" w:type="dxa"/>
          <w:right w:w="0" w:type="dxa"/>
        </w:tblCellMar>
      </w:tblPr>
      <w:tblGrid>
        <w:gridCol w:w="485"/>
        <w:gridCol w:w="4369"/>
        <w:gridCol w:w="1950"/>
        <w:gridCol w:w="1095"/>
        <w:gridCol w:w="1020"/>
      </w:tblGrid>
      <w:tr>
        <w:tblPrEx>
          <w:shd w:val="clear"/>
          <w:tblCellMar>
            <w:top w:w="0" w:type="dxa"/>
            <w:left w:w="0" w:type="dxa"/>
            <w:bottom w:w="0" w:type="dxa"/>
            <w:right w:w="0" w:type="dxa"/>
          </w:tblCellMar>
        </w:tblPrEx>
        <w:trPr>
          <w:trHeight w:val="646" w:hRule="atLeast"/>
        </w:trPr>
        <w:tc>
          <w:tcPr>
            <w:tcW w:w="4854" w:type="dxa"/>
            <w:gridSpan w:val="2"/>
            <w:tcBorders>
              <w:top w:val="nil"/>
              <w:left w:val="nil"/>
              <w:bottom w:val="single" w:color="000000" w:sz="4" w:space="0"/>
              <w:right w:val="nil"/>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主管部门：石家庄市鹿泉区山尹村镇人民政府</w:t>
            </w:r>
          </w:p>
        </w:tc>
        <w:tc>
          <w:tcPr>
            <w:tcW w:w="1950" w:type="dxa"/>
            <w:tcBorders>
              <w:top w:val="nil"/>
              <w:left w:val="nil"/>
              <w:bottom w:val="single" w:color="000000" w:sz="4" w:space="0"/>
              <w:right w:val="nil"/>
            </w:tcBorders>
            <w:shd w:val="clear"/>
            <w:tcMar>
              <w:top w:w="15" w:type="dxa"/>
              <w:left w:w="15" w:type="dxa"/>
              <w:right w:w="15" w:type="dxa"/>
            </w:tcMar>
            <w:vAlign w:val="center"/>
          </w:tcPr>
          <w:p>
            <w:pPr>
              <w:keepNext w:val="0"/>
              <w:keepLines w:val="0"/>
              <w:pageBreakBefore w:val="0"/>
              <w:kinsoku/>
              <w:wordWrap/>
              <w:overflowPunct/>
              <w:topLinePunct w:val="0"/>
              <w:autoSpaceDE/>
              <w:autoSpaceDN/>
              <w:bidi w:val="0"/>
              <w:spacing w:line="570" w:lineRule="exact"/>
              <w:jc w:val="center"/>
              <w:rPr>
                <w:rFonts w:hint="eastAsia" w:ascii="仿宋" w:hAnsi="仿宋" w:eastAsia="仿宋" w:cs="仿宋"/>
                <w:i w:val="0"/>
                <w:color w:val="000000"/>
                <w:sz w:val="22"/>
                <w:szCs w:val="22"/>
                <w:u w:val="none"/>
              </w:rPr>
            </w:pPr>
          </w:p>
        </w:tc>
        <w:tc>
          <w:tcPr>
            <w:tcW w:w="2115" w:type="dxa"/>
            <w:gridSpan w:val="2"/>
            <w:tcBorders>
              <w:top w:val="nil"/>
              <w:left w:val="nil"/>
              <w:bottom w:val="single" w:color="000000" w:sz="4" w:space="0"/>
              <w:right w:val="nil"/>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单位：万元</w:t>
            </w:r>
          </w:p>
        </w:tc>
      </w:tr>
      <w:tr>
        <w:tblPrEx>
          <w:shd w:val="clear"/>
          <w:tblCellMar>
            <w:top w:w="0" w:type="dxa"/>
            <w:left w:w="0" w:type="dxa"/>
            <w:bottom w:w="0" w:type="dxa"/>
            <w:right w:w="0" w:type="dxa"/>
          </w:tblCellMar>
        </w:tblPrEx>
        <w:trPr>
          <w:trHeight w:val="470" w:hRule="atLeast"/>
        </w:trPr>
        <w:tc>
          <w:tcPr>
            <w:tcW w:w="48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序号</w:t>
            </w:r>
          </w:p>
        </w:tc>
        <w:tc>
          <w:tcPr>
            <w:tcW w:w="4369"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项目名称</w:t>
            </w:r>
          </w:p>
        </w:tc>
        <w:tc>
          <w:tcPr>
            <w:tcW w:w="195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项目实施单位</w:t>
            </w:r>
          </w:p>
        </w:tc>
        <w:tc>
          <w:tcPr>
            <w:tcW w:w="109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自评得分</w:t>
            </w:r>
          </w:p>
        </w:tc>
        <w:tc>
          <w:tcPr>
            <w:tcW w:w="10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自评等级</w:t>
            </w:r>
          </w:p>
        </w:tc>
      </w:tr>
      <w:tr>
        <w:tblPrEx>
          <w:shd w:val="clear"/>
          <w:tblCellMar>
            <w:top w:w="0" w:type="dxa"/>
            <w:left w:w="0" w:type="dxa"/>
            <w:bottom w:w="0" w:type="dxa"/>
            <w:right w:w="0" w:type="dxa"/>
          </w:tblCellMar>
        </w:tblPrEx>
        <w:trPr>
          <w:trHeight w:val="470" w:hRule="atLeast"/>
        </w:trPr>
        <w:tc>
          <w:tcPr>
            <w:tcW w:w="48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kinsoku/>
              <w:wordWrap/>
              <w:overflowPunct/>
              <w:topLinePunct w:val="0"/>
              <w:autoSpaceDE/>
              <w:autoSpaceDN/>
              <w:bidi w:val="0"/>
              <w:spacing w:line="570" w:lineRule="exact"/>
              <w:jc w:val="center"/>
              <w:rPr>
                <w:rFonts w:hint="eastAsia" w:ascii="仿宋" w:hAnsi="仿宋" w:eastAsia="仿宋" w:cs="仿宋"/>
                <w:i w:val="0"/>
                <w:color w:val="000000"/>
                <w:sz w:val="24"/>
                <w:szCs w:val="24"/>
                <w:u w:val="none"/>
              </w:rPr>
            </w:pPr>
          </w:p>
        </w:tc>
        <w:tc>
          <w:tcPr>
            <w:tcW w:w="4369"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kinsoku/>
              <w:wordWrap/>
              <w:overflowPunct/>
              <w:topLinePunct w:val="0"/>
              <w:autoSpaceDE/>
              <w:autoSpaceDN/>
              <w:bidi w:val="0"/>
              <w:spacing w:line="570" w:lineRule="exact"/>
              <w:jc w:val="center"/>
              <w:rPr>
                <w:rFonts w:hint="eastAsia" w:ascii="仿宋" w:hAnsi="仿宋" w:eastAsia="仿宋" w:cs="仿宋"/>
                <w:i w:val="0"/>
                <w:color w:val="000000"/>
                <w:sz w:val="24"/>
                <w:szCs w:val="24"/>
                <w:u w:val="none"/>
              </w:rPr>
            </w:pPr>
          </w:p>
        </w:tc>
        <w:tc>
          <w:tcPr>
            <w:tcW w:w="195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kinsoku/>
              <w:wordWrap/>
              <w:overflowPunct/>
              <w:topLinePunct w:val="0"/>
              <w:autoSpaceDE/>
              <w:autoSpaceDN/>
              <w:bidi w:val="0"/>
              <w:spacing w:line="570" w:lineRule="exact"/>
              <w:jc w:val="center"/>
              <w:rPr>
                <w:rFonts w:hint="eastAsia" w:ascii="仿宋" w:hAnsi="仿宋" w:eastAsia="仿宋" w:cs="仿宋"/>
                <w:i w:val="0"/>
                <w:color w:val="000000"/>
                <w:sz w:val="24"/>
                <w:szCs w:val="24"/>
                <w:u w:val="none"/>
              </w:rPr>
            </w:pPr>
          </w:p>
        </w:tc>
        <w:tc>
          <w:tcPr>
            <w:tcW w:w="109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kinsoku/>
              <w:wordWrap/>
              <w:overflowPunct/>
              <w:topLinePunct w:val="0"/>
              <w:autoSpaceDE/>
              <w:autoSpaceDN/>
              <w:bidi w:val="0"/>
              <w:spacing w:line="570" w:lineRule="exact"/>
              <w:jc w:val="center"/>
              <w:rPr>
                <w:rFonts w:hint="eastAsia" w:ascii="仿宋" w:hAnsi="仿宋" w:eastAsia="仿宋" w:cs="仿宋"/>
                <w:i w:val="0"/>
                <w:color w:val="000000"/>
                <w:sz w:val="24"/>
                <w:szCs w:val="24"/>
                <w:u w:val="none"/>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kinsoku/>
              <w:wordWrap/>
              <w:overflowPunct/>
              <w:topLinePunct w:val="0"/>
              <w:autoSpaceDE/>
              <w:autoSpaceDN/>
              <w:bidi w:val="0"/>
              <w:spacing w:line="570" w:lineRule="exact"/>
              <w:jc w:val="center"/>
              <w:rPr>
                <w:rFonts w:hint="eastAsia" w:ascii="仿宋" w:hAnsi="仿宋" w:eastAsia="仿宋" w:cs="仿宋"/>
                <w:i w:val="0"/>
                <w:color w:val="000000"/>
                <w:sz w:val="24"/>
                <w:szCs w:val="24"/>
                <w:u w:val="none"/>
              </w:rPr>
            </w:pP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2024年省级农村综合改革项目（山尹村镇底下园、韩家园、南平同）</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2024年省级农村综合改革项目（山尹村镇西郭庄、山南张庄）</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3</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2025年革命老区项目（山尹村镇南平同村道路工程）</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85</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4</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2025年革命老区项目（山尹村镇南平同村道路工程）</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85</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5</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2025年区级山尹村镇公共厕所（2022年镇前大街旧乡中西侧）</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972"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6</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2025年区级山尹村镇鹿泉经济开发区秀水街（青山路-望山路）市政道路建设</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7</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2025年区级山尹村镇天第食品等项目电力专线建设</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8</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2025年区级山尹村镇天下财富湾南岸护坡墙修复工程</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2025年区级山尹村镇退役军人生活补助</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2025年区级山尹村镇装院路望山路电力排管工程项目</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470"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11</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2025年镇级三馆一站免费开放补助</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470"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12</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2025年镇级山尹村村干部工资</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90.3</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13</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2025年镇级山尹村环保防治及农村环境提升</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90.1</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470"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14</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2025年镇级山尹村教育支出</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470"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15</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2025年镇级山尹村临时聘用人员补助</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470"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16</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2025年镇级山尹村农林水事务支出</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99.29</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17</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2025年镇级山尹村思想宣传和新农村精神文明建设</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90.44</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470"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18</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2025年镇级山尹村卫计专项</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95.01</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19</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2025年镇级山尹村项目规划和乡村发展支出</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91.94</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2025年镇级山尹村信访维稳及公共安全</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21</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2025年镇级山尹村灾害防治应急管理及住房安全</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22</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2025年镇级山尹村镇鹿泉经济开发区青山路西延工程</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23</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2025年镇级山尹村镇天下财富湾被罚没受损别墅修缮</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470"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24</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2025年镇级山尹村专项公用经费</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98.75</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470"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25</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2025年镇级山尹村资产配置项目</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95.23</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470"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26</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2025年追加区级山尹村临时救助</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27</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2025年追加区级山尹村镇片区绿化项目等相关费用</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28</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2025年追加区级山尹村镇片区土地使用费用</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29</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2025年追加镇级山尹村环保防治及农村环境提升</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78</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良好</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30</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2025年追加镇级山尹村违法墓地监管经费保障</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89.99</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31</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2025年追加镇级山尹村信访维稳及公共安全</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98.78</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32</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2025年追加镇级山尹村镇片区土地使用费用</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470"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33</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630台账</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34</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石财农【2024】100号市级农村综合改革（2025年山尹村镇南平同村路灯）</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972"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35</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石财农【2024】100号市级农村综合改革（2025年山尹村镇西郭庄道路硬化工程）</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36</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石财农【2024】15号省级农村综合改革（2025年山尹村镇韩家园村路灯）</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37</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石财农【2024】15号省级农村综合改革（2025年山尹村镇南平同村路灯）</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972"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38</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石财农【2024】15号省级农村综合改革（2025年山尹村镇山尹村道路提升工程）</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657"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39</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石财农【2024】35号中央农村综合改革（2025年山尹村镇南平同村路灯）</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r>
        <w:tblPrEx>
          <w:shd w:val="clear"/>
          <w:tblCellMar>
            <w:top w:w="0" w:type="dxa"/>
            <w:left w:w="0" w:type="dxa"/>
            <w:bottom w:w="0" w:type="dxa"/>
            <w:right w:w="0" w:type="dxa"/>
          </w:tblCellMar>
        </w:tblPrEx>
        <w:trPr>
          <w:trHeight w:val="983" w:hRule="atLeast"/>
        </w:trPr>
        <w:tc>
          <w:tcPr>
            <w:tcW w:w="48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40</w:t>
            </w:r>
          </w:p>
        </w:tc>
        <w:tc>
          <w:tcPr>
            <w:tcW w:w="436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石财农【2025】34号中央农村综合改革（2025年山尹村镇底下园、东郭庄道路提升）</w:t>
            </w:r>
          </w:p>
        </w:tc>
        <w:tc>
          <w:tcPr>
            <w:tcW w:w="19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山尹村镇人民政府</w:t>
            </w:r>
          </w:p>
        </w:tc>
        <w:tc>
          <w:tcPr>
            <w:tcW w:w="1095"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90</w:t>
            </w:r>
          </w:p>
        </w:tc>
        <w:tc>
          <w:tcPr>
            <w:tcW w:w="102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570" w:lineRule="exact"/>
              <w:jc w:val="righ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bdr w:val="none" w:color="auto" w:sz="0" w:space="0"/>
                <w:lang w:val="en-US" w:eastAsia="zh-CN" w:bidi="ar"/>
              </w:rPr>
              <w:t>优秀</w:t>
            </w:r>
          </w:p>
        </w:tc>
      </w:tr>
    </w:tbl>
    <w:p>
      <w:pPr>
        <w:keepNext w:val="0"/>
        <w:keepLines w:val="0"/>
        <w:pageBreakBefore w:val="0"/>
        <w:kinsoku/>
        <w:wordWrap/>
        <w:overflowPunct/>
        <w:topLinePunct w:val="0"/>
        <w:autoSpaceDE/>
        <w:autoSpaceDN/>
        <w:bidi w:val="0"/>
        <w:spacing w:line="570" w:lineRule="exact"/>
        <w:ind w:firstLine="640" w:firstLineChars="200"/>
        <w:rPr>
          <w:rFonts w:hint="eastAsia" w:ascii="仿宋" w:hAnsi="仿宋" w:eastAsia="仿宋"/>
          <w:sz w:val="32"/>
          <w:szCs w:val="32"/>
        </w:rPr>
      </w:pPr>
    </w:p>
    <w:p>
      <w:pPr>
        <w:keepNext w:val="0"/>
        <w:keepLines w:val="0"/>
        <w:pageBreakBefore w:val="0"/>
        <w:kinsoku/>
        <w:wordWrap/>
        <w:overflowPunct/>
        <w:topLinePunct w:val="0"/>
        <w:autoSpaceDE/>
        <w:autoSpaceDN/>
        <w:bidi w:val="0"/>
        <w:spacing w:line="57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kinsoku/>
        <w:wordWrap/>
        <w:overflowPunct/>
        <w:topLinePunct w:val="0"/>
        <w:autoSpaceDE/>
        <w:autoSpaceDN/>
        <w:bidi w:val="0"/>
        <w:spacing w:line="570" w:lineRule="exact"/>
        <w:ind w:firstLine="640" w:firstLineChars="200"/>
        <w:rPr>
          <w:rFonts w:hint="eastAsia" w:ascii="楷体" w:hAnsi="楷体" w:eastAsia="楷体"/>
          <w:bCs/>
          <w:sz w:val="32"/>
          <w:szCs w:val="32"/>
          <w:lang w:eastAsia="zh-CN"/>
        </w:rPr>
      </w:pPr>
      <w:r>
        <w:rPr>
          <w:rFonts w:hint="eastAsia" w:ascii="楷体" w:hAnsi="楷体" w:eastAsia="楷体"/>
          <w:bCs/>
          <w:sz w:val="32"/>
          <w:szCs w:val="32"/>
        </w:rPr>
        <w:t>（一）存在的主要问题</w:t>
      </w:r>
      <w:r>
        <w:rPr>
          <w:rFonts w:hint="eastAsia" w:ascii="楷体" w:hAnsi="楷体" w:eastAsia="楷体"/>
          <w:bCs/>
          <w:sz w:val="32"/>
          <w:szCs w:val="32"/>
          <w:lang w:eastAsia="zh-CN"/>
        </w:rPr>
        <w:t>：</w:t>
      </w:r>
      <w:r>
        <w:rPr>
          <w:rFonts w:hint="eastAsia" w:ascii="仿宋" w:hAnsi="仿宋" w:eastAsia="仿宋" w:cs="仿宋"/>
          <w:b w:val="0"/>
          <w:bCs w:val="0"/>
          <w:sz w:val="32"/>
          <w:szCs w:val="32"/>
          <w:lang w:eastAsia="zh-CN"/>
        </w:rPr>
        <w:t>预算实施过程的精准度及预算项目约束性和预算资金安排合理性有待提高。</w:t>
      </w:r>
    </w:p>
    <w:p>
      <w:pPr>
        <w:keepNext w:val="0"/>
        <w:keepLines w:val="0"/>
        <w:pageBreakBefore w:val="0"/>
        <w:kinsoku/>
        <w:wordWrap/>
        <w:overflowPunct/>
        <w:topLinePunct w:val="0"/>
        <w:autoSpaceDE/>
        <w:autoSpaceDN/>
        <w:bidi w:val="0"/>
        <w:spacing w:line="570" w:lineRule="exact"/>
        <w:ind w:firstLine="640" w:firstLineChars="200"/>
        <w:rPr>
          <w:rFonts w:hint="eastAsia" w:ascii="楷体" w:hAnsi="楷体" w:eastAsia="楷体"/>
          <w:bCs/>
          <w:sz w:val="32"/>
          <w:szCs w:val="32"/>
          <w:lang w:eastAsia="zh-CN"/>
        </w:rPr>
      </w:pPr>
      <w:r>
        <w:rPr>
          <w:rFonts w:hint="eastAsia" w:ascii="楷体" w:hAnsi="楷体" w:eastAsia="楷体"/>
          <w:bCs/>
          <w:sz w:val="32"/>
          <w:szCs w:val="32"/>
        </w:rPr>
        <w:t>（二）针对问题提出具体的改进措施或建议</w:t>
      </w:r>
      <w:r>
        <w:rPr>
          <w:rFonts w:hint="eastAsia" w:ascii="楷体" w:hAnsi="楷体" w:eastAsia="楷体"/>
          <w:bCs/>
          <w:sz w:val="32"/>
          <w:szCs w:val="32"/>
          <w:lang w:eastAsia="zh-CN"/>
        </w:rPr>
        <w:t>：</w:t>
      </w:r>
      <w:r>
        <w:rPr>
          <w:rFonts w:hint="eastAsia" w:ascii="仿宋" w:hAnsi="仿宋" w:eastAsia="仿宋" w:cs="仿宋"/>
          <w:b w:val="0"/>
          <w:bCs w:val="0"/>
          <w:sz w:val="32"/>
          <w:szCs w:val="32"/>
          <w:lang w:eastAsia="zh-CN"/>
        </w:rPr>
        <w:t>一方面提高预算项目实施前及过程中精准匹配度，另一方面继续加强项目的预算绩效约束性，充分利用有限的预算资金合理安排各项工作事务。</w:t>
      </w:r>
    </w:p>
    <w:bookmarkEnd w:id="0"/>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A040CFF"/>
    <w:multiLevelType w:val="singleLevel"/>
    <w:tmpl w:val="CA040CFF"/>
    <w:lvl w:ilvl="0" w:tentative="0">
      <w:start w:val="2"/>
      <w:numFmt w:val="chineseCounting"/>
      <w:suff w:val="nothing"/>
      <w:lvlText w:val="（%1）"/>
      <w:lvlJc w:val="left"/>
      <w:rPr>
        <w:rFonts w:hint="eastAsia"/>
      </w:rPr>
    </w:lvl>
  </w:abstractNum>
  <w:abstractNum w:abstractNumId="1">
    <w:nsid w:val="D0A21D35"/>
    <w:multiLevelType w:val="singleLevel"/>
    <w:tmpl w:val="D0A21D35"/>
    <w:lvl w:ilvl="0" w:tentative="0">
      <w:start w:val="1"/>
      <w:numFmt w:val="decimal"/>
      <w:lvlText w:val="%1."/>
      <w:lvlJc w:val="left"/>
      <w:pPr>
        <w:tabs>
          <w:tab w:val="left" w:pos="312"/>
        </w:tabs>
      </w:p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B713F"/>
    <w:rsid w:val="00376610"/>
    <w:rsid w:val="007B43E1"/>
    <w:rsid w:val="007E6C1F"/>
    <w:rsid w:val="008E3731"/>
    <w:rsid w:val="00956A93"/>
    <w:rsid w:val="009E575C"/>
    <w:rsid w:val="009F674E"/>
    <w:rsid w:val="00AF167E"/>
    <w:rsid w:val="00AF566A"/>
    <w:rsid w:val="00B478EA"/>
    <w:rsid w:val="00B6553A"/>
    <w:rsid w:val="00BC6576"/>
    <w:rsid w:val="00C66976"/>
    <w:rsid w:val="00CE06BA"/>
    <w:rsid w:val="00E00E65"/>
    <w:rsid w:val="00F441CC"/>
    <w:rsid w:val="01B104CA"/>
    <w:rsid w:val="02106AB0"/>
    <w:rsid w:val="02B43A28"/>
    <w:rsid w:val="046F331E"/>
    <w:rsid w:val="07956271"/>
    <w:rsid w:val="09721397"/>
    <w:rsid w:val="0A6615C6"/>
    <w:rsid w:val="0BB63BED"/>
    <w:rsid w:val="0EB97A43"/>
    <w:rsid w:val="0EBD2122"/>
    <w:rsid w:val="0F0C0B93"/>
    <w:rsid w:val="0F214EAE"/>
    <w:rsid w:val="10A9455B"/>
    <w:rsid w:val="11B71E6A"/>
    <w:rsid w:val="12103777"/>
    <w:rsid w:val="16850C95"/>
    <w:rsid w:val="1A427337"/>
    <w:rsid w:val="1AAF0063"/>
    <w:rsid w:val="1BE140DE"/>
    <w:rsid w:val="1FE643FC"/>
    <w:rsid w:val="20962262"/>
    <w:rsid w:val="248C197D"/>
    <w:rsid w:val="252959AF"/>
    <w:rsid w:val="277A6671"/>
    <w:rsid w:val="292D35B7"/>
    <w:rsid w:val="2BF21289"/>
    <w:rsid w:val="2D7501E6"/>
    <w:rsid w:val="2F4144DD"/>
    <w:rsid w:val="32817910"/>
    <w:rsid w:val="33EB6CFF"/>
    <w:rsid w:val="3577501F"/>
    <w:rsid w:val="35A12947"/>
    <w:rsid w:val="37387040"/>
    <w:rsid w:val="3B625C0A"/>
    <w:rsid w:val="3C3B6FA3"/>
    <w:rsid w:val="3CEE1963"/>
    <w:rsid w:val="436B78D3"/>
    <w:rsid w:val="4A081FDA"/>
    <w:rsid w:val="4AB02304"/>
    <w:rsid w:val="4C9C27FE"/>
    <w:rsid w:val="4EBB2141"/>
    <w:rsid w:val="512260B4"/>
    <w:rsid w:val="52BD6ACB"/>
    <w:rsid w:val="55537534"/>
    <w:rsid w:val="561A74F1"/>
    <w:rsid w:val="58255193"/>
    <w:rsid w:val="597244E8"/>
    <w:rsid w:val="5DF16BCA"/>
    <w:rsid w:val="5EB71C30"/>
    <w:rsid w:val="5EEB6FAE"/>
    <w:rsid w:val="606643B8"/>
    <w:rsid w:val="66AF0CE5"/>
    <w:rsid w:val="6AC537CF"/>
    <w:rsid w:val="6E5B14A6"/>
    <w:rsid w:val="6E6C1513"/>
    <w:rsid w:val="711B255E"/>
    <w:rsid w:val="78967666"/>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579</Words>
  <Characters>596</Characters>
  <Lines>4</Lines>
  <Paragraphs>1</Paragraphs>
  <TotalTime>24</TotalTime>
  <ScaleCrop>false</ScaleCrop>
  <LinksUpToDate>false</LinksUpToDate>
  <CharactersWithSpaces>618</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czszw</cp:lastModifiedBy>
  <cp:lastPrinted>2024-03-06T07:40:00Z</cp:lastPrinted>
  <dcterms:modified xsi:type="dcterms:W3CDTF">2026-04-22T04:35:40Z</dcterms:modified>
  <dc:title>附件3：</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96934721B1514D3FBAA28020338CE855_12</vt:lpwstr>
  </property>
  <property fmtid="{D5CDD505-2E9C-101B-9397-08002B2CF9AE}" pid="4" name="KSOTemplateDocerSaveRecord">
    <vt:lpwstr>eyJoZGlkIjoiNDYwYTg2YzZjOTgxYTI5MDNjNmQwYjRiMTRmY2I4OWMiLCJ1c2VySWQiOiIxNzUwMzQ2NjM4In0=</vt:lpwstr>
  </property>
</Properties>
</file>