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5B190">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7219A14">
      <w:pPr>
        <w:spacing w:line="560" w:lineRule="exact"/>
        <w:jc w:val="center"/>
        <w:rPr>
          <w:rFonts w:ascii="宋体" w:hAnsi="宋体" w:cs="宋体"/>
          <w:b/>
          <w:bCs/>
          <w:sz w:val="44"/>
          <w:szCs w:val="44"/>
        </w:rPr>
      </w:pPr>
    </w:p>
    <w:p w14:paraId="7971A02C">
      <w:pPr>
        <w:spacing w:line="560" w:lineRule="exact"/>
        <w:jc w:val="center"/>
        <w:rPr>
          <w:rFonts w:ascii="宋体" w:hAnsi="宋体" w:cs="宋体"/>
          <w:b/>
          <w:bCs/>
          <w:sz w:val="44"/>
          <w:szCs w:val="44"/>
        </w:rPr>
      </w:pPr>
      <w:r>
        <w:rPr>
          <w:rFonts w:hint="eastAsia" w:ascii="宋体" w:hAnsi="宋体" w:cs="宋体"/>
          <w:b/>
          <w:bCs/>
          <w:sz w:val="44"/>
          <w:szCs w:val="44"/>
          <w:lang w:eastAsia="zh-CN"/>
        </w:rPr>
        <w:t>石家庄市鹿泉区交通运输局</w:t>
      </w:r>
      <w:r>
        <w:rPr>
          <w:rFonts w:hint="eastAsia" w:ascii="宋体" w:hAnsi="宋体" w:cs="宋体"/>
          <w:b/>
          <w:bCs/>
          <w:sz w:val="44"/>
          <w:szCs w:val="44"/>
        </w:rPr>
        <w:t>部门</w:t>
      </w:r>
    </w:p>
    <w:p w14:paraId="2B35F647">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default" w:ascii="宋体" w:hAnsi="宋体" w:cs="宋体"/>
          <w:b/>
          <w:bCs/>
          <w:sz w:val="44"/>
          <w:szCs w:val="44"/>
          <w:lang w:val="en-US"/>
        </w:rPr>
        <w:t>5</w:t>
      </w:r>
      <w:r>
        <w:rPr>
          <w:rFonts w:hint="eastAsia" w:ascii="宋体" w:hAnsi="宋体" w:cs="宋体"/>
          <w:b/>
          <w:bCs/>
          <w:sz w:val="44"/>
          <w:szCs w:val="44"/>
        </w:rPr>
        <w:t>年度整体支出绩效自评报告</w:t>
      </w:r>
    </w:p>
    <w:p w14:paraId="5ECC4816">
      <w:pPr>
        <w:spacing w:line="560" w:lineRule="exact"/>
        <w:jc w:val="center"/>
        <w:rPr>
          <w:rFonts w:ascii="华文楷体" w:eastAsia="华文楷体"/>
          <w:sz w:val="32"/>
          <w:szCs w:val="32"/>
        </w:rPr>
      </w:pPr>
    </w:p>
    <w:p w14:paraId="0FA2CF5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石家庄市鹿泉区交通运输局</w:t>
      </w:r>
      <w:r>
        <w:rPr>
          <w:rFonts w:hint="eastAsia" w:ascii="仿宋" w:hAnsi="仿宋" w:eastAsia="仿宋"/>
          <w:sz w:val="32"/>
          <w:szCs w:val="32"/>
        </w:rPr>
        <w:t>部门202</w:t>
      </w:r>
      <w:r>
        <w:rPr>
          <w:rFonts w:hint="default" w:ascii="仿宋" w:hAnsi="仿宋" w:eastAsia="仿宋"/>
          <w:sz w:val="32"/>
          <w:szCs w:val="32"/>
          <w:lang w:val="en-US"/>
        </w:rPr>
        <w:t>5</w:t>
      </w:r>
      <w:r>
        <w:rPr>
          <w:rFonts w:hint="eastAsia" w:ascii="仿宋" w:hAnsi="仿宋" w:eastAsia="仿宋"/>
          <w:sz w:val="32"/>
          <w:szCs w:val="32"/>
        </w:rPr>
        <w:t>年整体支出情况实施了财政支出绩效自评价，形成本评价报告。</w:t>
      </w:r>
    </w:p>
    <w:p w14:paraId="677C592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B9C9237">
      <w:p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（一）部门概况</w:t>
      </w:r>
    </w:p>
    <w:p w14:paraId="136B9FA5">
      <w:pPr>
        <w:adjustRightInd w:val="0"/>
        <w:snapToGrid w:val="0"/>
        <w:spacing w:line="560" w:lineRule="exact"/>
        <w:ind w:firstLine="640" w:firstLineChars="200"/>
        <w:rPr>
          <w:rFonts w:hint="eastAsia" w:ascii="楷体" w:hAnsi="楷体" w:eastAsia="楷体" w:cs="楷体_GB2312"/>
          <w:bCs/>
          <w:sz w:val="32"/>
          <w:szCs w:val="32"/>
          <w:highlight w:val="none"/>
          <w:lang w:val="en-US" w:eastAsia="zh-CN"/>
        </w:rPr>
      </w:pPr>
      <w:r>
        <w:rPr>
          <w:rFonts w:hint="eastAsia" w:ascii="楷体" w:hAnsi="楷体" w:eastAsia="楷体" w:cs="楷体_GB2312"/>
          <w:bCs/>
          <w:sz w:val="32"/>
          <w:szCs w:val="32"/>
          <w:highlight w:val="none"/>
          <w:lang w:val="en-US" w:eastAsia="zh-CN"/>
        </w:rPr>
        <w:t>1.部门职能</w:t>
      </w:r>
    </w:p>
    <w:p w14:paraId="34D076E1">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（1）拟订全区交通运输行业发展规划并组织实施，参与拟订有关物流业发</w:t>
      </w:r>
      <w:bookmarkStart w:id="0" w:name="_GoBack"/>
      <w:bookmarkEnd w:id="0"/>
      <w:r>
        <w:rPr>
          <w:rFonts w:hint="eastAsia" w:ascii="仿宋_GB2312" w:hAnsi="仿宋_GB2312" w:eastAsia="仿宋_GB2312" w:cs="仿宋_GB2312"/>
          <w:b w:val="0"/>
          <w:bCs w:val="0"/>
          <w:kern w:val="2"/>
          <w:sz w:val="32"/>
          <w:szCs w:val="32"/>
          <w:highlight w:val="none"/>
          <w:lang w:val="en-US" w:eastAsia="zh-CN" w:bidi="ar-SA"/>
        </w:rPr>
        <w:t>展规划并监督实施。</w:t>
      </w:r>
    </w:p>
    <w:p w14:paraId="09D095FB">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2）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71527C01">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3）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3C824BDF">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4）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2D144B20">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（5）承担管辖水域水上交通安全监管责任，负责全区渔船检验和监督管理工作，会同有关部门，依法组织或参与事故调查处理。</w:t>
      </w:r>
    </w:p>
    <w:p w14:paraId="7C8EB799">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6）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3DB20091">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（7）制订全区交通运输行业科技发展规划，组织行业科技创新应用，推动行业科技进步。负责交通运输行业信息化建设，监测分析运行情况，开展相关统计工作。指导交通运输行业环境保护和节能减排。</w:t>
      </w:r>
    </w:p>
    <w:p w14:paraId="50009D8D">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（8）负责全区交通运输综合行政执法和队伍建设有关工作，统筹协调交通运输综合行政执法工作；负责交通运输行业体制改革工作。</w:t>
      </w:r>
    </w:p>
    <w:p w14:paraId="036F7DE5">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9）负责交通运输系统安全生产和应急管理工作，牵头负责铁路沿线环境安全监管职责；按规定组织协调国家、省、市、区重点物资和紧急客货运输；负责区内国、省重点干线公路网运行监测和应急处置协调工作。</w:t>
      </w:r>
    </w:p>
    <w:p w14:paraId="6EC2BDF8">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（10）负责全区交通运输行业的涉外事宜，指导利用外资，开展交通运输经济技术合作与交流。</w:t>
      </w:r>
    </w:p>
    <w:p w14:paraId="3C7E35B3">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（11）推进京津冀协同发展交通一体化工作。</w:t>
      </w:r>
    </w:p>
    <w:p w14:paraId="0B941CB0">
      <w:pPr>
        <w:pStyle w:val="6"/>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（12）完成区委、区政府交办的其他任务。</w:t>
      </w:r>
    </w:p>
    <w:p w14:paraId="35E2DF11">
      <w:pPr>
        <w:adjustRightInd w:val="0"/>
        <w:snapToGrid w:val="0"/>
        <w:spacing w:line="560" w:lineRule="exact"/>
        <w:ind w:firstLine="640" w:firstLineChars="200"/>
        <w:rPr>
          <w:rFonts w:hint="eastAsia" w:ascii="楷体" w:hAnsi="楷体" w:eastAsia="楷体" w:cs="楷体_GB2312"/>
          <w:bCs/>
          <w:sz w:val="32"/>
          <w:szCs w:val="32"/>
          <w:highlight w:val="none"/>
          <w:lang w:val="en-US" w:eastAsia="zh-CN"/>
        </w:rPr>
      </w:pPr>
      <w:r>
        <w:rPr>
          <w:rFonts w:hint="eastAsia" w:ascii="楷体" w:hAnsi="楷体" w:eastAsia="楷体" w:cs="楷体_GB2312"/>
          <w:bCs/>
          <w:sz w:val="32"/>
          <w:szCs w:val="32"/>
          <w:highlight w:val="none"/>
          <w:lang w:val="en-US" w:eastAsia="zh-CN"/>
        </w:rPr>
        <w:t>2.机构设置</w:t>
      </w:r>
    </w:p>
    <w:tbl>
      <w:tblPr>
        <w:tblStyle w:val="4"/>
        <w:tblW w:w="513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143"/>
        <w:gridCol w:w="1905"/>
        <w:gridCol w:w="1236"/>
        <w:gridCol w:w="3022"/>
      </w:tblGrid>
      <w:tr w14:paraId="4DF8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88" w:type="pct"/>
            <w:vAlign w:val="center"/>
          </w:tcPr>
          <w:p w14:paraId="73BFD427">
            <w:pPr>
              <w:pStyle w:val="7"/>
            </w:pPr>
            <w:r>
              <w:t>单位名称</w:t>
            </w:r>
          </w:p>
        </w:tc>
        <w:tc>
          <w:tcPr>
            <w:tcW w:w="1023" w:type="pct"/>
            <w:vAlign w:val="center"/>
          </w:tcPr>
          <w:p w14:paraId="00DF00A4">
            <w:pPr>
              <w:pStyle w:val="7"/>
            </w:pPr>
            <w:r>
              <w:t>单位性质</w:t>
            </w:r>
          </w:p>
        </w:tc>
        <w:tc>
          <w:tcPr>
            <w:tcW w:w="664" w:type="pct"/>
            <w:vAlign w:val="center"/>
          </w:tcPr>
          <w:p w14:paraId="4B9F078D">
            <w:pPr>
              <w:pStyle w:val="7"/>
            </w:pPr>
            <w:r>
              <w:t>单位规格</w:t>
            </w:r>
          </w:p>
        </w:tc>
        <w:tc>
          <w:tcPr>
            <w:tcW w:w="1623" w:type="pct"/>
            <w:vAlign w:val="center"/>
          </w:tcPr>
          <w:p w14:paraId="19E28B02">
            <w:pPr>
              <w:pStyle w:val="7"/>
            </w:pPr>
            <w:r>
              <w:t>经费保障形式</w:t>
            </w:r>
          </w:p>
        </w:tc>
      </w:tr>
      <w:tr w14:paraId="3EDA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57214975">
            <w:pPr>
              <w:pStyle w:val="8"/>
            </w:pPr>
            <w:r>
              <w:t>石家庄市鹿泉区交通运输局本级</w:t>
            </w:r>
          </w:p>
        </w:tc>
        <w:tc>
          <w:tcPr>
            <w:tcW w:w="1023" w:type="pct"/>
            <w:vAlign w:val="center"/>
          </w:tcPr>
          <w:p w14:paraId="29CE8858">
            <w:pPr>
              <w:pStyle w:val="9"/>
            </w:pPr>
            <w:r>
              <w:t>行政</w:t>
            </w:r>
          </w:p>
        </w:tc>
        <w:tc>
          <w:tcPr>
            <w:tcW w:w="664" w:type="pct"/>
            <w:vAlign w:val="center"/>
          </w:tcPr>
          <w:p w14:paraId="5174C452">
            <w:pPr>
              <w:pStyle w:val="9"/>
            </w:pPr>
            <w:r>
              <w:t>正科级</w:t>
            </w:r>
          </w:p>
        </w:tc>
        <w:tc>
          <w:tcPr>
            <w:tcW w:w="1623" w:type="pct"/>
            <w:vAlign w:val="center"/>
          </w:tcPr>
          <w:p w14:paraId="3F42B3FF">
            <w:pPr>
              <w:pStyle w:val="9"/>
            </w:pPr>
            <w:r>
              <w:t>财政拨款</w:t>
            </w:r>
          </w:p>
        </w:tc>
      </w:tr>
      <w:tr w14:paraId="60DD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585CD482">
            <w:pPr>
              <w:pStyle w:val="8"/>
            </w:pPr>
            <w:r>
              <w:t>石家庄市鹿泉区交通运输综合执法大队</w:t>
            </w:r>
          </w:p>
        </w:tc>
        <w:tc>
          <w:tcPr>
            <w:tcW w:w="1023" w:type="pct"/>
            <w:vAlign w:val="center"/>
          </w:tcPr>
          <w:p w14:paraId="41B80070">
            <w:pPr>
              <w:pStyle w:val="9"/>
            </w:pPr>
            <w:r>
              <w:t>事业</w:t>
            </w:r>
          </w:p>
        </w:tc>
        <w:tc>
          <w:tcPr>
            <w:tcW w:w="664" w:type="pct"/>
            <w:vAlign w:val="center"/>
          </w:tcPr>
          <w:p w14:paraId="6003D69E">
            <w:pPr>
              <w:pStyle w:val="9"/>
            </w:pPr>
            <w:r>
              <w:t>副科级</w:t>
            </w:r>
          </w:p>
        </w:tc>
        <w:tc>
          <w:tcPr>
            <w:tcW w:w="1623" w:type="pct"/>
            <w:vAlign w:val="center"/>
          </w:tcPr>
          <w:p w14:paraId="077EB848">
            <w:pPr>
              <w:pStyle w:val="9"/>
            </w:pPr>
            <w:r>
              <w:t>财政性资金基本保证</w:t>
            </w:r>
          </w:p>
        </w:tc>
      </w:tr>
      <w:tr w14:paraId="5D3F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081ABA6D">
            <w:pPr>
              <w:pStyle w:val="8"/>
            </w:pPr>
            <w:r>
              <w:t>石家庄市鹿泉区交通运输服务中心</w:t>
            </w:r>
          </w:p>
        </w:tc>
        <w:tc>
          <w:tcPr>
            <w:tcW w:w="1023" w:type="pct"/>
            <w:vAlign w:val="center"/>
          </w:tcPr>
          <w:p w14:paraId="48E35E19">
            <w:pPr>
              <w:pStyle w:val="9"/>
            </w:pPr>
            <w:r>
              <w:t>事业</w:t>
            </w:r>
          </w:p>
        </w:tc>
        <w:tc>
          <w:tcPr>
            <w:tcW w:w="664" w:type="pct"/>
            <w:vAlign w:val="center"/>
          </w:tcPr>
          <w:p w14:paraId="2DE7C242">
            <w:pPr>
              <w:pStyle w:val="9"/>
            </w:pPr>
            <w:r>
              <w:t>股级</w:t>
            </w:r>
          </w:p>
        </w:tc>
        <w:tc>
          <w:tcPr>
            <w:tcW w:w="1623" w:type="pct"/>
            <w:vAlign w:val="center"/>
          </w:tcPr>
          <w:p w14:paraId="70BF6488">
            <w:pPr>
              <w:pStyle w:val="9"/>
            </w:pPr>
            <w:r>
              <w:t>财政性资金定额或定项补助</w:t>
            </w:r>
          </w:p>
        </w:tc>
      </w:tr>
      <w:tr w14:paraId="3715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24AB9C01">
            <w:pPr>
              <w:pStyle w:val="8"/>
            </w:pPr>
            <w:r>
              <w:t>石家庄市鹿泉区公路绿化管理中心</w:t>
            </w:r>
          </w:p>
        </w:tc>
        <w:tc>
          <w:tcPr>
            <w:tcW w:w="1023" w:type="pct"/>
            <w:vAlign w:val="center"/>
          </w:tcPr>
          <w:p w14:paraId="3F738540">
            <w:pPr>
              <w:pStyle w:val="9"/>
            </w:pPr>
            <w:r>
              <w:t>事业</w:t>
            </w:r>
          </w:p>
        </w:tc>
        <w:tc>
          <w:tcPr>
            <w:tcW w:w="664" w:type="pct"/>
            <w:vAlign w:val="center"/>
          </w:tcPr>
          <w:p w14:paraId="669661F2">
            <w:pPr>
              <w:pStyle w:val="9"/>
            </w:pPr>
            <w:r>
              <w:t>股级</w:t>
            </w:r>
          </w:p>
        </w:tc>
        <w:tc>
          <w:tcPr>
            <w:tcW w:w="1623" w:type="pct"/>
            <w:vAlign w:val="center"/>
          </w:tcPr>
          <w:p w14:paraId="0A233B4E">
            <w:pPr>
              <w:pStyle w:val="9"/>
            </w:pPr>
            <w:r>
              <w:t>财政性资金定额或定项补助</w:t>
            </w:r>
          </w:p>
        </w:tc>
      </w:tr>
      <w:tr w14:paraId="3678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475CC84A">
            <w:pPr>
              <w:pStyle w:val="8"/>
            </w:pPr>
            <w:r>
              <w:t>石家庄市鹿泉区公路管理站</w:t>
            </w:r>
          </w:p>
        </w:tc>
        <w:tc>
          <w:tcPr>
            <w:tcW w:w="1023" w:type="pct"/>
            <w:vAlign w:val="center"/>
          </w:tcPr>
          <w:p w14:paraId="3EBE92D0">
            <w:pPr>
              <w:pStyle w:val="9"/>
            </w:pPr>
            <w:r>
              <w:t>事业</w:t>
            </w:r>
          </w:p>
        </w:tc>
        <w:tc>
          <w:tcPr>
            <w:tcW w:w="664" w:type="pct"/>
            <w:vAlign w:val="center"/>
          </w:tcPr>
          <w:p w14:paraId="0453CA59">
            <w:pPr>
              <w:pStyle w:val="9"/>
            </w:pPr>
            <w:r>
              <w:t>股级</w:t>
            </w:r>
          </w:p>
        </w:tc>
        <w:tc>
          <w:tcPr>
            <w:tcW w:w="1623" w:type="pct"/>
            <w:vAlign w:val="center"/>
          </w:tcPr>
          <w:p w14:paraId="3A82E61D">
            <w:pPr>
              <w:pStyle w:val="9"/>
            </w:pPr>
            <w:r>
              <w:t>财政性资金定额或定项补助</w:t>
            </w:r>
          </w:p>
        </w:tc>
      </w:tr>
      <w:tr w14:paraId="07CF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0B6517B0">
            <w:pPr>
              <w:pStyle w:val="8"/>
            </w:pPr>
            <w:r>
              <w:t>石家庄市鹿泉区地方公路管理站</w:t>
            </w:r>
          </w:p>
        </w:tc>
        <w:tc>
          <w:tcPr>
            <w:tcW w:w="1023" w:type="pct"/>
            <w:vAlign w:val="center"/>
          </w:tcPr>
          <w:p w14:paraId="6D042A8F">
            <w:pPr>
              <w:pStyle w:val="9"/>
            </w:pPr>
            <w:r>
              <w:t>事业</w:t>
            </w:r>
          </w:p>
        </w:tc>
        <w:tc>
          <w:tcPr>
            <w:tcW w:w="664" w:type="pct"/>
            <w:vAlign w:val="center"/>
          </w:tcPr>
          <w:p w14:paraId="61735FD5">
            <w:pPr>
              <w:pStyle w:val="9"/>
            </w:pPr>
            <w:r>
              <w:t>股级</w:t>
            </w:r>
          </w:p>
        </w:tc>
        <w:tc>
          <w:tcPr>
            <w:tcW w:w="1623" w:type="pct"/>
            <w:vAlign w:val="center"/>
          </w:tcPr>
          <w:p w14:paraId="034244B3">
            <w:pPr>
              <w:pStyle w:val="9"/>
            </w:pPr>
            <w:r>
              <w:t>财政性资金零补助</w:t>
            </w:r>
          </w:p>
        </w:tc>
      </w:tr>
      <w:tr w14:paraId="1697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8" w:type="pct"/>
            <w:vAlign w:val="center"/>
          </w:tcPr>
          <w:p w14:paraId="6C20622C">
            <w:pPr>
              <w:pStyle w:val="8"/>
            </w:pPr>
            <w:r>
              <w:t>石家庄市鹿泉区公路设计质监中心</w:t>
            </w:r>
          </w:p>
        </w:tc>
        <w:tc>
          <w:tcPr>
            <w:tcW w:w="1023" w:type="pct"/>
            <w:vAlign w:val="center"/>
          </w:tcPr>
          <w:p w14:paraId="21274789">
            <w:pPr>
              <w:pStyle w:val="9"/>
            </w:pPr>
            <w:r>
              <w:t>事业</w:t>
            </w:r>
          </w:p>
        </w:tc>
        <w:tc>
          <w:tcPr>
            <w:tcW w:w="664" w:type="pct"/>
            <w:vAlign w:val="center"/>
          </w:tcPr>
          <w:p w14:paraId="5A9603F4">
            <w:pPr>
              <w:pStyle w:val="9"/>
            </w:pPr>
            <w:r>
              <w:t>股级</w:t>
            </w:r>
          </w:p>
        </w:tc>
        <w:tc>
          <w:tcPr>
            <w:tcW w:w="1623" w:type="pct"/>
            <w:vAlign w:val="center"/>
          </w:tcPr>
          <w:p w14:paraId="07650EBF">
            <w:pPr>
              <w:pStyle w:val="9"/>
            </w:pPr>
            <w:r>
              <w:t>财政性资金零补助</w:t>
            </w:r>
          </w:p>
        </w:tc>
      </w:tr>
    </w:tbl>
    <w:p w14:paraId="4FEA3EFC">
      <w:pPr>
        <w:adjustRightInd w:val="0"/>
        <w:snapToGrid w:val="0"/>
        <w:spacing w:line="560" w:lineRule="exact"/>
        <w:ind w:firstLine="640" w:firstLineChars="200"/>
        <w:rPr>
          <w:rFonts w:hint="eastAsia" w:ascii="楷体" w:hAnsi="楷体" w:eastAsia="楷体" w:cs="楷体_GB2312"/>
          <w:bCs/>
          <w:sz w:val="32"/>
          <w:szCs w:val="32"/>
          <w:lang w:val="en-US" w:eastAsia="zh-CN"/>
        </w:rPr>
      </w:pPr>
    </w:p>
    <w:p w14:paraId="667EDD1C">
      <w:pPr>
        <w:adjustRightInd w:val="0"/>
        <w:snapToGrid w:val="0"/>
        <w:spacing w:line="560" w:lineRule="exact"/>
        <w:ind w:firstLine="640" w:firstLineChars="20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3.人员情况</w:t>
      </w:r>
    </w:p>
    <w:p w14:paraId="135C5CEE">
      <w:pPr>
        <w:pStyle w:val="6"/>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ascii="仿宋" w:hAnsi="仿宋" w:eastAsia="仿宋"/>
          <w:sz w:val="32"/>
          <w:szCs w:val="32"/>
        </w:rPr>
      </w:pPr>
      <w:r>
        <w:rPr>
          <w:rFonts w:hint="eastAsia" w:ascii="仿宋_GB2312" w:hAnsi="仿宋_GB2312" w:eastAsia="仿宋_GB2312" w:cs="仿宋_GB2312"/>
          <w:b w:val="0"/>
          <w:bCs w:val="0"/>
          <w:kern w:val="2"/>
          <w:sz w:val="32"/>
          <w:szCs w:val="32"/>
          <w:lang w:val="en-US" w:eastAsia="zh-CN" w:bidi="ar-SA"/>
        </w:rPr>
        <w:t>截至202</w:t>
      </w:r>
      <w:r>
        <w:rPr>
          <w:rFonts w:hint="default" w:ascii="仿宋_GB2312" w:hAnsi="仿宋_GB2312" w:eastAsia="仿宋_GB2312" w:cs="仿宋_GB2312"/>
          <w:b w:val="0"/>
          <w:bCs w:val="0"/>
          <w:kern w:val="2"/>
          <w:sz w:val="32"/>
          <w:szCs w:val="32"/>
          <w:lang w:val="en-US" w:eastAsia="zh-CN" w:bidi="ar-SA"/>
        </w:rPr>
        <w:t>5</w:t>
      </w:r>
      <w:r>
        <w:rPr>
          <w:rFonts w:hint="eastAsia" w:ascii="仿宋_GB2312" w:hAnsi="仿宋_GB2312" w:eastAsia="仿宋_GB2312" w:cs="仿宋_GB2312"/>
          <w:b w:val="0"/>
          <w:bCs w:val="0"/>
          <w:kern w:val="2"/>
          <w:sz w:val="32"/>
          <w:szCs w:val="32"/>
          <w:lang w:val="en-US" w:eastAsia="zh-CN" w:bidi="ar-SA"/>
        </w:rPr>
        <w:t>年底，我部门共有在职人员</w:t>
      </w:r>
      <w:r>
        <w:rPr>
          <w:rFonts w:hint="eastAsia" w:ascii="仿宋_GB2312" w:hAnsi="仿宋_GB2312" w:eastAsia="仿宋_GB2312" w:cs="仿宋_GB2312"/>
          <w:b w:val="0"/>
          <w:bCs w:val="0"/>
          <w:kern w:val="2"/>
          <w:sz w:val="32"/>
          <w:szCs w:val="32"/>
          <w:highlight w:val="none"/>
          <w:lang w:val="en-US" w:eastAsia="zh-CN" w:bidi="ar-SA"/>
        </w:rPr>
        <w:t>2</w:t>
      </w:r>
      <w:r>
        <w:rPr>
          <w:rFonts w:hint="default" w:ascii="仿宋_GB2312" w:hAnsi="仿宋_GB2312" w:eastAsia="仿宋_GB2312" w:cs="仿宋_GB2312"/>
          <w:b w:val="0"/>
          <w:bCs w:val="0"/>
          <w:kern w:val="2"/>
          <w:sz w:val="32"/>
          <w:szCs w:val="32"/>
          <w:highlight w:val="none"/>
          <w:lang w:val="en-US" w:eastAsia="zh-CN" w:bidi="ar-SA"/>
        </w:rPr>
        <w:t>05</w:t>
      </w:r>
      <w:r>
        <w:rPr>
          <w:rFonts w:hint="eastAsia" w:ascii="仿宋_GB2312" w:hAnsi="仿宋_GB2312" w:eastAsia="仿宋_GB2312" w:cs="仿宋_GB2312"/>
          <w:b w:val="0"/>
          <w:bCs w:val="0"/>
          <w:kern w:val="2"/>
          <w:sz w:val="32"/>
          <w:szCs w:val="32"/>
          <w:lang w:val="en-US" w:eastAsia="zh-CN" w:bidi="ar-SA"/>
        </w:rPr>
        <w:t>人。</w:t>
      </w:r>
    </w:p>
    <w:p w14:paraId="0D84EA36">
      <w:pPr>
        <w:numPr>
          <w:ilvl w:val="0"/>
          <w:numId w:val="1"/>
        </w:num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14:paraId="12A73FF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w:t>
      </w:r>
      <w:r>
        <w:rPr>
          <w:rFonts w:hint="default" w:ascii="仿宋_GB2312" w:hAnsi="仿宋_GB2312" w:eastAsia="仿宋_GB2312" w:cs="仿宋_GB2312"/>
          <w:sz w:val="32"/>
          <w:szCs w:val="32"/>
          <w:lang w:val="en-US" w:eastAsia="zh-CN"/>
        </w:rPr>
        <w:t>52395.</w:t>
      </w: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w:t>
      </w:r>
      <w:r>
        <w:rPr>
          <w:rFonts w:hint="eastAsia" w:ascii="仿宋_GB2312" w:hAnsi="仿宋_GB2312" w:eastAsia="仿宋_GB2312" w:cs="仿宋_GB2312"/>
          <w:sz w:val="32"/>
          <w:szCs w:val="32"/>
          <w:lang w:eastAsia="zh-CN"/>
        </w:rPr>
        <w:t>一般公共预算财政拨款</w:t>
      </w:r>
      <w:r>
        <w:rPr>
          <w:rFonts w:hint="eastAsia" w:ascii="仿宋_GB2312" w:hAnsi="仿宋_GB2312" w:eastAsia="仿宋_GB2312" w:cs="仿宋_GB2312"/>
          <w:sz w:val="32"/>
          <w:szCs w:val="32"/>
        </w:rPr>
        <w:t>收入</w:t>
      </w:r>
      <w:r>
        <w:rPr>
          <w:rFonts w:hint="default" w:ascii="仿宋_GB2312" w:hAnsi="仿宋_GB2312" w:eastAsia="仿宋_GB2312" w:cs="仿宋_GB2312"/>
          <w:sz w:val="32"/>
          <w:szCs w:val="32"/>
          <w:lang w:val="en-US" w:eastAsia="zh-CN"/>
        </w:rPr>
        <w:t>40595.1</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元、政府性基金预算财政拨款收入</w:t>
      </w:r>
      <w:r>
        <w:rPr>
          <w:rFonts w:hint="default" w:ascii="仿宋_GB2312" w:hAnsi="仿宋_GB2312" w:eastAsia="仿宋_GB2312" w:cs="仿宋_GB2312"/>
          <w:sz w:val="32"/>
          <w:szCs w:val="32"/>
          <w:lang w:val="en-US" w:eastAsia="zh-CN"/>
        </w:rPr>
        <w:t>9944.88</w:t>
      </w:r>
      <w:r>
        <w:rPr>
          <w:rFonts w:hint="eastAsia" w:ascii="仿宋_GB2312" w:hAnsi="仿宋_GB2312" w:eastAsia="仿宋_GB2312" w:cs="仿宋_GB2312"/>
          <w:sz w:val="32"/>
          <w:szCs w:val="32"/>
          <w:lang w:val="en-US" w:eastAsia="zh-CN"/>
        </w:rPr>
        <w:t>万元、其他收入1744.43万元、</w:t>
      </w:r>
      <w:r>
        <w:rPr>
          <w:rFonts w:hint="eastAsia" w:ascii="仿宋_GB2312" w:hAnsi="仿宋_GB2312" w:eastAsia="仿宋_GB2312" w:cs="仿宋_GB2312"/>
          <w:sz w:val="32"/>
          <w:szCs w:val="32"/>
        </w:rPr>
        <w:t>财政拨款年初结转和结余</w:t>
      </w:r>
      <w:r>
        <w:rPr>
          <w:rFonts w:hint="default" w:ascii="仿宋_GB2312" w:hAnsi="仿宋_GB2312" w:eastAsia="仿宋_GB2312" w:cs="仿宋_GB2312"/>
          <w:sz w:val="32"/>
          <w:szCs w:val="32"/>
          <w:lang w:val="en-US" w:eastAsia="zh-CN"/>
        </w:rPr>
        <w:t>110.98</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eastAsia="zh-CN"/>
        </w:rPr>
        <w:t>全年</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52392</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元，其中：基本支出</w:t>
      </w:r>
      <w:r>
        <w:rPr>
          <w:rFonts w:hint="eastAsia" w:ascii="仿宋_GB2312" w:hAnsi="仿宋_GB2312" w:eastAsia="仿宋_GB2312" w:cs="仿宋_GB2312"/>
          <w:sz w:val="32"/>
          <w:szCs w:val="32"/>
          <w:lang w:val="en-US" w:eastAsia="zh-CN"/>
        </w:rPr>
        <w:t>5374.33</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元、项目支出</w:t>
      </w:r>
      <w:r>
        <w:rPr>
          <w:rFonts w:hint="eastAsia" w:ascii="仿宋_GB2312" w:hAnsi="仿宋_GB2312" w:eastAsia="仿宋_GB2312" w:cs="仿宋_GB2312"/>
          <w:sz w:val="32"/>
          <w:szCs w:val="32"/>
          <w:lang w:val="en-US" w:eastAsia="zh-CN"/>
        </w:rPr>
        <w:t>47017.67万</w:t>
      </w:r>
      <w:r>
        <w:rPr>
          <w:rFonts w:hint="eastAsia" w:ascii="仿宋_GB2312" w:hAnsi="仿宋_GB2312" w:eastAsia="仿宋_GB2312" w:cs="仿宋_GB2312"/>
          <w:sz w:val="32"/>
          <w:szCs w:val="32"/>
        </w:rPr>
        <w:t>元。</w:t>
      </w:r>
    </w:p>
    <w:p w14:paraId="045335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_GB2312"/>
          <w:bCs/>
          <w:sz w:val="32"/>
          <w:szCs w:val="32"/>
        </w:rPr>
      </w:pPr>
      <w:r>
        <w:rPr>
          <w:rFonts w:hint="eastAsia" w:ascii="仿宋_GB2312" w:hAnsi="仿宋_GB2312" w:eastAsia="仿宋_GB2312" w:cs="仿宋_GB2312"/>
          <w:sz w:val="32"/>
          <w:szCs w:val="32"/>
          <w:lang w:eastAsia="zh-CN"/>
        </w:rPr>
        <w:t>我部门</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lang w:val="en-US" w:eastAsia="zh-CN"/>
        </w:rPr>
        <w:t>52385.74</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元，其中：财政拨款年初结转和结余</w:t>
      </w:r>
      <w:r>
        <w:rPr>
          <w:rFonts w:hint="eastAsia" w:ascii="仿宋_GB2312" w:hAnsi="仿宋_GB2312" w:eastAsia="仿宋_GB2312" w:cs="仿宋_GB2312"/>
          <w:sz w:val="32"/>
          <w:szCs w:val="32"/>
          <w:lang w:val="en-US" w:eastAsia="zh-CN"/>
        </w:rPr>
        <w:t>101.47万</w:t>
      </w:r>
      <w:r>
        <w:rPr>
          <w:rFonts w:hint="eastAsia" w:ascii="仿宋_GB2312" w:hAnsi="仿宋_GB2312" w:eastAsia="仿宋_GB2312" w:cs="仿宋_GB2312"/>
          <w:sz w:val="32"/>
          <w:szCs w:val="32"/>
        </w:rPr>
        <w:t>元，本年收入</w:t>
      </w:r>
      <w:r>
        <w:rPr>
          <w:rFonts w:hint="eastAsia" w:ascii="仿宋_GB2312" w:hAnsi="仿宋_GB2312" w:eastAsia="仿宋_GB2312" w:cs="仿宋_GB2312"/>
          <w:sz w:val="32"/>
          <w:szCs w:val="32"/>
          <w:lang w:val="en-US" w:eastAsia="zh-CN"/>
        </w:rPr>
        <w:t>52284.27</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元；支出</w:t>
      </w:r>
      <w:r>
        <w:rPr>
          <w:rFonts w:hint="eastAsia" w:ascii="仿宋_GB2312" w:hAnsi="仿宋_GB2312" w:eastAsia="仿宋_GB2312" w:cs="仿宋_GB2312"/>
          <w:sz w:val="32"/>
          <w:szCs w:val="32"/>
          <w:lang w:eastAsia="zh-CN"/>
        </w:rPr>
        <w:t>决算数为</w:t>
      </w:r>
      <w:r>
        <w:rPr>
          <w:rFonts w:hint="eastAsia" w:ascii="仿宋_GB2312" w:hAnsi="仿宋_GB2312" w:eastAsia="仿宋_GB2312" w:cs="仿宋_GB2312"/>
          <w:sz w:val="32"/>
          <w:szCs w:val="32"/>
          <w:lang w:val="en-US" w:eastAsia="zh-CN"/>
        </w:rPr>
        <w:t>52385.74</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元，其中：本年支出</w:t>
      </w:r>
      <w:r>
        <w:rPr>
          <w:rFonts w:hint="eastAsia" w:ascii="仿宋_GB2312" w:hAnsi="仿宋_GB2312" w:eastAsia="仿宋_GB2312" w:cs="仿宋_GB2312"/>
          <w:sz w:val="32"/>
          <w:szCs w:val="32"/>
          <w:lang w:val="en-US" w:eastAsia="zh-CN"/>
        </w:rPr>
        <w:t>52286.34万</w:t>
      </w:r>
      <w:r>
        <w:rPr>
          <w:rFonts w:hint="eastAsia" w:ascii="仿宋_GB2312" w:hAnsi="仿宋_GB2312" w:eastAsia="仿宋_GB2312" w:cs="仿宋_GB2312"/>
          <w:sz w:val="32"/>
          <w:szCs w:val="32"/>
        </w:rPr>
        <w:t>元，财政拨款年末结转和结余</w:t>
      </w:r>
      <w:r>
        <w:rPr>
          <w:rFonts w:hint="eastAsia" w:ascii="仿宋_GB2312" w:hAnsi="仿宋_GB2312" w:eastAsia="仿宋_GB2312" w:cs="仿宋_GB2312"/>
          <w:sz w:val="32"/>
          <w:szCs w:val="32"/>
          <w:lang w:val="en-US" w:eastAsia="zh-CN"/>
        </w:rPr>
        <w:t>99.4万</w:t>
      </w:r>
      <w:r>
        <w:rPr>
          <w:rFonts w:hint="eastAsia" w:ascii="仿宋_GB2312" w:hAnsi="仿宋_GB2312" w:eastAsia="仿宋_GB2312" w:cs="仿宋_GB2312"/>
          <w:sz w:val="32"/>
          <w:szCs w:val="32"/>
        </w:rPr>
        <w:t>元。</w:t>
      </w:r>
    </w:p>
    <w:p w14:paraId="55493B6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776B4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1.总体绩效目标</w:t>
      </w:r>
    </w:p>
    <w:p w14:paraId="192C8A30">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cs="仿宋"/>
          <w:color w:val="auto"/>
          <w:sz w:val="30"/>
          <w:szCs w:val="30"/>
        </w:rPr>
        <w:t>202</w:t>
      </w:r>
      <w:r>
        <w:rPr>
          <w:rFonts w:hint="eastAsia" w:ascii="仿宋" w:hAnsi="仿宋" w:eastAsia="仿宋" w:cs="仿宋"/>
          <w:color w:val="auto"/>
          <w:sz w:val="30"/>
          <w:szCs w:val="30"/>
          <w:lang w:val="en-US" w:eastAsia="zh-CN"/>
        </w:rPr>
        <w:t>5</w:t>
      </w:r>
      <w:r>
        <w:rPr>
          <w:rFonts w:hint="eastAsia" w:ascii="仿宋" w:hAnsi="仿宋" w:eastAsia="仿宋" w:cs="仿宋"/>
          <w:color w:val="auto"/>
          <w:sz w:val="30"/>
          <w:szCs w:val="30"/>
        </w:rPr>
        <w:t>年，我</w:t>
      </w:r>
      <w:r>
        <w:rPr>
          <w:rFonts w:hint="eastAsia" w:ascii="仿宋" w:hAnsi="仿宋" w:eastAsia="仿宋" w:cs="仿宋"/>
          <w:color w:val="auto"/>
          <w:sz w:val="30"/>
          <w:szCs w:val="30"/>
          <w:lang w:eastAsia="zh-CN"/>
        </w:rPr>
        <w:t>部门</w:t>
      </w:r>
      <w:r>
        <w:rPr>
          <w:rFonts w:hint="eastAsia" w:ascii="仿宋" w:hAnsi="仿宋" w:eastAsia="仿宋" w:cs="仿宋"/>
          <w:color w:val="auto"/>
          <w:sz w:val="30"/>
          <w:szCs w:val="30"/>
        </w:rPr>
        <w:t>将围绕区委、区政府的中心工作，重点做好以下工作：</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1</w:t>
      </w:r>
      <w:r>
        <w:rPr>
          <w:rFonts w:hint="eastAsia" w:ascii="仿宋" w:hAnsi="仿宋" w:eastAsia="仿宋" w:cs="仿宋"/>
          <w:color w:val="auto"/>
          <w:sz w:val="30"/>
          <w:szCs w:val="30"/>
          <w:lang w:eastAsia="zh-CN"/>
        </w:rPr>
        <w:t>）</w:t>
      </w:r>
      <w:r>
        <w:rPr>
          <w:rFonts w:hint="eastAsia" w:ascii="仿宋_GB2312" w:hAnsi="仿宋_GB2312" w:eastAsia="仿宋_GB2312" w:cs="仿宋_GB2312"/>
          <w:sz w:val="32"/>
          <w:szCs w:val="32"/>
          <w:lang w:val="en-US" w:eastAsia="zh-CN"/>
        </w:rPr>
        <w:t>完成国省干线公路、农村公路的建设养护，加强大气污染治理，优化和改善公路路网结构和路况，改善道路通行环境，有效推进鹿泉生态交通建设。（2）加强行业管理，保障交通运输行业健康发展；通过开展交通运输综合执法工作，严格控制超限超载率。（3）通过行之有效的措施，确保公路辐射带动社会经济发展能力明显提升，不断增强人民群众获得感、幸福感、安全感。</w:t>
      </w:r>
    </w:p>
    <w:p w14:paraId="6234A5A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2.分项绩效目标</w:t>
      </w:r>
    </w:p>
    <w:p w14:paraId="4F921F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（1）普通干线公路养护</w:t>
      </w:r>
    </w:p>
    <w:p w14:paraId="6C96F8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绩效目标：通过实施普通国省干线公路的预防性养护及沿线配套设施等的养护，确保路面完好率及植被成活率，提升公路运行质量，使国省干线公路保持良好的服务水平。</w:t>
      </w:r>
    </w:p>
    <w:p w14:paraId="7EB12C5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完成道路养护工程量不低于327.97万平方米，养护道路12条，路面洒扫清洁达标率不低于90%。路面完好率及植被成活率均达到90%以上，群众对公路运行整体满意度不低于90%。</w:t>
      </w:r>
    </w:p>
    <w:p w14:paraId="457F89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（2）农村公路建设养护</w:t>
      </w:r>
    </w:p>
    <w:p w14:paraId="37A5B9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绩效目标：通过实施农村公路改建工程、大中修工程和日常养护，优化和改善农村公路路网结构和路况，加强鹿泉生态交通建设，提高公路运行质量，提升农村公路服务民生水平。</w:t>
      </w:r>
    </w:p>
    <w:p w14:paraId="01EDE8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eastAsia="zh-CN"/>
        </w:rPr>
        <w:t>完成22条农村公路近157.7034万平方米道路的日常养护，提升公路运行质量，保证我区农村公路养护，防止货源车辆扬尘污染，改善空气环境质量，使群众满意度达到要求。植被成活率达95%，桥梁结构安全事故发生0起，周边环境得以改善，促进当地经济发展，涉及修建道路的长期使用年限均达到8年以上。</w:t>
      </w:r>
    </w:p>
    <w:p w14:paraId="16DAAA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（3）交通综合执法管理</w:t>
      </w:r>
    </w:p>
    <w:p w14:paraId="149C396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绩效目标：开展交通运输综合执法工作，有效治理超限运输，道路安全设施维护良好，保障通行能力。</w:t>
      </w:r>
    </w:p>
    <w:p w14:paraId="13E004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保障307国道洗车场正常运转，每月保障管辖范围内公路警示设施的完好数量占全部管理设施数量的比率大于90%。歧银线鹿泉站和兴阳线获鹿站利用不停车预检车道，有效治理超限超载，超限超载率不超过2%；保障公路安全设施完好；保障公路超限检测站正常运行。</w:t>
      </w:r>
    </w:p>
    <w:p w14:paraId="0210099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（4）公共交通运输管理</w:t>
      </w:r>
    </w:p>
    <w:p w14:paraId="2FFE4C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694B70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维护保洁公交站亭33座，维护保洁公交站牌409块，形成常态化管理服务。具备通客车条件的乡镇和建制村的通车率达到100%；提高巡游出租车新能源车占比。</w:t>
      </w:r>
    </w:p>
    <w:p w14:paraId="72793F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（5）综合事务管理</w:t>
      </w:r>
    </w:p>
    <w:p w14:paraId="4517948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绩效目标：对铁路环境安全隐患进行整治，保障铁路沿线两侧环境安全；支持城市实施国家综合货运枢纽补链强链项目，提高循环率、增强循环功能、降低循环成本。</w:t>
      </w:r>
    </w:p>
    <w:p w14:paraId="62F6BBC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铁路沿线两侧500米范围内整治长度不少于77.75公里，安全隐患整治率不低于95%。支持城市实施国家综合货运枢纽补链强链2个，设备更新升级项目1个。</w:t>
      </w:r>
    </w:p>
    <w:p w14:paraId="4E42C645">
      <w:pPr>
        <w:adjustRightInd w:val="0"/>
        <w:snapToGrid w:val="0"/>
        <w:spacing w:line="560" w:lineRule="exact"/>
        <w:ind w:left="638" w:leftChars="304" w:firstLine="0" w:firstLineChars="0"/>
        <w:rPr>
          <w:rFonts w:ascii="黑体" w:hAnsi="黑体" w:eastAsia="黑体"/>
          <w:sz w:val="32"/>
          <w:szCs w:val="32"/>
        </w:rPr>
      </w:pPr>
      <w:r>
        <w:rPr>
          <w:rFonts w:hint="eastAsia" w:ascii="黑体" w:hAnsi="黑体" w:eastAsia="黑体"/>
          <w:sz w:val="32"/>
          <w:szCs w:val="32"/>
        </w:rPr>
        <w:t>二、自评工作开展情况</w:t>
      </w:r>
    </w:p>
    <w:p w14:paraId="71904FBC">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8627572">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b w:val="0"/>
          <w:bCs w:val="0"/>
          <w:sz w:val="32"/>
          <w:szCs w:val="32"/>
        </w:rPr>
        <w:t>为做好20</w:t>
      </w:r>
      <w:r>
        <w:rPr>
          <w:rFonts w:hint="eastAsia" w:ascii="仿宋_GB2312" w:hAnsi="仿宋_GB2312" w:eastAsia="仿宋_GB2312" w:cs="仿宋_GB2312"/>
          <w:b w:val="0"/>
          <w:bCs w:val="0"/>
          <w:sz w:val="32"/>
          <w:szCs w:val="32"/>
          <w:lang w:val="en-US" w:eastAsia="zh-CN"/>
        </w:rPr>
        <w:t>25</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绩效自评工作，</w:t>
      </w:r>
      <w:r>
        <w:rPr>
          <w:rFonts w:hint="eastAsia" w:ascii="仿宋_GB2312" w:hAnsi="仿宋_GB2312" w:eastAsia="仿宋_GB2312" w:cs="仿宋_GB2312"/>
          <w:b w:val="0"/>
          <w:bCs w:val="0"/>
          <w:sz w:val="32"/>
          <w:szCs w:val="32"/>
          <w:lang w:eastAsia="zh-CN"/>
        </w:rPr>
        <w:t>局属</w:t>
      </w:r>
      <w:r>
        <w:rPr>
          <w:rFonts w:hint="eastAsia" w:ascii="仿宋_GB2312" w:hAnsi="仿宋_GB2312" w:eastAsia="仿宋_GB2312" w:cs="仿宋_GB2312"/>
          <w:b w:val="0"/>
          <w:bCs w:val="0"/>
          <w:sz w:val="32"/>
          <w:szCs w:val="32"/>
        </w:rPr>
        <w:t>各单位</w:t>
      </w:r>
      <w:r>
        <w:rPr>
          <w:rFonts w:hint="eastAsia" w:ascii="仿宋_GB2312" w:hAnsi="仿宋_GB2312" w:eastAsia="仿宋_GB2312" w:cs="仿宋_GB2312"/>
          <w:b w:val="0"/>
          <w:bCs w:val="0"/>
          <w:sz w:val="32"/>
          <w:szCs w:val="32"/>
          <w:lang w:eastAsia="zh-CN"/>
        </w:rPr>
        <w:t>及项目股室</w:t>
      </w:r>
      <w:r>
        <w:rPr>
          <w:rFonts w:hint="eastAsia" w:ascii="仿宋" w:hAnsi="仿宋" w:eastAsia="仿宋" w:cs="黑体"/>
          <w:kern w:val="2"/>
          <w:sz w:val="32"/>
          <w:szCs w:val="32"/>
          <w:lang w:val="en-US" w:eastAsia="zh-CN" w:bidi="ar-SA"/>
        </w:rPr>
        <w:t>结合绩效评价的要求和预算项目的指标，对</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年度资金进行了全面梳理</w:t>
      </w:r>
      <w:r>
        <w:rPr>
          <w:rFonts w:hint="eastAsia" w:ascii="仿宋_GB2312" w:hAnsi="仿宋_GB2312" w:eastAsia="仿宋_GB2312" w:cs="仿宋_GB2312"/>
          <w:b w:val="0"/>
          <w:bCs w:val="0"/>
          <w:sz w:val="32"/>
          <w:szCs w:val="32"/>
          <w:lang w:eastAsia="zh-CN"/>
        </w:rPr>
        <w:t>，对预算</w:t>
      </w:r>
      <w:r>
        <w:rPr>
          <w:rFonts w:hint="eastAsia" w:ascii="仿宋" w:hAnsi="仿宋" w:eastAsia="仿宋" w:cs="黑体"/>
          <w:kern w:val="2"/>
          <w:sz w:val="32"/>
          <w:szCs w:val="32"/>
          <w:lang w:val="en-US" w:eastAsia="zh-CN" w:bidi="ar-SA"/>
        </w:rPr>
        <w:t>项目开展了全面的综合评价。</w:t>
      </w:r>
      <w:r>
        <w:rPr>
          <w:rFonts w:hint="eastAsia" w:ascii="仿宋_GB2312" w:hAnsi="仿宋_GB2312" w:eastAsia="仿宋_GB2312" w:cs="仿宋_GB2312"/>
          <w:b w:val="0"/>
          <w:bCs w:val="0"/>
          <w:sz w:val="32"/>
          <w:szCs w:val="32"/>
        </w:rPr>
        <w:t>明确了评价项目内容和具体职责分工</w:t>
      </w:r>
      <w:r>
        <w:rPr>
          <w:rFonts w:hint="eastAsia" w:ascii="仿宋_GB2312" w:hAnsi="仿宋_GB2312" w:eastAsia="仿宋_GB2312" w:cs="仿宋_GB2312"/>
          <w:b w:val="0"/>
          <w:bCs w:val="0"/>
          <w:sz w:val="32"/>
          <w:szCs w:val="32"/>
          <w:lang w:eastAsia="zh-CN"/>
        </w:rPr>
        <w:t>，</w:t>
      </w:r>
      <w:r>
        <w:rPr>
          <w:rFonts w:hint="eastAsia" w:ascii="仿宋" w:hAnsi="仿宋" w:eastAsia="仿宋" w:cs="仿宋"/>
          <w:sz w:val="32"/>
          <w:szCs w:val="32"/>
        </w:rPr>
        <w:t>考评资金支出效率和综合效果，及时总结经验，分析存在的问题及原因，进一步推进财政资金科学化、精细化管理，不断提高财政专项资金管理水平和使用效率</w:t>
      </w:r>
      <w:r>
        <w:rPr>
          <w:rFonts w:hint="eastAsia" w:ascii="仿宋" w:hAnsi="仿宋" w:eastAsia="仿宋" w:cs="仿宋"/>
          <w:sz w:val="32"/>
          <w:szCs w:val="32"/>
          <w:lang w:eastAsia="zh-CN"/>
        </w:rPr>
        <w:t>。</w:t>
      </w:r>
    </w:p>
    <w:p w14:paraId="07CEA876">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5C962D1">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rPr>
        <w:t>各单位</w:t>
      </w:r>
      <w:r>
        <w:rPr>
          <w:rFonts w:hint="eastAsia" w:ascii="仿宋_GB2312" w:hAnsi="仿宋_GB2312" w:eastAsia="仿宋_GB2312" w:cs="仿宋_GB2312"/>
          <w:b w:val="0"/>
          <w:bCs w:val="0"/>
          <w:sz w:val="32"/>
          <w:szCs w:val="32"/>
          <w:lang w:eastAsia="zh-CN"/>
        </w:rPr>
        <w:t>及项目股室</w:t>
      </w:r>
      <w:r>
        <w:rPr>
          <w:rFonts w:hint="eastAsia" w:ascii="仿宋_GB2312" w:hAnsi="仿宋_GB2312" w:eastAsia="仿宋_GB2312" w:cs="仿宋_GB2312"/>
          <w:b w:val="0"/>
          <w:bCs w:val="0"/>
          <w:sz w:val="32"/>
          <w:szCs w:val="32"/>
        </w:rPr>
        <w:t>对照年初确定的绩效目标、指标和评价标准，结合项目完成情况，对202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预算项目</w:t>
      </w:r>
      <w:r>
        <w:rPr>
          <w:rFonts w:hint="eastAsia" w:ascii="仿宋_GB2312" w:hAnsi="仿宋_GB2312" w:eastAsia="仿宋_GB2312" w:cs="仿宋_GB2312"/>
          <w:b w:val="0"/>
          <w:bCs w:val="0"/>
          <w:sz w:val="32"/>
          <w:szCs w:val="32"/>
        </w:rPr>
        <w:t>逐项</w:t>
      </w:r>
      <w:r>
        <w:rPr>
          <w:rFonts w:hint="eastAsia" w:ascii="仿宋_GB2312" w:hAnsi="仿宋_GB2312" w:eastAsia="仿宋_GB2312" w:cs="仿宋_GB2312"/>
          <w:b w:val="0"/>
          <w:bCs w:val="0"/>
          <w:sz w:val="32"/>
          <w:szCs w:val="32"/>
          <w:lang w:eastAsia="zh-CN"/>
        </w:rPr>
        <w:t>进行</w:t>
      </w:r>
      <w:r>
        <w:rPr>
          <w:rFonts w:hint="eastAsia" w:ascii="仿宋_GB2312" w:hAnsi="仿宋_GB2312" w:eastAsia="仿宋_GB2312" w:cs="仿宋_GB2312"/>
          <w:b w:val="0"/>
          <w:bCs w:val="0"/>
          <w:sz w:val="32"/>
          <w:szCs w:val="32"/>
        </w:rPr>
        <w:t>绩效自评，形成绩效自评报告。评价过程中各单位对各项目的支出情况进行了分析，同时查看相关文件，严格按照项目计划和规定用途专款专用，并严格按照</w:t>
      </w:r>
      <w:r>
        <w:rPr>
          <w:rFonts w:hint="eastAsia" w:ascii="仿宋" w:hAnsi="仿宋" w:eastAsia="仿宋"/>
          <w:sz w:val="32"/>
          <w:szCs w:val="32"/>
        </w:rPr>
        <w:t>《关于全面实施预算绩效管理的实施意见》（鹿发〔2019〕8号）</w:t>
      </w:r>
      <w:r>
        <w:rPr>
          <w:rFonts w:hint="eastAsia" w:ascii="仿宋" w:hAnsi="仿宋" w:eastAsia="仿宋"/>
          <w:sz w:val="32"/>
          <w:szCs w:val="32"/>
          <w:lang w:eastAsia="zh-CN"/>
        </w:rPr>
        <w:t>精神</w:t>
      </w:r>
      <w:r>
        <w:rPr>
          <w:rFonts w:hint="eastAsia" w:ascii="仿宋_GB2312" w:hAnsi="仿宋_GB2312" w:eastAsia="仿宋_GB2312" w:cs="仿宋_GB2312"/>
          <w:b w:val="0"/>
          <w:bCs w:val="0"/>
          <w:sz w:val="32"/>
          <w:szCs w:val="32"/>
        </w:rPr>
        <w:t>执行，自评过程科学合理，结果公平、公正。</w:t>
      </w:r>
    </w:p>
    <w:p w14:paraId="14AA4C0B">
      <w:pPr>
        <w:spacing w:line="560" w:lineRule="exact"/>
        <w:ind w:firstLine="640" w:firstLineChars="200"/>
        <w:rPr>
          <w:rFonts w:ascii="黑体" w:hAnsi="黑体" w:eastAsia="黑体"/>
          <w:b/>
          <w:bCs/>
          <w:sz w:val="32"/>
          <w:szCs w:val="32"/>
        </w:rPr>
      </w:pPr>
      <w:r>
        <w:rPr>
          <w:rFonts w:hint="eastAsia" w:ascii="黑体" w:hAnsi="黑体" w:eastAsia="黑体"/>
          <w:sz w:val="32"/>
          <w:szCs w:val="32"/>
          <w:lang w:val="en-US" w:eastAsia="zh-CN"/>
        </w:rPr>
        <w:t>三、</w:t>
      </w:r>
      <w:r>
        <w:rPr>
          <w:rFonts w:hint="eastAsia" w:ascii="黑体" w:hAnsi="黑体" w:eastAsia="黑体"/>
          <w:sz w:val="32"/>
          <w:szCs w:val="32"/>
        </w:rPr>
        <w:t>部门整体支出绩效目标实现情况及指标分析</w:t>
      </w:r>
    </w:p>
    <w:p w14:paraId="1CD46D80">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6320290">
      <w:pPr>
        <w:keepNext w:val="0"/>
        <w:keepLines w:val="0"/>
        <w:widowControl/>
        <w:suppressLineNumbers w:val="0"/>
        <w:ind w:firstLine="640" w:firstLineChars="200"/>
        <w:jc w:val="left"/>
        <w:rPr>
          <w:rFonts w:hint="eastAsia" w:ascii="仿宋" w:hAnsi="仿宋" w:eastAsia="仿宋" w:cs="仿宋"/>
          <w:b/>
          <w:bCs/>
          <w:color w:val="auto"/>
          <w:sz w:val="30"/>
          <w:szCs w:val="30"/>
          <w:lang w:eastAsia="zh-CN"/>
        </w:rPr>
      </w:pPr>
      <w:r>
        <w:rPr>
          <w:rFonts w:hint="eastAsia" w:ascii="仿宋" w:hAnsi="仿宋" w:eastAsia="仿宋" w:cs="仿宋"/>
          <w:sz w:val="32"/>
          <w:szCs w:val="32"/>
          <w:lang w:eastAsia="zh-CN"/>
        </w:rPr>
        <w:t>我部门</w:t>
      </w:r>
      <w:r>
        <w:rPr>
          <w:rFonts w:hint="eastAsia" w:ascii="仿宋" w:hAnsi="仿宋" w:eastAsia="仿宋" w:cs="仿宋"/>
          <w:kern w:val="0"/>
          <w:sz w:val="32"/>
          <w:szCs w:val="32"/>
        </w:rPr>
        <w:t>组织对</w:t>
      </w:r>
      <w:r>
        <w:rPr>
          <w:rFonts w:hint="eastAsia" w:ascii="仿宋" w:hAnsi="仿宋" w:eastAsia="仿宋" w:cs="仿宋"/>
          <w:color w:val="auto"/>
          <w:kern w:val="0"/>
          <w:sz w:val="32"/>
          <w:szCs w:val="32"/>
        </w:rPr>
        <w:t>202</w:t>
      </w:r>
      <w:r>
        <w:rPr>
          <w:rFonts w:hint="eastAsia" w:ascii="仿宋" w:hAnsi="仿宋" w:eastAsia="仿宋" w:cs="仿宋"/>
          <w:color w:val="auto"/>
          <w:kern w:val="0"/>
          <w:sz w:val="32"/>
          <w:szCs w:val="32"/>
          <w:lang w:val="en-US" w:eastAsia="zh-CN"/>
        </w:rPr>
        <w:t>5</w:t>
      </w:r>
      <w:r>
        <w:rPr>
          <w:rFonts w:hint="eastAsia" w:ascii="仿宋" w:hAnsi="仿宋" w:eastAsia="仿宋" w:cs="仿宋"/>
          <w:color w:val="auto"/>
          <w:kern w:val="0"/>
          <w:sz w:val="32"/>
          <w:szCs w:val="32"/>
        </w:rPr>
        <w:t>年度预算项目全面开展绩效自评。</w:t>
      </w:r>
      <w:r>
        <w:rPr>
          <w:rFonts w:hint="eastAsia" w:ascii="仿宋" w:hAnsi="仿宋" w:eastAsia="仿宋" w:cs="仿宋"/>
          <w:color w:val="auto"/>
          <w:sz w:val="32"/>
          <w:szCs w:val="32"/>
          <w:lang w:eastAsia="zh-CN"/>
        </w:rPr>
        <w:t>总体</w:t>
      </w:r>
      <w:r>
        <w:rPr>
          <w:rFonts w:hint="eastAsia" w:ascii="仿宋" w:hAnsi="仿宋" w:eastAsia="仿宋" w:cs="仿宋"/>
          <w:sz w:val="32"/>
          <w:szCs w:val="32"/>
        </w:rPr>
        <w:t>项目的</w:t>
      </w:r>
      <w:r>
        <w:rPr>
          <w:rFonts w:hint="eastAsia" w:ascii="仿宋" w:hAnsi="仿宋" w:eastAsia="仿宋" w:cs="仿宋"/>
          <w:sz w:val="32"/>
          <w:szCs w:val="32"/>
          <w:lang w:eastAsia="zh-CN"/>
        </w:rPr>
        <w:t>绩效</w:t>
      </w:r>
      <w:r>
        <w:rPr>
          <w:rFonts w:ascii="仿宋" w:hAnsi="仿宋" w:eastAsia="仿宋" w:cs="仿宋"/>
          <w:color w:val="000000"/>
          <w:kern w:val="0"/>
          <w:sz w:val="31"/>
          <w:szCs w:val="31"/>
          <w:lang w:val="en-US" w:eastAsia="zh-CN" w:bidi="ar"/>
        </w:rPr>
        <w:t>按计划基本完成，确保了</w:t>
      </w:r>
      <w:r>
        <w:rPr>
          <w:rFonts w:hint="eastAsia" w:ascii="仿宋" w:hAnsi="仿宋" w:eastAsia="仿宋" w:cs="仿宋"/>
          <w:color w:val="000000"/>
          <w:kern w:val="0"/>
          <w:sz w:val="31"/>
          <w:szCs w:val="31"/>
          <w:lang w:val="en-US" w:eastAsia="zh-CN" w:bidi="ar"/>
        </w:rPr>
        <w:t>各项工作正常运转和圆满完成，局属各单位及项目股室对各自项目指标完成情况进行了自检自查，各项工作均已完成，项目资金绩效评价自评为优秀。</w:t>
      </w:r>
    </w:p>
    <w:p w14:paraId="0DA70BDD">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0B2CC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普通干线公路养护</w:t>
      </w:r>
    </w:p>
    <w:p w14:paraId="51FBDE8A">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绩效目标：通过实施普通国省干线公路的预防性养护及沿线配套设施养护，使路面完好率及植被成活率较高，提升了公路运行质量，国省干线公路保持良好的服务水平。</w:t>
      </w:r>
    </w:p>
    <w:p w14:paraId="5F47BEED">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eastAsia="zh-CN"/>
        </w:rPr>
        <w:t>完成道路养护工程量327.97万平方米，养护道路12条，实际管护面积12.86万平方米，每天对道路进行4次养护，按期完成91座国省干线桥梁的检测，及时发现桥梁病害并采取措施消除安全隐患。购置34吨融雪剂，在国省干线全部播撒融雪剂，保证群众冬季出行顺畅。洗车点正常运行，保障城区空气质量，加强大气污染治理，降低大型货运车辆扬尘污染。</w:t>
      </w:r>
      <w:r>
        <w:rPr>
          <w:rFonts w:hint="eastAsia" w:ascii="仿宋_GB2312" w:hAnsi="仿宋_GB2312" w:eastAsia="仿宋_GB2312" w:cs="仿宋_GB2312"/>
          <w:b w:val="0"/>
          <w:bCs w:val="0"/>
          <w:sz w:val="32"/>
          <w:szCs w:val="32"/>
          <w:highlight w:val="none"/>
          <w:lang w:eastAsia="zh-CN"/>
        </w:rPr>
        <w:t>综合得分为</w:t>
      </w:r>
      <w:r>
        <w:rPr>
          <w:rFonts w:hint="default" w:ascii="仿宋_GB2312" w:hAnsi="仿宋_GB2312" w:eastAsia="仿宋_GB2312" w:cs="仿宋_GB2312"/>
          <w:b w:val="0"/>
          <w:bCs w:val="0"/>
          <w:sz w:val="32"/>
          <w:szCs w:val="32"/>
          <w:highlight w:val="none"/>
          <w:lang w:val="en-US" w:eastAsia="zh-CN"/>
        </w:rPr>
        <w:t>94</w:t>
      </w:r>
      <w:r>
        <w:rPr>
          <w:rFonts w:hint="eastAsia" w:ascii="仿宋_GB2312" w:hAnsi="仿宋_GB2312" w:eastAsia="仿宋_GB2312" w:cs="仿宋_GB2312"/>
          <w:b w:val="0"/>
          <w:bCs w:val="0"/>
          <w:sz w:val="32"/>
          <w:szCs w:val="32"/>
          <w:highlight w:val="none"/>
          <w:lang w:val="en-US" w:eastAsia="zh-CN"/>
        </w:rPr>
        <w:t>分。</w:t>
      </w:r>
    </w:p>
    <w:p w14:paraId="6477CA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2.农村公路建设养护</w:t>
      </w:r>
    </w:p>
    <w:p w14:paraId="766B589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绩效目标：通过实施农村公路改建工程、大中修工程和日常养护，优化农村公路路网结构和路况得到了优化和改善，鹿泉生态交通建设，提高公路运行质量，提升农村公路服务民生水平。</w:t>
      </w:r>
    </w:p>
    <w:p w14:paraId="5A487E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绩效指标：完成22条农村公路近157.7034万平方米的日常养护，提升公路运行质量，保证我区农村公路养护工作，防止货源车辆扬尘污染，改善空气环境质量，提高群众满意度。植被成活率达95%，桥梁结构安全事故发生0起，周边环境得以改善，促进当地经济发展，涉及修建道路的长期使用年限均达到8年以上。综合得分为100分。</w:t>
      </w:r>
    </w:p>
    <w:p w14:paraId="45463D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3.交通综合执法管理</w:t>
      </w:r>
    </w:p>
    <w:p w14:paraId="7FF298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绩效目标：开展交通运输综合执法工作，有效治理了超限运输，道路安全设施维护良好，保障了通行能力。</w:t>
      </w:r>
    </w:p>
    <w:p w14:paraId="60ABDA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lang w:val="en-US" w:eastAsia="zh-CN"/>
        </w:rPr>
        <w:t>保障307洗车场正常运行的运转，每月保障管辖范围内公路警示设施的完好数量占全部管理设施数量的比率大于90%、歧银线鹿泉站和兴阳线获鹿站利用不停车预检车道，有效治理超限超载，超限超载率不超过2%；保障公路安全设施完好；保障公路超限检测站正常运行。</w:t>
      </w:r>
      <w:r>
        <w:rPr>
          <w:rFonts w:hint="eastAsia" w:ascii="仿宋_GB2312" w:hAnsi="仿宋_GB2312" w:eastAsia="仿宋_GB2312" w:cs="仿宋_GB2312"/>
          <w:sz w:val="32"/>
          <w:szCs w:val="32"/>
          <w:highlight w:val="none"/>
          <w:lang w:val="en-US" w:eastAsia="zh-CN"/>
        </w:rPr>
        <w:t>综合评分</w:t>
      </w:r>
      <w:r>
        <w:rPr>
          <w:rFonts w:hint="default"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lang w:val="en-US" w:eastAsia="zh-CN"/>
        </w:rPr>
        <w:t>分。</w:t>
      </w:r>
    </w:p>
    <w:p w14:paraId="6B7F42F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公共交通运输管理</w:t>
      </w:r>
    </w:p>
    <w:p w14:paraId="57E15A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5348A4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default" w:ascii="仿宋_GB2312" w:hAnsi="仿宋_GB2312" w:eastAsia="仿宋_GB2312" w:cs="仿宋_GB2312"/>
          <w:sz w:val="32"/>
          <w:szCs w:val="32"/>
          <w:lang w:val="en-US" w:eastAsia="zh-CN"/>
        </w:rPr>
        <w:t>对我区主城区以外的409块公交站牌和33座公交站亭进行维护保洁，进一步完善全区环境卫生，助力卫生城市创建，形成常态化管</w:t>
      </w:r>
      <w:r>
        <w:rPr>
          <w:rFonts w:hint="eastAsia" w:ascii="仿宋_GB2312" w:hAnsi="仿宋_GB2312" w:eastAsia="仿宋_GB2312" w:cs="仿宋_GB2312"/>
          <w:sz w:val="32"/>
          <w:szCs w:val="32"/>
          <w:lang w:val="en-US" w:eastAsia="zh-CN"/>
        </w:rPr>
        <w:t>理；</w:t>
      </w:r>
      <w:r>
        <w:rPr>
          <w:rFonts w:hint="default" w:ascii="仿宋_GB2312" w:hAnsi="仿宋_GB2312" w:eastAsia="仿宋_GB2312" w:cs="仿宋_GB2312"/>
          <w:sz w:val="32"/>
          <w:szCs w:val="32"/>
          <w:lang w:val="en-US" w:eastAsia="zh-CN"/>
        </w:rPr>
        <w:t>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对巡游出租车进行运营补贴，维护出租行业稳定。推进城乡客运公共服务均等化，强化农村客运安全运营，为人民群众提供安全、便捷出行服务。</w:t>
      </w:r>
      <w:r>
        <w:rPr>
          <w:rFonts w:hint="eastAsia" w:ascii="仿宋_GB2312" w:hAnsi="仿宋_GB2312" w:eastAsia="仿宋_GB2312" w:cs="仿宋_GB2312"/>
          <w:sz w:val="32"/>
          <w:szCs w:val="32"/>
          <w:lang w:val="en-US" w:eastAsia="zh-CN"/>
        </w:rPr>
        <w:t>推进我区19辆农村客运车辆城乡客运公共服务均等化，强化农村客运安全运营。</w:t>
      </w:r>
      <w:r>
        <w:rPr>
          <w:rFonts w:hint="eastAsia" w:ascii="仿宋_GB2312" w:hAnsi="仿宋_GB2312" w:eastAsia="仿宋_GB2312" w:cs="仿宋_GB2312"/>
          <w:b w:val="0"/>
          <w:bCs w:val="0"/>
          <w:sz w:val="32"/>
          <w:szCs w:val="32"/>
          <w:highlight w:val="none"/>
          <w:lang w:eastAsia="zh-CN"/>
        </w:rPr>
        <w:t>综合得分为</w:t>
      </w:r>
      <w:r>
        <w:rPr>
          <w:rFonts w:hint="eastAsia" w:ascii="仿宋_GB2312" w:hAnsi="仿宋_GB2312" w:eastAsia="仿宋_GB2312" w:cs="仿宋_GB2312"/>
          <w:b w:val="0"/>
          <w:bCs w:val="0"/>
          <w:sz w:val="32"/>
          <w:szCs w:val="32"/>
          <w:highlight w:val="none"/>
          <w:lang w:val="en-US" w:eastAsia="zh-CN"/>
        </w:rPr>
        <w:t>100分。</w:t>
      </w:r>
    </w:p>
    <w:p w14:paraId="3D09D81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综合事务管理</w:t>
      </w:r>
    </w:p>
    <w:p w14:paraId="31F17B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绩效目标：对铁路环境安全隐患进行整治，保障铁路沿线两侧环境安全；完成山前大道PPP项目委托跟踪审计和最终审计工作。</w:t>
      </w:r>
    </w:p>
    <w:p w14:paraId="478AB0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铁路沿线两侧500米范围内整治长度不少于77.75公里，安全隐患整治率为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%；已出具6篇山前大道PPP项目委托跟踪审计报告、2本最终审计报告，确保山前大道总投资合理，准确，为支付可用性服务费提供了准确金额。</w:t>
      </w:r>
      <w:r>
        <w:rPr>
          <w:rFonts w:hint="eastAsia" w:ascii="仿宋_GB2312" w:hAnsi="仿宋_GB2312" w:eastAsia="仿宋_GB2312" w:cs="仿宋_GB2312"/>
          <w:b w:val="0"/>
          <w:bCs w:val="0"/>
          <w:sz w:val="32"/>
          <w:szCs w:val="32"/>
          <w:lang w:eastAsia="zh-CN"/>
        </w:rPr>
        <w:t>综合得分为</w:t>
      </w:r>
      <w:r>
        <w:rPr>
          <w:rFonts w:hint="default" w:ascii="仿宋_GB2312" w:hAnsi="仿宋_GB2312" w:eastAsia="仿宋_GB2312" w:cs="仿宋_GB2312"/>
          <w:b w:val="0"/>
          <w:bCs w:val="0"/>
          <w:sz w:val="32"/>
          <w:szCs w:val="32"/>
          <w:highlight w:val="none"/>
          <w:lang w:val="en-US" w:eastAsia="zh-CN"/>
        </w:rPr>
        <w:t>90</w:t>
      </w:r>
      <w:r>
        <w:rPr>
          <w:rFonts w:hint="eastAsia" w:ascii="仿宋_GB2312" w:hAnsi="仿宋_GB2312" w:eastAsia="仿宋_GB2312" w:cs="仿宋_GB2312"/>
          <w:b w:val="0"/>
          <w:bCs w:val="0"/>
          <w:sz w:val="32"/>
          <w:szCs w:val="32"/>
          <w:highlight w:val="none"/>
          <w:lang w:val="en-US" w:eastAsia="zh-CN"/>
        </w:rPr>
        <w:t>分</w:t>
      </w:r>
      <w:r>
        <w:rPr>
          <w:rFonts w:hint="eastAsia" w:ascii="仿宋_GB2312" w:hAnsi="仿宋_GB2312" w:eastAsia="仿宋_GB2312" w:cs="仿宋_GB2312"/>
          <w:b w:val="0"/>
          <w:bCs w:val="0"/>
          <w:sz w:val="32"/>
          <w:szCs w:val="32"/>
          <w:lang w:val="en-US" w:eastAsia="zh-CN"/>
        </w:rPr>
        <w:t>。</w:t>
      </w:r>
    </w:p>
    <w:p w14:paraId="4404B6D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4BD3D0A">
      <w:pPr>
        <w:pageBreakBefore w:val="0"/>
        <w:kinsoku/>
        <w:wordWrap/>
        <w:overflowPunct/>
        <w:topLinePunct w:val="0"/>
        <w:autoSpaceDE/>
        <w:autoSpaceDN/>
        <w:bidi w:val="0"/>
        <w:spacing w:line="560" w:lineRule="exact"/>
        <w:ind w:firstLine="640" w:firstLineChars="200"/>
        <w:rPr>
          <w:rFonts w:hint="eastAsia" w:ascii="仿宋" w:hAnsi="仿宋" w:eastAsia="仿宋_GB2312"/>
          <w:sz w:val="32"/>
          <w:szCs w:val="32"/>
          <w:highlight w:val="none"/>
          <w:lang w:eastAsia="zh-CN"/>
        </w:rPr>
      </w:pPr>
      <w:r>
        <w:rPr>
          <w:rFonts w:hint="eastAsia" w:ascii="仿宋_GB2312" w:hAnsi="仿宋_GB2312" w:eastAsia="仿宋_GB2312" w:cs="仿宋_GB2312"/>
          <w:sz w:val="32"/>
          <w:szCs w:val="32"/>
          <w:highlight w:val="none"/>
        </w:rPr>
        <w:t>根据部门职责定位和各项工作履职情况进行综合评价，</w:t>
      </w:r>
      <w:r>
        <w:rPr>
          <w:rFonts w:hint="eastAsia" w:ascii="仿宋_GB2312" w:hAnsi="仿宋_GB2312" w:eastAsia="仿宋_GB2312" w:cs="仿宋_GB2312"/>
          <w:sz w:val="32"/>
          <w:szCs w:val="32"/>
          <w:highlight w:val="none"/>
          <w:lang w:val="en-US" w:eastAsia="zh-CN"/>
        </w:rPr>
        <w:t>20</w:t>
      </w:r>
      <w:r>
        <w:rPr>
          <w:rFonts w:hint="default" w:ascii="仿宋_GB2312" w:hAnsi="仿宋_GB2312" w:eastAsia="仿宋_GB2312" w:cs="仿宋_GB2312"/>
          <w:sz w:val="32"/>
          <w:szCs w:val="32"/>
          <w:highlight w:val="none"/>
          <w:lang w:val="en-US" w:eastAsia="zh-CN"/>
        </w:rPr>
        <w:t>25</w:t>
      </w:r>
      <w:r>
        <w:rPr>
          <w:rFonts w:hint="eastAsia" w:ascii="仿宋_GB2312" w:hAnsi="仿宋_GB2312" w:eastAsia="仿宋_GB2312" w:cs="仿宋_GB2312"/>
          <w:sz w:val="32"/>
          <w:szCs w:val="32"/>
          <w:highlight w:val="none"/>
          <w:lang w:val="en-US" w:eastAsia="zh-CN"/>
        </w:rPr>
        <w:t>年预算项目绩效自评得分为92</w:t>
      </w:r>
      <w:r>
        <w:rPr>
          <w:rFonts w:hint="eastAsia" w:ascii="仿宋_GB2312" w:hAnsi="仿宋_GB2312" w:eastAsia="仿宋_GB2312" w:cs="仿宋_GB2312"/>
          <w:sz w:val="32"/>
          <w:szCs w:val="32"/>
          <w:highlight w:val="none"/>
        </w:rPr>
        <w:t>分，综合绩效评价等级</w:t>
      </w:r>
      <w:r>
        <w:rPr>
          <w:rFonts w:hint="eastAsia" w:ascii="仿宋_GB2312" w:hAnsi="仿宋_GB2312" w:eastAsia="仿宋_GB2312" w:cs="仿宋_GB2312"/>
          <w:sz w:val="32"/>
          <w:szCs w:val="32"/>
          <w:highlight w:val="none"/>
          <w:lang w:eastAsia="zh-CN"/>
        </w:rPr>
        <w:t>为优秀</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（我部门因项目较多，单独公开评价表格，不再在报告中列示。）</w:t>
      </w:r>
    </w:p>
    <w:p w14:paraId="684B904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2EB27D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E5C98A5">
      <w:pPr>
        <w:pageBreakBefore w:val="0"/>
        <w:kinsoku/>
        <w:wordWrap/>
        <w:overflowPunct/>
        <w:topLinePunct w:val="0"/>
        <w:autoSpaceDE/>
        <w:autoSpaceDN/>
        <w:bidi w:val="0"/>
        <w:adjustRightInd w:val="0"/>
        <w:snapToGrid w:val="0"/>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rPr>
        <w:t>通过绩效自评结果对比年初绩效目标设定情况看，年初设定的绩效目标整体清晰准确，绩效指标全面完整、科学合理，绩效标准恰当适宜、易于评价。但是</w:t>
      </w:r>
      <w:r>
        <w:rPr>
          <w:rFonts w:hint="eastAsia" w:ascii="仿宋_GB2312" w:hAnsi="仿宋_GB2312" w:eastAsia="仿宋_GB2312" w:cs="仿宋_GB2312"/>
          <w:sz w:val="32"/>
          <w:szCs w:val="32"/>
          <w:lang w:eastAsia="zh-CN"/>
        </w:rPr>
        <w:t>，</w:t>
      </w:r>
      <w:r>
        <w:rPr>
          <w:rFonts w:hint="eastAsia" w:ascii="仿宋_GB2312" w:hAnsi="Calibri" w:eastAsia="仿宋_GB2312" w:cs="黑体"/>
          <w:kern w:val="2"/>
          <w:sz w:val="32"/>
          <w:szCs w:val="32"/>
          <w:lang w:val="en-US" w:eastAsia="zh-CN" w:bidi="ar-SA"/>
        </w:rPr>
        <w:t>个别项目由于不可抗拒原因，未完全按年初计划完成，影响了工作任务和绩效指标的完成</w:t>
      </w:r>
      <w:r>
        <w:rPr>
          <w:rFonts w:hint="eastAsia" w:ascii="宋体" w:hAnsi="宋体" w:eastAsia="仿宋"/>
          <w:sz w:val="32"/>
          <w:szCs w:val="32"/>
          <w:lang w:val="en-US" w:eastAsia="zh-CN"/>
        </w:rPr>
        <w:t>。</w:t>
      </w:r>
    </w:p>
    <w:p w14:paraId="3E37E5EB">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4A9F4C5">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合理设置绩效目标，突出预算编制环节绩效导向，从源头上提高预算编制的科学性和精准性，做好</w:t>
      </w:r>
      <w:r>
        <w:rPr>
          <w:rFonts w:hint="eastAsia" w:ascii="仿宋_GB2312" w:hAnsi="仿宋_GB2312" w:eastAsia="仿宋_GB2312" w:cs="仿宋_GB2312"/>
          <w:bCs/>
          <w:sz w:val="32"/>
          <w:szCs w:val="32"/>
          <w:lang w:eastAsia="zh-CN"/>
        </w:rPr>
        <w:t>以后年度</w:t>
      </w:r>
      <w:r>
        <w:rPr>
          <w:rFonts w:hint="eastAsia" w:ascii="仿宋_GB2312" w:hAnsi="仿宋_GB2312" w:eastAsia="仿宋_GB2312" w:cs="仿宋_GB2312"/>
          <w:bCs/>
          <w:sz w:val="32"/>
          <w:szCs w:val="32"/>
        </w:rPr>
        <w:t>预算项目绩效目标管理</w:t>
      </w:r>
      <w:r>
        <w:rPr>
          <w:rFonts w:hint="eastAsia" w:ascii="仿宋_GB2312" w:hAnsi="仿宋_GB2312" w:eastAsia="仿宋_GB2312" w:cs="仿宋_GB2312"/>
          <w:bCs/>
          <w:sz w:val="32"/>
          <w:szCs w:val="32"/>
          <w:lang w:eastAsia="zh-CN"/>
        </w:rPr>
        <w:t>，同时</w:t>
      </w:r>
      <w:r>
        <w:rPr>
          <w:rFonts w:hint="eastAsia" w:ascii="仿宋_GB2312" w:hAnsi="仿宋_GB2312" w:eastAsia="仿宋_GB2312" w:cs="仿宋_GB2312"/>
          <w:bCs/>
          <w:sz w:val="32"/>
          <w:szCs w:val="32"/>
        </w:rPr>
        <w:t>强化评价结果应用，逐步形成反馈、整改、提升绩效的良性循环。</w:t>
      </w:r>
    </w:p>
    <w:p w14:paraId="74EC7453">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建议组织相关部门人员统一进行培训，提高绩效评价报告的编报水平。同时规范</w:t>
      </w:r>
      <w:r>
        <w:rPr>
          <w:rFonts w:hint="eastAsia" w:ascii="仿宋_GB2312" w:hAnsi="仿宋_GB2312" w:eastAsia="仿宋_GB2312" w:cs="仿宋_GB2312"/>
          <w:sz w:val="32"/>
          <w:szCs w:val="32"/>
          <w:lang w:eastAsia="zh-CN"/>
        </w:rPr>
        <w:t>各预算</w:t>
      </w:r>
      <w:r>
        <w:rPr>
          <w:rFonts w:hint="eastAsia" w:ascii="仿宋_GB2312" w:hAnsi="仿宋_GB2312" w:eastAsia="仿宋_GB2312" w:cs="仿宋_GB2312"/>
          <w:sz w:val="32"/>
          <w:szCs w:val="32"/>
        </w:rPr>
        <w:t>项目指标、完善</w:t>
      </w:r>
      <w:r>
        <w:rPr>
          <w:rFonts w:hint="eastAsia" w:ascii="仿宋_GB2312" w:hAnsi="仿宋_GB2312" w:eastAsia="仿宋_GB2312" w:cs="仿宋_GB2312"/>
          <w:sz w:val="32"/>
          <w:szCs w:val="32"/>
          <w:lang w:eastAsia="zh-CN"/>
        </w:rPr>
        <w:t>特殊项目的</w:t>
      </w:r>
      <w:r>
        <w:rPr>
          <w:rFonts w:hint="eastAsia" w:ascii="仿宋_GB2312" w:hAnsi="仿宋_GB2312" w:eastAsia="仿宋_GB2312" w:cs="仿宋_GB2312"/>
          <w:sz w:val="32"/>
          <w:szCs w:val="32"/>
        </w:rPr>
        <w:t>评价指标，以期合理对</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项目进行评价</w:t>
      </w:r>
      <w:r>
        <w:rPr>
          <w:rFonts w:hint="eastAsia" w:ascii="仿宋_GB2312" w:hAnsi="仿宋_GB2312" w:eastAsia="仿宋_GB2312" w:cs="仿宋_GB2312"/>
          <w:sz w:val="32"/>
          <w:szCs w:val="32"/>
          <w:lang w:eastAsia="zh-CN"/>
        </w:rPr>
        <w:t>。</w:t>
      </w:r>
    </w:p>
    <w:p w14:paraId="1248F314">
      <w:pPr>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在预算编制过程中要做到提前谋划，明确任务，考虑周全，应编尽编。进一步加强预算绩效管理意识，确保绩效目标符合规定要求，在项目实施过程中加强绩效指标的追踪分析，让绩效指标切实起到项目监控的功能。</w:t>
      </w:r>
    </w:p>
    <w:p w14:paraId="55F29A77">
      <w:pPr>
        <w:pageBreakBefore w:val="0"/>
        <w:kinsoku/>
        <w:wordWrap/>
        <w:overflowPunct/>
        <w:topLinePunct w:val="0"/>
        <w:autoSpaceDE/>
        <w:autoSpaceDN/>
        <w:bidi w:val="0"/>
        <w:spacing w:line="560" w:lineRule="exact"/>
        <w:ind w:firstLine="640" w:firstLineChars="200"/>
        <w:rPr>
          <w:rFonts w:hint="default" w:ascii="仿宋_GB2312" w:hAnsi="仿宋_GB2312" w:eastAsia="仿宋_GB2312" w:cs="仿宋_GB2312"/>
          <w:sz w:val="32"/>
          <w:szCs w:val="32"/>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思源黑体"/>
    <w:panose1 w:val="02010600030101010101"/>
    <w:charset w:val="7A"/>
    <w:family w:val="auto"/>
    <w:pitch w:val="default"/>
    <w:sig w:usb0="00000000" w:usb1="0000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CESI黑体-GB13000"/>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CESI黑体-GB13000">
    <w:panose1 w:val="02000500000000000000"/>
    <w:charset w:val="86"/>
    <w:family w:val="auto"/>
    <w:pitch w:val="default"/>
    <w:sig w:usb0="800002BF" w:usb1="38CF7CF8" w:usb2="00000016" w:usb3="00000000" w:csb0="0004000F" w:csb1="00000000"/>
  </w:font>
  <w:font w:name="方正仿宋_GBK">
    <w:altName w:val="方正仿宋_GB18030"/>
    <w:panose1 w:val="02000000000000000000"/>
    <w:charset w:val="86"/>
    <w:family w:val="roman"/>
    <w:pitch w:val="default"/>
    <w:sig w:usb0="00000000" w:usb1="00000000" w:usb2="00082016" w:usb3="00000000" w:csb0="00040001" w:csb1="00000000"/>
  </w:font>
  <w:font w:name="方正仿宋_GB18030">
    <w:panose1 w:val="02000000000000000000"/>
    <w:charset w:val="86"/>
    <w:family w:val="auto"/>
    <w:pitch w:val="default"/>
    <w:sig w:usb0="00000001" w:usb1="08000000" w:usb2="00000000" w:usb3="00000000" w:csb0="00040000" w:csb1="00000000"/>
  </w:font>
  <w:font w:name="方正书宋_GBK">
    <w:altName w:val="思源黑体"/>
    <w:panose1 w:val="00000000000000000000"/>
    <w:charset w:val="86"/>
    <w:family w:val="roman"/>
    <w:pitch w:val="default"/>
    <w:sig w:usb0="00000000" w:usb1="00000000" w:usb2="00000000" w:usb3="00000000" w:csb0="00000000" w:csb1="00000000"/>
  </w:font>
  <w:font w:name="华文楷体">
    <w:altName w:val="思源黑体"/>
    <w:panose1 w:val="02010600040101010101"/>
    <w:charset w:val="86"/>
    <w:family w:val="auto"/>
    <w:pitch w:val="default"/>
    <w:sig w:usb0="00000000" w:usb1="00000000" w:usb2="00000000" w:usb3="00000000" w:csb0="0004009F" w:csb1="DFD70000"/>
  </w:font>
  <w:font w:name="仿宋">
    <w:altName w:val="方正仿宋_GB18030"/>
    <w:panose1 w:val="02010609060101010101"/>
    <w:charset w:val="86"/>
    <w:family w:val="modern"/>
    <w:pitch w:val="default"/>
    <w:sig w:usb0="00000000" w:usb1="00000000" w:usb2="00000016" w:usb3="00000000" w:csb0="00040001" w:csb1="00000000"/>
  </w:font>
  <w:font w:name="楷体">
    <w:altName w:val="CESI楷体-GB13000"/>
    <w:panose1 w:val="02010609060101010101"/>
    <w:charset w:val="86"/>
    <w:family w:val="modern"/>
    <w:pitch w:val="default"/>
    <w:sig w:usb0="00000000" w:usb1="00000000" w:usb2="00000016" w:usb3="00000000" w:csb0="00040001" w:csb1="00000000"/>
  </w:font>
  <w:font w:name="CESI楷体-GB13000">
    <w:panose1 w:val="02000500000000000000"/>
    <w:charset w:val="86"/>
    <w:family w:val="auto"/>
    <w:pitch w:val="default"/>
    <w:sig w:usb0="800002BF" w:usb1="38CF7CF8" w:usb2="00000016" w:usb3="00000000" w:csb0="0004000F" w:csb1="00000000"/>
  </w:font>
  <w:font w:name="楷体_GB2312">
    <w:altName w:val="CESI楷体-GB13000"/>
    <w:panose1 w:val="02010609030101010101"/>
    <w:charset w:val="86"/>
    <w:family w:val="modern"/>
    <w:pitch w:val="default"/>
    <w:sig w:usb0="00000000" w:usb1="00000000" w:usb2="00000000" w:usb3="00000000" w:csb0="00040000" w:csb1="00000000"/>
  </w:font>
  <w:font w:name="仿宋_GB2312">
    <w:altName w:val="方正仿宋_GB18030"/>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3BE3CB">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5984B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D1D4D36"/>
    <w:multiLevelType w:val="singleLevel"/>
    <w:tmpl w:val="0D1D4D36"/>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0D207FD"/>
    <w:rsid w:val="11B71E6A"/>
    <w:rsid w:val="1A1F019A"/>
    <w:rsid w:val="1AAF0063"/>
    <w:rsid w:val="1BE140DE"/>
    <w:rsid w:val="1D263B34"/>
    <w:rsid w:val="248C197D"/>
    <w:rsid w:val="252959AF"/>
    <w:rsid w:val="277A6671"/>
    <w:rsid w:val="292D35B7"/>
    <w:rsid w:val="2EF82792"/>
    <w:rsid w:val="32817910"/>
    <w:rsid w:val="33EB6CFF"/>
    <w:rsid w:val="35A12947"/>
    <w:rsid w:val="37387040"/>
    <w:rsid w:val="387C2033"/>
    <w:rsid w:val="39885D54"/>
    <w:rsid w:val="3B625C0A"/>
    <w:rsid w:val="3CEE1963"/>
    <w:rsid w:val="436B78D3"/>
    <w:rsid w:val="4C9C27FE"/>
    <w:rsid w:val="512260B4"/>
    <w:rsid w:val="52BD6ACB"/>
    <w:rsid w:val="55537534"/>
    <w:rsid w:val="561A74F1"/>
    <w:rsid w:val="577FF2D9"/>
    <w:rsid w:val="597244E8"/>
    <w:rsid w:val="5EB71C30"/>
    <w:rsid w:val="5F352653"/>
    <w:rsid w:val="66AF0CE5"/>
    <w:rsid w:val="6AC537CF"/>
    <w:rsid w:val="6E5B14A6"/>
    <w:rsid w:val="6F7F9084"/>
    <w:rsid w:val="703628D9"/>
    <w:rsid w:val="711B255E"/>
    <w:rsid w:val="74EC1793"/>
    <w:rsid w:val="78982C3A"/>
    <w:rsid w:val="7BB51E06"/>
    <w:rsid w:val="7C387F7C"/>
    <w:rsid w:val="7F8F2C42"/>
    <w:rsid w:val="7FE78911"/>
    <w:rsid w:val="7FE83423"/>
    <w:rsid w:val="AAB6989B"/>
    <w:rsid w:val="ABFF013C"/>
    <w:rsid w:val="B5FD4B7D"/>
    <w:rsid w:val="BF6F3C62"/>
    <w:rsid w:val="BFFFC1FB"/>
    <w:rsid w:val="DE791D04"/>
    <w:rsid w:val="E4D6D742"/>
    <w:rsid w:val="EFF6E4B0"/>
    <w:rsid w:val="F13F453D"/>
    <w:rsid w:val="F7ECAA84"/>
    <w:rsid w:val="F7FF7394"/>
    <w:rsid w:val="FBB72BAC"/>
    <w:rsid w:val="FCBFF41D"/>
    <w:rsid w:val="FFB790D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line="500" w:lineRule="exact"/>
      <w:ind w:firstLine="560"/>
    </w:pPr>
    <w:rPr>
      <w:rFonts w:eastAsia="方正仿宋_GBK"/>
      <w:sz w:val="28"/>
    </w:rPr>
  </w:style>
  <w:style w:type="paragraph" w:customStyle="1" w:styleId="7">
    <w:name w:val="单元格样式1"/>
    <w:basedOn w:val="1"/>
    <w:qFormat/>
    <w:uiPriority w:val="0"/>
    <w:pPr>
      <w:jc w:val="center"/>
    </w:pPr>
    <w:rPr>
      <w:rFonts w:ascii="方正书宋_GBK" w:hAnsi="方正书宋_GBK" w:eastAsia="方正书宋_GBK" w:cs="方正书宋_GBK"/>
      <w:b/>
      <w:sz w:val="21"/>
    </w:rPr>
  </w:style>
  <w:style w:type="paragraph" w:customStyle="1" w:styleId="8">
    <w:name w:val="单元格样式2"/>
    <w:basedOn w:val="1"/>
    <w:qFormat/>
    <w:uiPriority w:val="0"/>
    <w:rPr>
      <w:rFonts w:ascii="方正书宋_GBK" w:hAnsi="方正书宋_GBK" w:eastAsia="方正书宋_GBK" w:cs="方正书宋_GBK"/>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插入文本样式-插入总体目标文件"/>
    <w:basedOn w:val="1"/>
    <w:qFormat/>
    <w:uiPriority w:val="0"/>
    <w:pPr>
      <w:spacing w:line="500" w:lineRule="exact"/>
      <w:ind w:firstLine="560"/>
    </w:pPr>
    <w:rPr>
      <w:rFonts w:eastAsia="方正仿宋_GBK"/>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 w:type="character" w:customStyle="1" w:styleId="12">
    <w:name w:val="font41"/>
    <w:basedOn w:val="5"/>
    <w:qFormat/>
    <w:uiPriority w:val="0"/>
    <w:rPr>
      <w:rFonts w:hint="default" w:ascii="Calibri" w:hAnsi="Calibri" w:cs="Calibri"/>
      <w:color w:val="000000"/>
      <w:sz w:val="22"/>
      <w:szCs w:val="22"/>
      <w:u w:val="none"/>
    </w:rPr>
  </w:style>
  <w:style w:type="character" w:customStyle="1" w:styleId="13">
    <w:name w:val="font3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4926</Words>
  <Characters>5135</Characters>
  <Lines>4</Lines>
  <Paragraphs>1</Paragraphs>
  <TotalTime>47</TotalTime>
  <ScaleCrop>false</ScaleCrop>
  <LinksUpToDate>false</LinksUpToDate>
  <CharactersWithSpaces>5222</CharactersWithSpaces>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2020-02-08T19:46:00Z</dcterms:created>
  <dc:creator>欣欣大人</dc:creator>
  <cp:lastModifiedBy>月</cp:lastModifiedBy>
  <cp:lastPrinted>2026-05-07T02:41:00Z</cp:lastPrinted>
  <dcterms:modified xsi:type="dcterms:W3CDTF">2026-05-19T14:09:12Z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96934721B1514D3FBAA28020338CE855_12</vt:lpwstr>
  </property>
  <property fmtid="{D5CDD505-2E9C-101B-9397-08002B2CF9AE}" pid="4" name="KSOTemplateDocerSaveRecord">
    <vt:lpwstr>eyJoZGlkIjoiOGMwYzRkMzc1YjkyYjE4YzNmY2NlMmE3NTkzYTQwYmYiLCJ1c2VySWQiOiI1ODM1MDgxNDMifQ==</vt:lpwstr>
  </property>
</Properties>
</file>