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石家庄市自然资源和规划局鹿泉分局</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石家庄市自然资源和规划局鹿泉分局</w:t>
      </w:r>
      <w:r>
        <w:rPr>
          <w:rFonts w:hint="eastAsia" w:ascii="仿宋" w:hAnsi="仿宋" w:eastAsia="仿宋"/>
          <w:sz w:val="32"/>
          <w:szCs w:val="32"/>
        </w:rPr>
        <w:t>部门</w:t>
      </w:r>
      <w:r>
        <w:rPr>
          <w:rFonts w:hint="eastAsia" w:ascii="仿宋" w:hAnsi="仿宋" w:eastAsia="仿宋"/>
          <w:sz w:val="32"/>
          <w:szCs w:val="32"/>
          <w:lang w:val="en-US" w:eastAsia="zh-CN"/>
        </w:rPr>
        <w:t>2025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0"/>
        <w:rPr>
          <w:rFonts w:hint="eastAsia" w:ascii="仿宋" w:hAnsi="仿宋" w:eastAsia="仿宋" w:cs="仿宋"/>
          <w:sz w:val="32"/>
          <w:szCs w:val="24"/>
        </w:rPr>
      </w:pPr>
      <w:r>
        <w:rPr>
          <w:rFonts w:hint="eastAsia" w:ascii="仿宋" w:hAnsi="仿宋" w:eastAsia="仿宋" w:cs="仿宋"/>
          <w:sz w:val="32"/>
          <w:szCs w:val="24"/>
        </w:rPr>
        <w:t>根据《石家庄市自然资源和规划局鹿泉分局职能配置、内设机构和人员编制规定》，石家庄市自然资源和规划局鹿泉分局的主要职责是：</w:t>
      </w:r>
    </w:p>
    <w:p>
      <w:pPr>
        <w:pStyle w:val="10"/>
        <w:rPr>
          <w:rFonts w:hint="eastAsia" w:ascii="仿宋" w:hAnsi="仿宋" w:eastAsia="仿宋" w:cs="仿宋"/>
          <w:sz w:val="32"/>
          <w:szCs w:val="24"/>
        </w:rPr>
      </w:pPr>
      <w:r>
        <w:rPr>
          <w:rFonts w:hint="eastAsia" w:ascii="仿宋" w:hAnsi="仿宋" w:eastAsia="仿宋" w:cs="仿宋"/>
          <w:sz w:val="32"/>
          <w:szCs w:val="24"/>
        </w:rPr>
        <w:t>（一）履行全民所有土地、矿产、湿地、水等自然资源资产所有者职责和所有国土空间用途管制职责。监督检查自然资源、空间资源、国土空间规划及测绘、林业和草原等法律法规的执行情况。探索城乡统筹发展模式，推动全区城乡一体化进程。</w:t>
      </w:r>
    </w:p>
    <w:p>
      <w:pPr>
        <w:pStyle w:val="10"/>
        <w:rPr>
          <w:rFonts w:hint="eastAsia" w:ascii="仿宋" w:hAnsi="仿宋" w:eastAsia="仿宋" w:cs="仿宋"/>
          <w:sz w:val="32"/>
          <w:szCs w:val="24"/>
        </w:rPr>
      </w:pPr>
      <w:r>
        <w:rPr>
          <w:rFonts w:hint="eastAsia" w:ascii="仿宋" w:hAnsi="仿宋" w:eastAsia="仿宋" w:cs="仿宋"/>
          <w:sz w:val="32"/>
          <w:szCs w:val="24"/>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湿地和陆生野生动物植物资源动态监测与评价。</w:t>
      </w:r>
    </w:p>
    <w:p>
      <w:pPr>
        <w:pStyle w:val="10"/>
        <w:rPr>
          <w:rFonts w:hint="eastAsia" w:ascii="仿宋" w:hAnsi="仿宋" w:eastAsia="仿宋" w:cs="仿宋"/>
          <w:sz w:val="32"/>
          <w:szCs w:val="24"/>
        </w:rPr>
      </w:pPr>
      <w:r>
        <w:rPr>
          <w:rFonts w:hint="eastAsia" w:ascii="仿宋" w:hAnsi="仿宋" w:eastAsia="仿宋" w:cs="仿宋"/>
          <w:sz w:val="32"/>
          <w:szCs w:val="24"/>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pPr>
        <w:pStyle w:val="10"/>
        <w:rPr>
          <w:rFonts w:hint="eastAsia" w:ascii="仿宋" w:hAnsi="仿宋" w:eastAsia="仿宋" w:cs="仿宋"/>
          <w:sz w:val="32"/>
          <w:szCs w:val="24"/>
        </w:rPr>
      </w:pPr>
      <w:r>
        <w:rPr>
          <w:rFonts w:hint="eastAsia" w:ascii="仿宋" w:hAnsi="仿宋" w:eastAsia="仿宋" w:cs="仿宋"/>
          <w:sz w:val="32"/>
          <w:szCs w:val="24"/>
        </w:rPr>
        <w:t>（四）负责全区自然资源资产有偿使用工作。贯彻执行国家和省、市全民所有自然资源资产统计制度，负责全民所有自然资源资产核算。编制全民所有自然资源资产负债表。贯彻执行全民所有自然资源资产划拨、出让、租赁、作价出资和土地储备政策，合理配置全民所有自然资源资产。负责自然资源资产价值评估管理，依法收缴相关资产收益。自然资源的公开出让工作按照冀政办函〔2013〕90号《河北省公共资源交易市场监督管理办法》（试行）执行。</w:t>
      </w:r>
    </w:p>
    <w:p>
      <w:pPr>
        <w:pStyle w:val="10"/>
        <w:rPr>
          <w:rFonts w:hint="eastAsia" w:ascii="仿宋" w:hAnsi="仿宋" w:eastAsia="仿宋" w:cs="仿宋"/>
          <w:sz w:val="32"/>
          <w:szCs w:val="24"/>
        </w:rPr>
      </w:pPr>
      <w:r>
        <w:rPr>
          <w:rFonts w:hint="eastAsia" w:ascii="仿宋" w:hAnsi="仿宋" w:eastAsia="仿宋" w:cs="仿宋"/>
          <w:sz w:val="32"/>
          <w:szCs w:val="24"/>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pPr>
        <w:pStyle w:val="10"/>
        <w:rPr>
          <w:rFonts w:hint="eastAsia" w:ascii="仿宋" w:hAnsi="仿宋" w:eastAsia="仿宋" w:cs="仿宋"/>
          <w:sz w:val="32"/>
          <w:szCs w:val="24"/>
        </w:rPr>
      </w:pPr>
      <w:r>
        <w:rPr>
          <w:rFonts w:hint="eastAsia" w:ascii="仿宋" w:hAnsi="仿宋" w:eastAsia="仿宋" w:cs="仿宋"/>
          <w:sz w:val="32"/>
          <w:szCs w:val="24"/>
        </w:rPr>
        <w:t>（六）负责建立全区空间规划体系并监督实施。推进主体功能区战略和制度，组织编制并监督实施国土空间规划、详细规划和相关专项规划；组织编制主城区内控制性详细规划、重要地块的修建性详细规划、城市风貌和重要专项规划；组织编制并实施主体功能区规划职责；拟订全区林地保护利用规划并组织实施，监督执行采伐限额；管理区属国有林场森林资源；拟订全区湿地生态保护修复规划并组织实施，监督管理湿地的开发利用。承担由区政府组织制定的近期建设规划的具体工作。会同有关部门做好历史文化名城（镇、村）的保护和监督管理工作。开展国土空间开发适宜性评价，建立国土空间规划实施监测、评估和预警体系。组织划定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pPr>
        <w:pStyle w:val="10"/>
        <w:rPr>
          <w:rFonts w:hint="eastAsia" w:ascii="仿宋" w:hAnsi="仿宋" w:eastAsia="仿宋" w:cs="仿宋"/>
          <w:sz w:val="32"/>
          <w:szCs w:val="24"/>
        </w:rPr>
      </w:pPr>
      <w:r>
        <w:rPr>
          <w:rFonts w:hint="eastAsia" w:ascii="仿宋" w:hAnsi="仿宋" w:eastAsia="仿宋" w:cs="仿宋"/>
          <w:sz w:val="32"/>
          <w:szCs w:val="24"/>
        </w:rPr>
        <w:t>（七）负责统筹全区国土空间生态修复。牵头组织编制国土空间生态修复规划并实施有关生态修复重大工程。负责国土空间综合整治、土地整理复垦、矿山地质环境恢复治理、林业和草原及其生态保护和修复等工作。牵头建立和实施生态保护补偿制度，制定合理利用社会资金进行生态修复的政策措施，提出重大备选项目。</w:t>
      </w:r>
    </w:p>
    <w:p>
      <w:pPr>
        <w:pStyle w:val="10"/>
        <w:rPr>
          <w:rFonts w:hint="eastAsia" w:ascii="仿宋" w:hAnsi="仿宋" w:eastAsia="仿宋" w:cs="仿宋"/>
          <w:sz w:val="32"/>
          <w:szCs w:val="24"/>
        </w:rPr>
      </w:pPr>
      <w:r>
        <w:rPr>
          <w:rFonts w:hint="eastAsia" w:ascii="仿宋" w:hAnsi="仿宋" w:eastAsia="仿宋" w:cs="仿宋"/>
          <w:sz w:val="32"/>
          <w:szCs w:val="24"/>
        </w:rPr>
        <w:t>（八）负责组织实施最严格的耕地保护制度。贯彻执行耕地保护政策，负责耕地数量、质量、生态保护。负责耕地保护责任目标考核和永久基本农田特殊保护工作。完善耕地占补平衡制度，落实占用耕地补偿制度。</w:t>
      </w:r>
    </w:p>
    <w:p>
      <w:pPr>
        <w:pStyle w:val="10"/>
        <w:rPr>
          <w:rFonts w:hint="eastAsia" w:ascii="仿宋" w:hAnsi="仿宋" w:eastAsia="仿宋" w:cs="仿宋"/>
          <w:sz w:val="32"/>
          <w:szCs w:val="24"/>
        </w:rPr>
      </w:pPr>
      <w:r>
        <w:rPr>
          <w:rFonts w:hint="eastAsia" w:ascii="仿宋" w:hAnsi="仿宋" w:eastAsia="仿宋" w:cs="仿宋"/>
          <w:sz w:val="32"/>
          <w:szCs w:val="24"/>
        </w:rPr>
        <w:t>（九）负责管理全区地质勘查行业和地质工作。编制地质勘查规划并监督检查执行情况。管理区级地质勘查项目。组织实施重大地质矿产勘查专项。负责古生物化石的监督管理。</w:t>
      </w:r>
    </w:p>
    <w:p>
      <w:pPr>
        <w:pStyle w:val="10"/>
        <w:rPr>
          <w:rFonts w:hint="eastAsia" w:ascii="仿宋" w:hAnsi="仿宋" w:eastAsia="仿宋" w:cs="仿宋"/>
          <w:sz w:val="32"/>
          <w:szCs w:val="24"/>
        </w:rPr>
      </w:pPr>
      <w:r>
        <w:rPr>
          <w:rFonts w:hint="eastAsia" w:ascii="仿宋" w:hAnsi="仿宋" w:eastAsia="仿宋" w:cs="仿宋"/>
          <w:sz w:val="32"/>
          <w:szCs w:val="24"/>
        </w:rPr>
        <w:t>（十）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pPr>
        <w:pStyle w:val="10"/>
        <w:rPr>
          <w:rFonts w:hint="eastAsia" w:ascii="仿宋" w:hAnsi="仿宋" w:eastAsia="仿宋" w:cs="仿宋"/>
          <w:sz w:val="32"/>
          <w:szCs w:val="24"/>
        </w:rPr>
      </w:pPr>
      <w:r>
        <w:rPr>
          <w:rFonts w:hint="eastAsia" w:ascii="仿宋" w:hAnsi="仿宋" w:eastAsia="仿宋" w:cs="仿宋"/>
          <w:sz w:val="32"/>
          <w:szCs w:val="24"/>
        </w:rPr>
        <w:t>（十一）负责全区测绘地理信息管理工作。负责基础测绘、规划勘察及测绘行业管理。负责测绘资质资格与信用管理，监督管理地理信息安全和市场秩序。负责地理信息公共服务管理。负责测量标志保护。</w:t>
      </w:r>
    </w:p>
    <w:p>
      <w:pPr>
        <w:pStyle w:val="10"/>
        <w:rPr>
          <w:rFonts w:hint="eastAsia" w:ascii="仿宋" w:hAnsi="仿宋" w:eastAsia="仿宋" w:cs="仿宋"/>
          <w:sz w:val="32"/>
          <w:szCs w:val="24"/>
        </w:rPr>
      </w:pPr>
      <w:r>
        <w:rPr>
          <w:rFonts w:hint="eastAsia" w:ascii="仿宋" w:hAnsi="仿宋" w:eastAsia="仿宋" w:cs="仿宋"/>
          <w:sz w:val="32"/>
          <w:szCs w:val="24"/>
        </w:rPr>
        <w:t>（十二）推动全区自然资源领域科技发展。实施自然资源领域科技创新发展和人才培养战略、规划和计划。贯彻执行技术标准、规程规范，组织实施重大科技工程及创新能力建设，推进自然资源信息化和信息资料的公共服务。</w:t>
      </w:r>
    </w:p>
    <w:p>
      <w:pPr>
        <w:pStyle w:val="10"/>
        <w:rPr>
          <w:rFonts w:hint="eastAsia" w:ascii="仿宋" w:hAnsi="仿宋" w:eastAsia="仿宋" w:cs="仿宋"/>
          <w:sz w:val="32"/>
          <w:szCs w:val="24"/>
        </w:rPr>
      </w:pPr>
      <w:r>
        <w:rPr>
          <w:rFonts w:hint="eastAsia" w:ascii="仿宋" w:hAnsi="仿宋" w:eastAsia="仿宋" w:cs="仿宋"/>
          <w:sz w:val="32"/>
          <w:szCs w:val="24"/>
        </w:rPr>
        <w:t>（十三）查处全区自然资源和利用、国土空间规划及测绘违法案件。自然资源开发利用违法案件查处职责按照鹿泉编〔2017〕7号文执行。</w:t>
      </w:r>
    </w:p>
    <w:p>
      <w:pPr>
        <w:pStyle w:val="10"/>
        <w:rPr>
          <w:rFonts w:hint="eastAsia" w:ascii="仿宋" w:hAnsi="仿宋" w:eastAsia="仿宋" w:cs="仿宋"/>
          <w:sz w:val="32"/>
          <w:szCs w:val="24"/>
        </w:rPr>
      </w:pPr>
      <w:r>
        <w:rPr>
          <w:rFonts w:hint="eastAsia" w:ascii="仿宋" w:hAnsi="仿宋" w:eastAsia="仿宋" w:cs="仿宋"/>
          <w:sz w:val="32"/>
          <w:szCs w:val="24"/>
        </w:rPr>
        <w:t>负责全区森林公安工作，监督管理森林公安队伍，查处全区林业重大违法案件；负责林业综合行政执法和林区社会治安治理工作。</w:t>
      </w:r>
    </w:p>
    <w:p>
      <w:pPr>
        <w:pStyle w:val="10"/>
        <w:rPr>
          <w:rFonts w:hint="eastAsia" w:ascii="仿宋" w:hAnsi="仿宋" w:eastAsia="仿宋" w:cs="仿宋"/>
          <w:sz w:val="32"/>
          <w:szCs w:val="24"/>
        </w:rPr>
      </w:pPr>
      <w:r>
        <w:rPr>
          <w:rFonts w:hint="eastAsia" w:ascii="仿宋" w:hAnsi="仿宋" w:eastAsia="仿宋" w:cs="仿宋"/>
          <w:sz w:val="32"/>
          <w:szCs w:val="24"/>
        </w:rPr>
        <w:t>（十四）负责城乡规划的实施管理工作。依法核发建设项目选址意见书，提出规划条件，核发建设用地（含临时用地）规划许可证和建设工程（含临时建设）规划许可证，进行建设工程规划条件核实，依法核发乡村建设规划许可证。负责建设项目批后管理。</w:t>
      </w:r>
    </w:p>
    <w:p>
      <w:pPr>
        <w:pStyle w:val="10"/>
        <w:rPr>
          <w:rFonts w:hint="eastAsia" w:ascii="仿宋" w:hAnsi="仿宋" w:eastAsia="仿宋" w:cs="仿宋"/>
          <w:sz w:val="32"/>
          <w:szCs w:val="24"/>
        </w:rPr>
      </w:pPr>
      <w:r>
        <w:rPr>
          <w:rFonts w:hint="eastAsia" w:ascii="仿宋" w:hAnsi="仿宋" w:eastAsia="仿宋" w:cs="仿宋"/>
          <w:sz w:val="32"/>
          <w:szCs w:val="24"/>
        </w:rPr>
        <w:t>（十五）负责全区造林绿化工作，负责全区公益林和商品林的培育、划定和管理，组织、指导、监督全民义务植树、城乡绿化工作。负责林业和草原有害生物防治、检疫工作。</w:t>
      </w:r>
    </w:p>
    <w:p>
      <w:pPr>
        <w:pStyle w:val="10"/>
        <w:rPr>
          <w:rFonts w:hint="eastAsia" w:ascii="仿宋" w:hAnsi="仿宋" w:eastAsia="仿宋" w:cs="仿宋"/>
          <w:sz w:val="32"/>
          <w:szCs w:val="24"/>
        </w:rPr>
      </w:pPr>
      <w:r>
        <w:rPr>
          <w:rFonts w:hint="eastAsia" w:ascii="仿宋" w:hAnsi="仿宋" w:eastAsia="仿宋" w:cs="仿宋"/>
          <w:sz w:val="32"/>
          <w:szCs w:val="24"/>
        </w:rPr>
        <w:t>（十六）负责全区陆生野生动植物资源保护工作，组织开展资源调查，负责陆生野生动植物的救护繁育、栖息地恢复发展、疫源疫病监测，监督管理陆生野生动植物猎捕或采集、驯养繁殖或培植、经营利用。</w:t>
      </w:r>
    </w:p>
    <w:p>
      <w:pPr>
        <w:pStyle w:val="10"/>
        <w:rPr>
          <w:rFonts w:hint="eastAsia" w:ascii="仿宋" w:hAnsi="仿宋" w:eastAsia="仿宋" w:cs="仿宋"/>
          <w:sz w:val="32"/>
          <w:szCs w:val="24"/>
        </w:rPr>
      </w:pPr>
      <w:r>
        <w:rPr>
          <w:rFonts w:hint="eastAsia" w:ascii="仿宋" w:hAnsi="仿宋" w:eastAsia="仿宋" w:cs="仿宋"/>
          <w:sz w:val="32"/>
          <w:szCs w:val="24"/>
        </w:rPr>
        <w:t>（十七）负责全区各类自然保护地监督管理工作。负责全区生物多样性保护相关工作。</w:t>
      </w:r>
    </w:p>
    <w:p>
      <w:pPr>
        <w:pStyle w:val="10"/>
        <w:rPr>
          <w:rFonts w:hint="eastAsia" w:ascii="仿宋" w:hAnsi="仿宋" w:eastAsia="仿宋" w:cs="仿宋"/>
          <w:sz w:val="32"/>
          <w:szCs w:val="24"/>
        </w:rPr>
      </w:pPr>
      <w:r>
        <w:rPr>
          <w:rFonts w:hint="eastAsia" w:ascii="仿宋" w:hAnsi="仿宋" w:eastAsia="仿宋" w:cs="仿宋"/>
          <w:sz w:val="32"/>
          <w:szCs w:val="24"/>
        </w:rPr>
        <w:t>（十八）负责推进全区集体林权制度、国有林场、草原等改革工作，负责农村林业发展、维护林业经营者合法权益，指导监督农村林地承包经营工作，负责开展退耕还林、天然林保护工作。</w:t>
      </w:r>
    </w:p>
    <w:p>
      <w:pPr>
        <w:pStyle w:val="10"/>
        <w:rPr>
          <w:rFonts w:hint="eastAsia" w:ascii="仿宋" w:hAnsi="仿宋" w:eastAsia="仿宋" w:cs="仿宋"/>
          <w:sz w:val="32"/>
          <w:szCs w:val="24"/>
        </w:rPr>
      </w:pPr>
      <w:r>
        <w:rPr>
          <w:rFonts w:hint="eastAsia" w:ascii="仿宋" w:hAnsi="仿宋" w:eastAsia="仿宋" w:cs="仿宋"/>
          <w:sz w:val="32"/>
          <w:szCs w:val="24"/>
        </w:rPr>
        <w:t xml:space="preserve">（十九）拟订林业和草原资源优化配置及木材利用等林业产业计划，负责林产品质量监督，负责生态扶贫相关工作。 </w:t>
      </w:r>
    </w:p>
    <w:p>
      <w:pPr>
        <w:pStyle w:val="10"/>
        <w:rPr>
          <w:rFonts w:hint="eastAsia" w:ascii="仿宋" w:hAnsi="仿宋" w:eastAsia="仿宋" w:cs="仿宋"/>
          <w:sz w:val="32"/>
          <w:szCs w:val="24"/>
        </w:rPr>
      </w:pPr>
      <w:r>
        <w:rPr>
          <w:rFonts w:hint="eastAsia" w:ascii="仿宋" w:hAnsi="仿宋" w:eastAsia="仿宋" w:cs="仿宋"/>
          <w:sz w:val="32"/>
          <w:szCs w:val="24"/>
        </w:rPr>
        <w:t>（二十）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pPr>
        <w:pStyle w:val="10"/>
        <w:rPr>
          <w:rFonts w:hint="eastAsia" w:ascii="仿宋" w:hAnsi="仿宋" w:eastAsia="仿宋" w:cs="仿宋"/>
          <w:sz w:val="32"/>
          <w:szCs w:val="24"/>
        </w:rPr>
      </w:pPr>
      <w:r>
        <w:rPr>
          <w:rFonts w:hint="eastAsia" w:ascii="仿宋" w:hAnsi="仿宋" w:eastAsia="仿宋" w:cs="仿宋"/>
          <w:sz w:val="32"/>
          <w:szCs w:val="24"/>
        </w:rPr>
        <w:t>（二十一）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pPr>
        <w:pStyle w:val="10"/>
        <w:rPr>
          <w:rFonts w:hint="eastAsia" w:ascii="仿宋" w:hAnsi="仿宋" w:eastAsia="仿宋" w:cs="仿宋"/>
          <w:sz w:val="32"/>
          <w:szCs w:val="24"/>
        </w:rPr>
      </w:pPr>
      <w:r>
        <w:rPr>
          <w:rFonts w:hint="eastAsia" w:ascii="仿宋" w:hAnsi="仿宋" w:eastAsia="仿宋" w:cs="仿宋"/>
          <w:sz w:val="32"/>
          <w:szCs w:val="24"/>
        </w:rPr>
        <w:t>（二十二）负责林业和草原科技推广、教育和培训工作，负责林业和草原人才队伍建设工作。</w:t>
      </w:r>
    </w:p>
    <w:p>
      <w:pPr>
        <w:pStyle w:val="10"/>
        <w:rPr>
          <w:rFonts w:hint="eastAsia" w:ascii="仿宋" w:hAnsi="仿宋" w:eastAsia="仿宋" w:cs="仿宋"/>
          <w:sz w:val="32"/>
          <w:szCs w:val="24"/>
        </w:rPr>
      </w:pPr>
      <w:r>
        <w:rPr>
          <w:rFonts w:hint="eastAsia" w:ascii="仿宋" w:hAnsi="仿宋" w:eastAsia="仿宋" w:cs="仿宋"/>
          <w:sz w:val="32"/>
          <w:szCs w:val="24"/>
        </w:rPr>
        <w:t>（二十三）承担鹿泉区城乡规划委员会的日常工作。</w:t>
      </w:r>
    </w:p>
    <w:p>
      <w:pPr>
        <w:pStyle w:val="10"/>
        <w:rPr>
          <w:rFonts w:hint="eastAsia" w:ascii="仿宋" w:hAnsi="仿宋" w:eastAsia="仿宋" w:cs="仿宋"/>
          <w:sz w:val="32"/>
          <w:szCs w:val="24"/>
        </w:rPr>
      </w:pPr>
      <w:r>
        <w:rPr>
          <w:rFonts w:hint="eastAsia" w:ascii="仿宋" w:hAnsi="仿宋" w:eastAsia="仿宋" w:cs="仿宋"/>
          <w:sz w:val="32"/>
          <w:szCs w:val="24"/>
        </w:rPr>
        <w:t>（二十四）关于河道采砂管理的职责分工。河道采砂具体管理分工，按照《河北省河道采砂管理规定》执行。</w:t>
      </w:r>
    </w:p>
    <w:p>
      <w:pPr>
        <w:pStyle w:val="10"/>
        <w:rPr>
          <w:rFonts w:hint="eastAsia" w:ascii="仿宋" w:hAnsi="仿宋" w:eastAsia="仿宋" w:cs="仿宋"/>
          <w:sz w:val="32"/>
          <w:szCs w:val="24"/>
        </w:rPr>
      </w:pPr>
      <w:r>
        <w:rPr>
          <w:rFonts w:hint="eastAsia" w:ascii="仿宋" w:hAnsi="仿宋" w:eastAsia="仿宋" w:cs="仿宋"/>
          <w:sz w:val="32"/>
          <w:szCs w:val="24"/>
        </w:rPr>
        <w:t>（二十五） 有关林果管理职责分工。果树（除水果之外部分）、桑蚕、花卉管理职责由区自然资源和规划局负责。果树（水果部分）管理职责由区农业农村局负责。</w:t>
      </w:r>
    </w:p>
    <w:p>
      <w:pPr>
        <w:pStyle w:val="10"/>
        <w:rPr>
          <w:rFonts w:hint="eastAsia" w:ascii="仿宋" w:hAnsi="仿宋" w:eastAsia="仿宋" w:cs="仿宋"/>
        </w:rPr>
      </w:pPr>
      <w:r>
        <w:rPr>
          <w:rFonts w:hint="eastAsia" w:ascii="仿宋" w:hAnsi="仿宋" w:eastAsia="仿宋" w:cs="仿宋"/>
          <w:sz w:val="32"/>
          <w:szCs w:val="24"/>
        </w:rPr>
        <w:t>（二十六）完成区委、区政府交办的其他任务。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836"/>
        <w:gridCol w:w="1693"/>
        <w:gridCol w:w="2266"/>
        <w:gridCol w:w="22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565" w:type="pct"/>
            <w:vAlign w:val="center"/>
          </w:tcPr>
          <w:p>
            <w:pPr>
              <w:pStyle w:val="11"/>
            </w:pPr>
            <w:r>
              <w:t>单位名称</w:t>
            </w:r>
          </w:p>
        </w:tc>
        <w:tc>
          <w:tcPr>
            <w:tcW w:w="934" w:type="pct"/>
            <w:vAlign w:val="center"/>
          </w:tcPr>
          <w:p>
            <w:pPr>
              <w:pStyle w:val="11"/>
            </w:pPr>
            <w:r>
              <w:t>单位性质</w:t>
            </w:r>
          </w:p>
        </w:tc>
        <w:tc>
          <w:tcPr>
            <w:tcW w:w="1250" w:type="pct"/>
            <w:vAlign w:val="center"/>
          </w:tcPr>
          <w:p>
            <w:pPr>
              <w:pStyle w:val="11"/>
            </w:pPr>
            <w:r>
              <w:t>单位规格</w:t>
            </w:r>
          </w:p>
        </w:tc>
        <w:tc>
          <w:tcPr>
            <w:tcW w:w="1250" w:type="pct"/>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pPr>
              <w:pStyle w:val="12"/>
            </w:pPr>
            <w:r>
              <w:t>石家庄市自然资源和规划局鹿泉分局本级</w:t>
            </w:r>
          </w:p>
        </w:tc>
        <w:tc>
          <w:tcPr>
            <w:tcW w:w="934" w:type="pct"/>
            <w:vAlign w:val="center"/>
          </w:tcPr>
          <w:p>
            <w:pPr>
              <w:pStyle w:val="13"/>
            </w:pPr>
            <w:r>
              <w:t>行政</w:t>
            </w:r>
          </w:p>
        </w:tc>
        <w:tc>
          <w:tcPr>
            <w:tcW w:w="1250" w:type="pct"/>
            <w:vAlign w:val="center"/>
          </w:tcPr>
          <w:p>
            <w:pPr>
              <w:pStyle w:val="13"/>
            </w:pPr>
            <w:r>
              <w:t>正科级</w:t>
            </w:r>
          </w:p>
        </w:tc>
        <w:tc>
          <w:tcPr>
            <w:tcW w:w="1250" w:type="pct"/>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65" w:type="pct"/>
            <w:vAlign w:val="center"/>
          </w:tcPr>
          <w:p>
            <w:pPr>
              <w:pStyle w:val="12"/>
            </w:pPr>
            <w:r>
              <w:t>石家庄市鹿泉区土地储备中心</w:t>
            </w:r>
          </w:p>
        </w:tc>
        <w:tc>
          <w:tcPr>
            <w:tcW w:w="934" w:type="pct"/>
            <w:vAlign w:val="center"/>
          </w:tcPr>
          <w:p>
            <w:pPr>
              <w:pStyle w:val="13"/>
            </w:pPr>
            <w:r>
              <w:t>事业</w:t>
            </w:r>
          </w:p>
        </w:tc>
        <w:tc>
          <w:tcPr>
            <w:tcW w:w="1250" w:type="pct"/>
            <w:vAlign w:val="center"/>
          </w:tcPr>
          <w:p>
            <w:pPr>
              <w:pStyle w:val="13"/>
            </w:pPr>
            <w:r>
              <w:t>股级</w:t>
            </w:r>
          </w:p>
        </w:tc>
        <w:tc>
          <w:tcPr>
            <w:tcW w:w="1250" w:type="pct"/>
            <w:vAlign w:val="center"/>
          </w:tcPr>
          <w:p>
            <w:pPr>
              <w:pStyle w:val="13"/>
            </w:pPr>
            <w:r>
              <w:t>财政性资金基本保证</w:t>
            </w:r>
          </w:p>
        </w:tc>
      </w:tr>
    </w:tbl>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14"/>
        <w:rPr>
          <w:rFonts w:hint="eastAsia" w:ascii="仿宋" w:hAnsi="仿宋" w:eastAsia="仿宋" w:cs="仿宋"/>
          <w:sz w:val="32"/>
          <w:szCs w:val="24"/>
          <w:highlight w:val="none"/>
        </w:rPr>
      </w:pPr>
      <w:r>
        <w:rPr>
          <w:rFonts w:hint="eastAsia" w:ascii="仿宋" w:hAnsi="仿宋" w:eastAsia="仿宋" w:cs="仿宋"/>
          <w:sz w:val="32"/>
          <w:szCs w:val="24"/>
          <w:highlight w:val="none"/>
        </w:rPr>
        <w:t>202</w:t>
      </w:r>
      <w:r>
        <w:rPr>
          <w:rFonts w:hint="eastAsia" w:ascii="仿宋" w:hAnsi="仿宋" w:eastAsia="仿宋" w:cs="仿宋"/>
          <w:sz w:val="32"/>
          <w:szCs w:val="24"/>
          <w:highlight w:val="none"/>
          <w:lang w:val="en-US" w:eastAsia="zh-CN"/>
        </w:rPr>
        <w:t>5</w:t>
      </w:r>
      <w:r>
        <w:rPr>
          <w:rFonts w:hint="eastAsia" w:ascii="仿宋" w:hAnsi="仿宋" w:eastAsia="仿宋" w:cs="仿宋"/>
          <w:sz w:val="32"/>
          <w:szCs w:val="24"/>
          <w:highlight w:val="none"/>
        </w:rPr>
        <w:t>年预算收入126183.49万元，其中：公共预算收入12959.53万元，基金预算收入113206.07万元，上年结转17.89万元。</w:t>
      </w:r>
    </w:p>
    <w:p>
      <w:pPr>
        <w:pStyle w:val="14"/>
        <w:rPr>
          <w:sz w:val="32"/>
          <w:szCs w:val="24"/>
          <w:highlight w:val="none"/>
        </w:rPr>
      </w:pPr>
      <w:r>
        <w:rPr>
          <w:rFonts w:hint="eastAsia" w:ascii="仿宋" w:hAnsi="仿宋" w:eastAsia="仿宋" w:cs="仿宋"/>
          <w:sz w:val="32"/>
          <w:szCs w:val="24"/>
          <w:highlight w:val="none"/>
        </w:rPr>
        <w:t>202</w:t>
      </w:r>
      <w:r>
        <w:rPr>
          <w:rFonts w:hint="eastAsia" w:ascii="仿宋" w:hAnsi="仿宋" w:eastAsia="仿宋" w:cs="仿宋"/>
          <w:sz w:val="32"/>
          <w:szCs w:val="24"/>
          <w:highlight w:val="none"/>
          <w:lang w:val="en-US" w:eastAsia="zh-CN"/>
        </w:rPr>
        <w:t>5</w:t>
      </w:r>
      <w:r>
        <w:rPr>
          <w:rFonts w:hint="eastAsia" w:ascii="仿宋" w:hAnsi="仿宋" w:eastAsia="仿宋" w:cs="仿宋"/>
          <w:sz w:val="32"/>
          <w:szCs w:val="24"/>
          <w:highlight w:val="none"/>
        </w:rPr>
        <w:t>年支出预算126183.49万元，其中基本支出776.34万元，包括日常公用经费776.34万元；项目支出125407.15万元，主要为土地补偿费、国土空间规划编制资金、绿化造林资金等。</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pStyle w:val="9"/>
        <w:rPr>
          <w:rFonts w:hint="eastAsia" w:ascii="仿宋" w:hAnsi="仿宋" w:eastAsia="仿宋" w:cs="仿宋"/>
          <w:color w:val="auto"/>
          <w:sz w:val="32"/>
          <w:szCs w:val="24"/>
        </w:rPr>
      </w:pPr>
      <w:r>
        <w:rPr>
          <w:rFonts w:hint="eastAsia" w:ascii="仿宋" w:hAnsi="仿宋" w:eastAsia="仿宋" w:cs="仿宋"/>
          <w:color w:val="auto"/>
          <w:sz w:val="32"/>
          <w:szCs w:val="24"/>
        </w:rPr>
        <w:t>一、优化营商环境。进一步加强创新意识，改进工作方法，加强学习相关业务知识提高业务水平，增强工作的预见性；积极主动帮助企业解决在发展中遇到的问题；加强与相关部门间的沟通和交流，更好解决审批工作中的实际困难和问题，进一步提升业务水平，提高审批效率，最大限度为企业提供便利；加强与企业沟通交流，把服务企业工作做实做细。进一步缩短报批时间，提高审批效率，优化审批流程，缩短办理时限。</w:t>
      </w:r>
    </w:p>
    <w:p>
      <w:pPr>
        <w:pStyle w:val="9"/>
        <w:rPr>
          <w:rFonts w:hint="eastAsia" w:ascii="仿宋" w:hAnsi="仿宋" w:eastAsia="仿宋" w:cs="仿宋"/>
          <w:color w:val="auto"/>
          <w:sz w:val="32"/>
          <w:szCs w:val="24"/>
        </w:rPr>
      </w:pPr>
      <w:r>
        <w:rPr>
          <w:rFonts w:hint="eastAsia" w:ascii="仿宋" w:hAnsi="仿宋" w:eastAsia="仿宋" w:cs="仿宋"/>
          <w:color w:val="auto"/>
          <w:sz w:val="32"/>
          <w:szCs w:val="24"/>
        </w:rPr>
        <w:t>二、围绕改善生态环境，结合省厅、市局组织实施的三北绿化工程，大力开展人工造林、封山育林、退化林修复、森林抚育等国土绿化工作。初步计划全年完成营造林1.15万亩，其中人工造林0.25万亩，封山育林0.3万亩，退化林修复0.1万亩，森林抚育0.5万亩。</w:t>
      </w:r>
    </w:p>
    <w:p>
      <w:pPr>
        <w:pStyle w:val="9"/>
        <w:rPr>
          <w:rFonts w:hint="eastAsia" w:ascii="仿宋" w:hAnsi="仿宋" w:eastAsia="仿宋" w:cs="仿宋"/>
          <w:color w:val="auto"/>
          <w:sz w:val="32"/>
          <w:szCs w:val="24"/>
        </w:rPr>
      </w:pPr>
      <w:r>
        <w:rPr>
          <w:rFonts w:hint="eastAsia" w:ascii="仿宋" w:hAnsi="仿宋" w:eastAsia="仿宋" w:cs="仿宋"/>
          <w:color w:val="auto"/>
          <w:sz w:val="32"/>
          <w:szCs w:val="24"/>
        </w:rPr>
        <w:t>三、国土空间规划方面。202</w:t>
      </w:r>
      <w:r>
        <w:rPr>
          <w:rFonts w:hint="eastAsia" w:ascii="仿宋" w:hAnsi="仿宋" w:eastAsia="仿宋" w:cs="仿宋"/>
          <w:color w:val="auto"/>
          <w:sz w:val="32"/>
          <w:szCs w:val="24"/>
          <w:lang w:val="en-US" w:eastAsia="zh-CN"/>
        </w:rPr>
        <w:t>5</w:t>
      </w:r>
      <w:r>
        <w:rPr>
          <w:rFonts w:hint="eastAsia" w:ascii="仿宋" w:hAnsi="仿宋" w:eastAsia="仿宋" w:cs="仿宋"/>
          <w:color w:val="auto"/>
          <w:sz w:val="32"/>
          <w:szCs w:val="24"/>
        </w:rPr>
        <w:t>年工作谋划，对完善的总体规划成果，征求市直部门意见，按程序报市规委会审议、市政府审批。总规批准后，完成鹿泉城区和开发区范围的详细规划的编制成果。</w:t>
      </w:r>
    </w:p>
    <w:p>
      <w:pPr>
        <w:pStyle w:val="9"/>
        <w:rPr>
          <w:rFonts w:hint="eastAsia" w:ascii="仿宋" w:hAnsi="仿宋" w:eastAsia="仿宋" w:cs="仿宋"/>
          <w:color w:val="FF0000"/>
          <w:sz w:val="32"/>
          <w:szCs w:val="32"/>
        </w:rPr>
      </w:pPr>
      <w:r>
        <w:rPr>
          <w:rFonts w:hint="eastAsia" w:ascii="仿宋" w:hAnsi="仿宋" w:eastAsia="仿宋" w:cs="仿宋"/>
          <w:color w:val="auto"/>
          <w:sz w:val="32"/>
          <w:szCs w:val="24"/>
        </w:rPr>
        <w:t>四、守牢耕地保护红线。压实地方党委、政府耕地保护主体</w:t>
      </w:r>
      <w:r>
        <w:rPr>
          <w:rFonts w:hint="eastAsia" w:ascii="仿宋" w:hAnsi="仿宋" w:eastAsia="仿宋" w:cs="仿宋"/>
          <w:color w:val="auto"/>
          <w:sz w:val="32"/>
          <w:szCs w:val="32"/>
        </w:rPr>
        <w:t>责任，坚持最严格的耕地保护制度，建立耕地保护工作长效机制，加快推进我区耕地保护“田长制”落地实施，加强耕地用途管制和永久基本农田特殊保护，严格管控耕地转为其他用地，切实落实耕地“进出平衡”，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3月底前完成我区耕地进出平衡方案编制工作；有序推进耕地流出问题整改，坚决遏制增量，逐步消除存量，对于新增违法违规占用耕地、设施农用地占用永久基本农田等造成耕地减少的行为“零容忍”，坚决依法查处并复耕到位，针对因种植园林地造成耕地减少的，积极引导群众恢复耕种，确保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年底前耕地保有量不低于耕地耕地保护任务数21.80万亩，实现全区耕地面积减少趋势得到初步遏制，全区耕地数量保持稳步增长，形成耕地总量逐年不断增加的良好格局。</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评价资料收集：要求业务科室准备好绩效评价所需的佐证材料，其中评价指标应有对应的佐证材料相关指标的实现情况。</w:t>
      </w:r>
    </w:p>
    <w:p>
      <w:pPr>
        <w:widowControl w:val="0"/>
        <w:wordWrap/>
        <w:spacing w:line="560" w:lineRule="exact"/>
        <w:ind w:left="0" w:leftChars="0" w:right="0" w:firstLine="64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评价过程：1.通过对相关资料的原件、数据来源及计算方法等，进一步核实自评材料及佐证材料的客观性、真实性、准确性，确保相关内容真实可靠，满足评价报告的需要。2.通过仔细查阅实施、管理等各项过程材料，补充评审评价深度的不足，进一步把握评价项目及预算执行的规范性。</w:t>
      </w:r>
    </w:p>
    <w:p>
      <w:pPr>
        <w:spacing w:line="560" w:lineRule="exact"/>
        <w:rPr>
          <w:rFonts w:ascii="仿宋" w:hAnsi="仿宋" w:eastAsia="仿宋"/>
          <w:sz w:val="32"/>
          <w:szCs w:val="32"/>
        </w:rPr>
      </w:pP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1.评价</w:t>
      </w:r>
      <w:r>
        <w:rPr>
          <w:rFonts w:ascii="仿宋" w:hAnsi="仿宋" w:eastAsia="仿宋"/>
          <w:sz w:val="32"/>
          <w:szCs w:val="32"/>
        </w:rPr>
        <w:t>方法</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本次绩效评价以评价指标体系为基础，主要采用因素分析法、比较分析法、</w:t>
      </w:r>
      <w:r>
        <w:rPr>
          <w:rFonts w:ascii="仿宋" w:hAnsi="仿宋" w:eastAsia="仿宋"/>
          <w:sz w:val="32"/>
          <w:szCs w:val="32"/>
        </w:rPr>
        <w:t>综合指数评价法</w:t>
      </w:r>
      <w:r>
        <w:rPr>
          <w:rFonts w:hint="eastAsia" w:ascii="仿宋" w:hAnsi="仿宋" w:eastAsia="仿宋"/>
          <w:sz w:val="32"/>
          <w:szCs w:val="32"/>
        </w:rPr>
        <w:t>，具体指标评价采用百分制评分的形式来评定政策在制定、实施和效果各环节的实施和达成程度，在指标评价的基础上，由评价工作组综合分析，确定绩效整体的评价结论。</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成本效益分析法。是指将一定时期内总成本与总效益进行对比分析，以评价绩效目标实现程度。</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highlight w:val="none"/>
        </w:rPr>
        <w:t>比较</w:t>
      </w:r>
      <w:r>
        <w:rPr>
          <w:rFonts w:hint="eastAsia" w:ascii="仿宋" w:hAnsi="仿宋" w:eastAsia="仿宋"/>
          <w:sz w:val="32"/>
          <w:szCs w:val="32"/>
          <w:highlight w:val="none"/>
          <w:lang w:val="en-US" w:eastAsia="zh-CN"/>
        </w:rPr>
        <w:t>分析</w:t>
      </w:r>
      <w:r>
        <w:rPr>
          <w:rFonts w:ascii="仿宋" w:hAnsi="仿宋" w:eastAsia="仿宋"/>
          <w:sz w:val="32"/>
          <w:szCs w:val="32"/>
          <w:highlight w:val="none"/>
        </w:rPr>
        <w:t>法。是指通</w:t>
      </w:r>
      <w:r>
        <w:rPr>
          <w:rFonts w:ascii="仿宋" w:hAnsi="仿宋" w:eastAsia="仿宋"/>
          <w:sz w:val="32"/>
          <w:szCs w:val="32"/>
        </w:rPr>
        <w:t>过对绩效目标与实施效果、历史与当期情况、不同部门和地区同类支出的比较，综合分析绩效目标实现程度。</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因素分析法。是指通过综合分析影响绩效目标实现、实施效果的内外因素，计算投入产出比的方法。</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ascii="仿宋" w:hAnsi="仿宋" w:eastAsia="仿宋"/>
          <w:sz w:val="32"/>
          <w:szCs w:val="32"/>
        </w:rPr>
        <w:t>综合指数评价法。是指把各项绩效指标的实际水平，对照评价标准值，分别计算各项指标评价得分，再按照设定的各项指标权数计算出综合评价得分，分析评价绩效目标实现情况的评价方法。</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2.评价</w:t>
      </w:r>
      <w:r>
        <w:rPr>
          <w:rFonts w:ascii="仿宋" w:hAnsi="仿宋" w:eastAsia="仿宋"/>
          <w:sz w:val="32"/>
          <w:szCs w:val="32"/>
        </w:rPr>
        <w:t>过程</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（1）填写项目绩效自评表基础</w:t>
      </w:r>
      <w:r>
        <w:rPr>
          <w:rFonts w:ascii="仿宋" w:hAnsi="仿宋" w:eastAsia="仿宋"/>
          <w:sz w:val="32"/>
          <w:szCs w:val="32"/>
        </w:rPr>
        <w:t>信息</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highlight w:val="none"/>
        </w:rPr>
        <w:t>评价</w:t>
      </w:r>
      <w:r>
        <w:rPr>
          <w:rFonts w:hint="eastAsia" w:ascii="仿宋" w:hAnsi="仿宋" w:eastAsia="仿宋"/>
          <w:sz w:val="32"/>
          <w:szCs w:val="32"/>
          <w:highlight w:val="none"/>
          <w:lang w:val="en-US" w:eastAsia="zh-CN"/>
        </w:rPr>
        <w:t>工作</w:t>
      </w:r>
      <w:r>
        <w:rPr>
          <w:rFonts w:hint="eastAsia" w:ascii="仿宋" w:hAnsi="仿宋" w:eastAsia="仿宋"/>
          <w:sz w:val="32"/>
          <w:szCs w:val="32"/>
          <w:highlight w:val="none"/>
        </w:rPr>
        <w:t>组经</w:t>
      </w:r>
      <w:r>
        <w:rPr>
          <w:rFonts w:ascii="仿宋" w:hAnsi="仿宋" w:eastAsia="仿宋"/>
          <w:sz w:val="32"/>
          <w:szCs w:val="32"/>
          <w:highlight w:val="none"/>
        </w:rPr>
        <w:t>对</w:t>
      </w:r>
      <w:r>
        <w:rPr>
          <w:rFonts w:hint="eastAsia" w:ascii="仿宋" w:hAnsi="仿宋" w:eastAsia="仿宋"/>
          <w:sz w:val="32"/>
          <w:szCs w:val="32"/>
          <w:highlight w:val="none"/>
        </w:rPr>
        <w:t>收集的</w:t>
      </w:r>
      <w:r>
        <w:rPr>
          <w:rFonts w:hint="eastAsia" w:ascii="仿宋" w:hAnsi="仿宋" w:eastAsia="仿宋"/>
          <w:sz w:val="32"/>
          <w:szCs w:val="32"/>
        </w:rPr>
        <w:t>各项目评价资料及</w:t>
      </w:r>
      <w:r>
        <w:rPr>
          <w:rFonts w:ascii="仿宋" w:hAnsi="仿宋" w:eastAsia="仿宋"/>
          <w:sz w:val="32"/>
          <w:szCs w:val="32"/>
        </w:rPr>
        <w:t>现场核查取得的相关数据和信息进行</w:t>
      </w:r>
      <w:r>
        <w:rPr>
          <w:rFonts w:hint="eastAsia" w:ascii="仿宋" w:hAnsi="仿宋" w:eastAsia="仿宋"/>
          <w:sz w:val="32"/>
          <w:szCs w:val="32"/>
        </w:rPr>
        <w:t>整理</w:t>
      </w:r>
      <w:r>
        <w:rPr>
          <w:rFonts w:ascii="仿宋" w:hAnsi="仿宋" w:eastAsia="仿宋"/>
          <w:sz w:val="32"/>
          <w:szCs w:val="32"/>
        </w:rPr>
        <w:t>分析</w:t>
      </w:r>
      <w:r>
        <w:rPr>
          <w:rFonts w:hint="eastAsia" w:ascii="仿宋" w:hAnsi="仿宋" w:eastAsia="仿宋"/>
          <w:sz w:val="32"/>
          <w:szCs w:val="32"/>
        </w:rPr>
        <w:t>，准确</w:t>
      </w:r>
      <w:r>
        <w:rPr>
          <w:rFonts w:ascii="仿宋" w:hAnsi="仿宋" w:eastAsia="仿宋"/>
          <w:sz w:val="32"/>
          <w:szCs w:val="32"/>
        </w:rPr>
        <w:t>填写各项评价信息。</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（2）对</w:t>
      </w:r>
      <w:r>
        <w:rPr>
          <w:rFonts w:ascii="仿宋" w:hAnsi="仿宋" w:eastAsia="仿宋"/>
          <w:sz w:val="32"/>
          <w:szCs w:val="32"/>
        </w:rPr>
        <w:t>各项目</w:t>
      </w:r>
      <w:r>
        <w:rPr>
          <w:rFonts w:hint="eastAsia" w:ascii="仿宋" w:hAnsi="仿宋" w:eastAsia="仿宋"/>
          <w:sz w:val="32"/>
          <w:szCs w:val="32"/>
        </w:rPr>
        <w:t>绩效进行评价打分</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按照工作方案确定的评价指标体系、评价标准和评价方法，依据所收集的资料，对评价对象的绩效情况进行量、定性分析和综合评价，完成项目的绩效评价打分。</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w:t>
      </w:r>
      <w:r>
        <w:rPr>
          <w:rFonts w:ascii="仿宋" w:hAnsi="仿宋" w:eastAsia="仿宋"/>
          <w:sz w:val="32"/>
          <w:szCs w:val="32"/>
        </w:rPr>
        <w:t>3</w:t>
      </w:r>
      <w:r>
        <w:rPr>
          <w:rFonts w:hint="eastAsia" w:ascii="仿宋" w:hAnsi="仿宋" w:eastAsia="仿宋"/>
          <w:sz w:val="32"/>
          <w:szCs w:val="32"/>
        </w:rPr>
        <w:t>）填写项目绩效评价汇总表</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评价工作组对采集的评价基础数据资料进行整理汇总，按要求填写《部门预算项目绩效自评表》、《部门绩效自评结果汇总表》，保证数据的真实准确，</w:t>
      </w:r>
      <w:r>
        <w:rPr>
          <w:rFonts w:ascii="仿宋" w:hAnsi="仿宋" w:eastAsia="仿宋"/>
          <w:sz w:val="32"/>
          <w:szCs w:val="32"/>
        </w:rPr>
        <w:t>同时</w:t>
      </w:r>
      <w:r>
        <w:rPr>
          <w:rFonts w:hint="eastAsia" w:ascii="仿宋" w:hAnsi="仿宋" w:eastAsia="仿宋"/>
          <w:sz w:val="32"/>
          <w:szCs w:val="32"/>
        </w:rPr>
        <w:t>总结归纳部门预算项目绩效成果，分析存在的问题并提出改进建议，形成绩效评价结论。</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仿宋" w:hAnsi="仿宋" w:eastAsia="仿宋"/>
          <w:sz w:val="32"/>
          <w:szCs w:val="32"/>
        </w:rPr>
      </w:pPr>
      <w:r>
        <w:rPr>
          <w:rFonts w:hint="eastAsia" w:ascii="仿宋" w:hAnsi="仿宋" w:eastAsia="仿宋"/>
          <w:sz w:val="32"/>
          <w:szCs w:val="32"/>
        </w:rPr>
        <w:t>（4）编写整体</w:t>
      </w:r>
      <w:r>
        <w:rPr>
          <w:rFonts w:ascii="仿宋" w:hAnsi="仿宋" w:eastAsia="仿宋"/>
          <w:sz w:val="32"/>
          <w:szCs w:val="32"/>
        </w:rPr>
        <w:t>支出绩效自评</w:t>
      </w:r>
      <w:r>
        <w:rPr>
          <w:rFonts w:hint="eastAsia" w:ascii="仿宋" w:hAnsi="仿宋" w:eastAsia="仿宋"/>
          <w:sz w:val="32"/>
          <w:szCs w:val="32"/>
        </w:rPr>
        <w:t>报告</w:t>
      </w:r>
    </w:p>
    <w:p>
      <w:pPr>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ascii="楷体" w:hAnsi="楷体" w:eastAsia="楷体" w:cs="楷体_GB2312"/>
          <w:bCs/>
          <w:sz w:val="32"/>
          <w:szCs w:val="32"/>
        </w:rPr>
      </w:pPr>
      <w:r>
        <w:rPr>
          <w:rFonts w:ascii="仿宋" w:hAnsi="仿宋" w:eastAsia="仿宋"/>
          <w:sz w:val="32"/>
          <w:szCs w:val="32"/>
        </w:rPr>
        <w:t>根据</w:t>
      </w:r>
      <w:r>
        <w:rPr>
          <w:rFonts w:hint="eastAsia" w:ascii="仿宋" w:hAnsi="仿宋" w:eastAsia="仿宋"/>
          <w:sz w:val="32"/>
          <w:szCs w:val="32"/>
        </w:rPr>
        <w:t>石家庄</w:t>
      </w:r>
      <w:r>
        <w:rPr>
          <w:rFonts w:ascii="仿宋" w:hAnsi="仿宋" w:eastAsia="仿宋"/>
          <w:sz w:val="32"/>
          <w:szCs w:val="32"/>
        </w:rPr>
        <w:t>市</w:t>
      </w:r>
      <w:r>
        <w:rPr>
          <w:rFonts w:hint="eastAsia" w:ascii="仿宋" w:hAnsi="仿宋" w:eastAsia="仿宋"/>
          <w:sz w:val="32"/>
          <w:szCs w:val="32"/>
          <w:lang w:eastAsia="zh-CN"/>
        </w:rPr>
        <w:t>鹿泉区人民政府《关于全面实施预算绩效管理的实施意见》</w:t>
      </w:r>
      <w:r>
        <w:rPr>
          <w:rFonts w:hint="eastAsia" w:ascii="仿宋" w:hAnsi="仿宋" w:eastAsia="仿宋"/>
          <w:color w:val="000000" w:themeColor="text1"/>
          <w:sz w:val="32"/>
          <w:szCs w:val="32"/>
          <w:lang w:eastAsia="zh-CN"/>
          <w14:textFill>
            <w14:solidFill>
              <w14:schemeClr w14:val="tx1"/>
            </w14:solidFill>
          </w14:textFill>
        </w:rPr>
        <w:t>（鹿发</w:t>
      </w:r>
      <w:r>
        <w:rPr>
          <w:rFonts w:hint="eastAsia" w:ascii="仿宋" w:hAnsi="仿宋" w:eastAsia="仿宋"/>
          <w:color w:val="000000" w:themeColor="text1"/>
          <w:sz w:val="32"/>
          <w:szCs w:val="32"/>
          <w14:textFill>
            <w14:solidFill>
              <w14:schemeClr w14:val="tx1"/>
            </w14:solidFill>
          </w14:textFill>
        </w:rPr>
        <w:t>〔20</w:t>
      </w:r>
      <w:r>
        <w:rPr>
          <w:rFonts w:hint="eastAsia" w:ascii="仿宋" w:hAnsi="仿宋" w:eastAsia="仿宋"/>
          <w:color w:val="000000" w:themeColor="text1"/>
          <w:sz w:val="32"/>
          <w:szCs w:val="32"/>
          <w:lang w:val="en-US" w:eastAsia="zh-CN"/>
          <w14:textFill>
            <w14:solidFill>
              <w14:schemeClr w14:val="tx1"/>
            </w14:solidFill>
          </w14:textFill>
        </w:rPr>
        <w:t>19</w:t>
      </w:r>
      <w:r>
        <w:rPr>
          <w:rFonts w:hint="eastAsia"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lang w:val="en-US" w:eastAsia="zh-CN"/>
          <w14:textFill>
            <w14:solidFill>
              <w14:schemeClr w14:val="tx1"/>
            </w14:solidFill>
          </w14:textFill>
        </w:rPr>
        <w:t>8</w:t>
      </w:r>
      <w:r>
        <w:rPr>
          <w:rFonts w:hint="eastAsia" w:ascii="仿宋" w:hAnsi="仿宋" w:eastAsia="仿宋"/>
          <w:color w:val="000000" w:themeColor="text1"/>
          <w:sz w:val="32"/>
          <w:szCs w:val="32"/>
          <w14:textFill>
            <w14:solidFill>
              <w14:schemeClr w14:val="tx1"/>
            </w14:solidFill>
          </w14:textFill>
        </w:rPr>
        <w:t>号</w:t>
      </w:r>
      <w:r>
        <w:rPr>
          <w:rFonts w:hint="eastAsia" w:ascii="仿宋" w:hAnsi="仿宋" w:eastAsia="仿宋"/>
          <w:color w:val="000000" w:themeColor="text1"/>
          <w:sz w:val="32"/>
          <w:szCs w:val="32"/>
          <w:lang w:eastAsia="zh-CN"/>
          <w14:textFill>
            <w14:solidFill>
              <w14:schemeClr w14:val="tx1"/>
            </w14:solidFill>
          </w14:textFill>
        </w:rPr>
        <w:t>）、</w:t>
      </w:r>
      <w:r>
        <w:rPr>
          <w:rFonts w:hint="eastAsia"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lang w:eastAsia="zh-CN"/>
          <w14:textFill>
            <w14:solidFill>
              <w14:schemeClr w14:val="tx1"/>
            </w14:solidFill>
          </w14:textFill>
        </w:rPr>
        <w:t>鹿泉区区级部门项目绩效自评管理办法</w:t>
      </w:r>
      <w:r>
        <w:rPr>
          <w:rFonts w:hint="eastAsia"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lang w:eastAsia="zh-CN"/>
          <w14:textFill>
            <w14:solidFill>
              <w14:schemeClr w14:val="tx1"/>
            </w14:solidFill>
          </w14:textFill>
        </w:rPr>
        <w:t>鹿财字</w:t>
      </w:r>
      <w:r>
        <w:rPr>
          <w:rFonts w:hint="eastAsia" w:ascii="仿宋" w:hAnsi="仿宋" w:eastAsia="仿宋"/>
          <w:color w:val="000000" w:themeColor="text1"/>
          <w:sz w:val="32"/>
          <w:szCs w:val="32"/>
          <w14:textFill>
            <w14:solidFill>
              <w14:schemeClr w14:val="tx1"/>
            </w14:solidFill>
          </w14:textFill>
        </w:rPr>
        <w:t>〔20</w:t>
      </w:r>
      <w:r>
        <w:rPr>
          <w:rFonts w:hint="eastAsia" w:ascii="仿宋" w:hAnsi="仿宋" w:eastAsia="仿宋"/>
          <w:color w:val="000000" w:themeColor="text1"/>
          <w:sz w:val="32"/>
          <w:szCs w:val="32"/>
          <w:lang w:val="en-US" w:eastAsia="zh-CN"/>
          <w14:textFill>
            <w14:solidFill>
              <w14:schemeClr w14:val="tx1"/>
            </w14:solidFill>
          </w14:textFill>
        </w:rPr>
        <w:t>20</w:t>
      </w:r>
      <w:r>
        <w:rPr>
          <w:rFonts w:hint="eastAsia" w:ascii="仿宋" w:hAnsi="仿宋" w:eastAsia="仿宋"/>
          <w:color w:val="000000" w:themeColor="text1"/>
          <w:sz w:val="32"/>
          <w:szCs w:val="32"/>
          <w14:textFill>
            <w14:solidFill>
              <w14:schemeClr w14:val="tx1"/>
            </w14:solidFill>
          </w14:textFill>
        </w:rPr>
        <w:t>〕</w:t>
      </w:r>
      <w:r>
        <w:rPr>
          <w:rFonts w:hint="eastAsia" w:ascii="仿宋" w:hAnsi="仿宋" w:eastAsia="仿宋"/>
          <w:color w:val="000000" w:themeColor="text1"/>
          <w:sz w:val="32"/>
          <w:szCs w:val="32"/>
          <w:lang w:val="en-US" w:eastAsia="zh-CN"/>
          <w14:textFill>
            <w14:solidFill>
              <w14:schemeClr w14:val="tx1"/>
            </w14:solidFill>
          </w14:textFill>
        </w:rPr>
        <w:t>18</w:t>
      </w:r>
      <w:r>
        <w:rPr>
          <w:rFonts w:hint="eastAsia" w:ascii="仿宋" w:hAnsi="仿宋" w:eastAsia="仿宋"/>
          <w:color w:val="000000" w:themeColor="text1"/>
          <w:sz w:val="32"/>
          <w:szCs w:val="32"/>
          <w14:textFill>
            <w14:solidFill>
              <w14:schemeClr w14:val="tx1"/>
            </w14:solidFill>
          </w14:textFill>
        </w:rPr>
        <w:t>号）</w:t>
      </w:r>
      <w:r>
        <w:rPr>
          <w:rFonts w:hint="eastAsia" w:ascii="仿宋" w:hAnsi="仿宋" w:eastAsia="仿宋"/>
          <w:sz w:val="32"/>
          <w:szCs w:val="32"/>
        </w:rPr>
        <w:t>规定</w:t>
      </w:r>
      <w:r>
        <w:rPr>
          <w:rFonts w:ascii="仿宋" w:hAnsi="仿宋" w:eastAsia="仿宋"/>
          <w:sz w:val="32"/>
          <w:szCs w:val="32"/>
        </w:rPr>
        <w:t>格式，</w:t>
      </w:r>
      <w:r>
        <w:rPr>
          <w:rFonts w:hint="eastAsia" w:ascii="仿宋" w:hAnsi="仿宋" w:eastAsia="仿宋"/>
          <w:sz w:val="32"/>
          <w:szCs w:val="32"/>
        </w:rPr>
        <w:t>撰写整体</w:t>
      </w:r>
      <w:r>
        <w:rPr>
          <w:rFonts w:ascii="仿宋" w:hAnsi="仿宋" w:eastAsia="仿宋"/>
          <w:sz w:val="32"/>
          <w:szCs w:val="32"/>
        </w:rPr>
        <w:t>支出绩效自评</w:t>
      </w:r>
      <w:r>
        <w:rPr>
          <w:rFonts w:hint="eastAsia" w:ascii="仿宋" w:hAnsi="仿宋" w:eastAsia="仿宋"/>
          <w:sz w:val="32"/>
          <w:szCs w:val="32"/>
        </w:rPr>
        <w:t>报告</w:t>
      </w:r>
      <w:r>
        <w:rPr>
          <w:rFonts w:ascii="仿宋" w:hAnsi="仿宋" w:eastAsia="仿宋"/>
          <w:sz w:val="32"/>
          <w:szCs w:val="32"/>
        </w:rPr>
        <w:t>。</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9"/>
        <w:rPr>
          <w:sz w:val="32"/>
          <w:szCs w:val="24"/>
        </w:rPr>
      </w:pPr>
      <w:r>
        <w:rPr>
          <w:rFonts w:hint="eastAsia"/>
          <w:sz w:val="32"/>
          <w:szCs w:val="24"/>
          <w:lang w:val="en-US" w:eastAsia="zh-CN"/>
        </w:rPr>
        <w:t>一、</w:t>
      </w:r>
      <w:r>
        <w:rPr>
          <w:sz w:val="32"/>
          <w:szCs w:val="24"/>
        </w:rPr>
        <w:t>国土空间规划编制方面</w:t>
      </w:r>
    </w:p>
    <w:p>
      <w:pPr>
        <w:pStyle w:val="9"/>
        <w:rPr>
          <w:sz w:val="32"/>
          <w:szCs w:val="24"/>
        </w:rPr>
      </w:pPr>
      <w:r>
        <w:rPr>
          <w:sz w:val="32"/>
          <w:szCs w:val="24"/>
        </w:rPr>
        <w:t>1.国土空间规划：集中力量，高标准做好《鹿泉区国土空间总体规划（2021-2035年》的完善、报批工作，同时配合各乡镇做好乡镇国土空间规划和村庄规划的编制报批。</w:t>
      </w:r>
    </w:p>
    <w:p>
      <w:pPr>
        <w:pStyle w:val="9"/>
        <w:rPr>
          <w:sz w:val="32"/>
          <w:szCs w:val="24"/>
        </w:rPr>
      </w:pPr>
      <w:r>
        <w:rPr>
          <w:sz w:val="32"/>
          <w:szCs w:val="24"/>
        </w:rPr>
        <w:t>2.城区详细规划：完成石家庄市中心城区涉及鹿泉区范围76.5平方公里的单元层级详细规划的编制工作，鹿泉城区、经济开发区单元层级详细规划编制完成后，依次通过区、市审议批复。同时，配合上庄镇和铜冶镇，完成上庄片区和铜冶片区单元层级详细规划编制，并通过审议批复。</w:t>
      </w:r>
    </w:p>
    <w:p>
      <w:pPr>
        <w:pStyle w:val="9"/>
        <w:rPr>
          <w:sz w:val="32"/>
          <w:szCs w:val="24"/>
        </w:rPr>
      </w:pPr>
      <w:r>
        <w:rPr>
          <w:sz w:val="32"/>
          <w:szCs w:val="24"/>
        </w:rPr>
        <w:t>3.市政基础设施规划：加强对市政道路和市政管道合理规划，维持道路畅通，进一步完善市政管网，保障路、水、电、气等合理规划，满足群众需求。同时，加快河北鹿泉经济开发区产业类项目、中能建鹿泉制氢基地—中电科普兴电子输氢管道、上安电厂至石家庄市区供热等重点市政项目的建设工程规划许可证审批，确保项目早日开工建设。</w:t>
      </w:r>
    </w:p>
    <w:p>
      <w:pPr>
        <w:pStyle w:val="9"/>
        <w:rPr>
          <w:sz w:val="32"/>
          <w:szCs w:val="24"/>
        </w:rPr>
      </w:pPr>
      <w:r>
        <w:rPr>
          <w:rFonts w:hint="eastAsia"/>
          <w:sz w:val="32"/>
          <w:szCs w:val="24"/>
          <w:lang w:val="en-US" w:eastAsia="zh-CN"/>
        </w:rPr>
        <w:t>二、</w:t>
      </w:r>
      <w:r>
        <w:rPr>
          <w:sz w:val="32"/>
          <w:szCs w:val="24"/>
        </w:rPr>
        <w:t>土地保障方面</w:t>
      </w:r>
    </w:p>
    <w:p>
      <w:pPr>
        <w:pStyle w:val="9"/>
        <w:rPr>
          <w:sz w:val="32"/>
          <w:szCs w:val="24"/>
        </w:rPr>
      </w:pPr>
      <w:r>
        <w:rPr>
          <w:sz w:val="32"/>
          <w:szCs w:val="24"/>
        </w:rPr>
        <w:t>1.土地供应：围绕挖潜增量，加大土地供应力度，积极与乡镇政府沟通，库存项目以多种形式开展出让工作，保障区财政的资金，为我区经济收入贡献力量。对新征地块提前介入，做到“征地”和“供地”无缝对接；对存量土地，实行“挂图作战”和清单管理，引导项目优先选址，争取完成2009年至2024年库存地块超1000亩的土地供应工作；着力盘活农村集体闲置存量建设用地，进一步完善配套试点政策和入市增值收益分配机制等服务体系，提升自然资源服务质量和效率。</w:t>
      </w:r>
    </w:p>
    <w:p>
      <w:pPr>
        <w:pStyle w:val="9"/>
        <w:rPr>
          <w:sz w:val="32"/>
          <w:szCs w:val="24"/>
        </w:rPr>
      </w:pPr>
      <w:r>
        <w:rPr>
          <w:sz w:val="32"/>
          <w:szCs w:val="24"/>
        </w:rPr>
        <w:t>2.征地组卷：全力保障河北太行智慧冷链项目、环城绿道、能建绿氢中能建石家庄鹿泉区光伏制氢及氢能配套产业项目、石家庄市城市轨道交通1号线三期工程等重点项目、产业项目、基础设施项目土地手续，吃透政策精神，把握政策尺度，为项目在前期和报批中扫清障碍。和上级加强沟通协调，最大限度获取最新政策，最大幅度争取政策倾斜，对项目在征地前期遇到的问题及时协调处理，对组卷环节合并处理，在上报过程中及时跟进，缩短报批时限，为项目早日落地争取时间。</w:t>
      </w:r>
    </w:p>
    <w:p>
      <w:pPr>
        <w:pStyle w:val="9"/>
        <w:rPr>
          <w:sz w:val="32"/>
          <w:szCs w:val="24"/>
        </w:rPr>
      </w:pPr>
      <w:r>
        <w:rPr>
          <w:sz w:val="32"/>
          <w:szCs w:val="24"/>
        </w:rPr>
        <w:t>3.强化监管：加强设施用地项目监管，对辖区内已上图入库的设施用地项目进行现场勘察，查看项目用途、位置和面积等是否与备案一致，及时叫停私搭乱建、未按用途使用等行为，切实保障设施农用地健康有序发展。严格临时用地监管，加强“一张图”管理，在年度国土变更调查、卫片执法检查中，结合临时用地系统中的批准文件、合同、影像资料、土地复垦方案报告表等，认真审核临时用地的批准、复垦情况。</w:t>
      </w:r>
    </w:p>
    <w:p>
      <w:pPr>
        <w:pStyle w:val="9"/>
        <w:rPr>
          <w:sz w:val="32"/>
          <w:szCs w:val="24"/>
        </w:rPr>
      </w:pPr>
      <w:r>
        <w:rPr>
          <w:sz w:val="32"/>
          <w:szCs w:val="24"/>
        </w:rPr>
        <w:t>4.项目审批：持续提高审批效率，优化办理程序，全程为项目单位提供贴心服务，通过先行介入、并联审批、快速办结的形式，实现审批提速。坚持把功夫下在审批前，提前审查相关材料，提升审批成功率，严格落实一次性告知制度，综合利用线上审查、线下办理的方法，最大程度减少群众跑办次数，对材料齐全、符合程序的项目，争取将审批时限由法定时限20个工作日缩短至3个工作日内。</w:t>
      </w:r>
    </w:p>
    <w:p>
      <w:pPr>
        <w:pStyle w:val="9"/>
        <w:rPr>
          <w:sz w:val="32"/>
          <w:szCs w:val="24"/>
        </w:rPr>
      </w:pPr>
      <w:r>
        <w:rPr>
          <w:sz w:val="32"/>
          <w:szCs w:val="24"/>
        </w:rPr>
        <w:t>5.耕地保护：落实最严格的耕地保护制度，积极推动耕地流出问题整改，按照先易后难、尊重自然规律、尊重群众意愿的原则，能改则改，应改尽改，确保年底完成上级下达的耕地恢复任务以及年度0.9344万亩的耕地“缺口”恢复任务，确保耕地保护和粮食安全工作年终考核顺利通过。加快推动0.5601万亩拟入库补充耕地项目地块入库前期工作，尽快做好拟入库地块移交和初级核验工作，积极推进项目入库。</w:t>
      </w:r>
    </w:p>
    <w:p>
      <w:pPr>
        <w:pStyle w:val="9"/>
        <w:rPr>
          <w:sz w:val="32"/>
          <w:szCs w:val="24"/>
        </w:rPr>
      </w:pPr>
      <w:r>
        <w:rPr>
          <w:rFonts w:hint="eastAsia"/>
          <w:sz w:val="32"/>
          <w:szCs w:val="24"/>
          <w:lang w:val="en-US" w:eastAsia="zh-CN"/>
        </w:rPr>
        <w:t>三、</w:t>
      </w:r>
      <w:r>
        <w:rPr>
          <w:sz w:val="32"/>
          <w:szCs w:val="24"/>
        </w:rPr>
        <w:t>生态修复方面</w:t>
      </w:r>
    </w:p>
    <w:p>
      <w:pPr>
        <w:pStyle w:val="9"/>
        <w:rPr>
          <w:sz w:val="32"/>
          <w:szCs w:val="24"/>
        </w:rPr>
      </w:pPr>
      <w:r>
        <w:rPr>
          <w:sz w:val="32"/>
          <w:szCs w:val="24"/>
        </w:rPr>
        <w:t>1.森林防火：牢固树立绿水青山就是金山银山的生态理念，认真落实“预防为主、积极消灭”的森林防火方针，进一步完善森林防火工作体系，形成责任层级化、管理常态化、队伍实战化、防火全民化的工作格局。森林火灾受害率控制在0.9‰以下；不发生重大以上森林草原火灾；不发生重大人员伤亡事故。</w:t>
      </w:r>
    </w:p>
    <w:p>
      <w:pPr>
        <w:pStyle w:val="9"/>
        <w:rPr>
          <w:sz w:val="32"/>
          <w:szCs w:val="24"/>
        </w:rPr>
      </w:pPr>
      <w:r>
        <w:rPr>
          <w:sz w:val="32"/>
          <w:szCs w:val="24"/>
        </w:rPr>
        <w:t>2.造林绿化：组织开展义务植树活动，继续推动“互联网+全民义务植树”活动，以创建省级森林乡村为抓手，积极推动村庄绿化工作，创建省级森林乡村1个、绿化提升村4个；重点抓好三北六期绿化工程作业设计等前期工作，计划实施人工造林0.2万亩（具体以上级下达任务为准），造林重点区域为西部太行山区域，采取集中连片、专业造林的方式，大力发展生态林树种，着力增加山场绿色，进一步提高山场植被覆盖率。广泛开展全民义务植树活动，进一步做好创建省级森林乡村和绿化提升村的谋划。开展2025年林草湿综合监测，包括样地调查、图斑调查，做好2025年林地变更调查工作，完成新一轮林地保护利用规划的编制工作。</w:t>
      </w:r>
    </w:p>
    <w:p>
      <w:pPr>
        <w:pStyle w:val="9"/>
        <w:rPr>
          <w:sz w:val="32"/>
          <w:szCs w:val="32"/>
        </w:rPr>
      </w:pPr>
      <w:r>
        <w:rPr>
          <w:sz w:val="32"/>
          <w:szCs w:val="24"/>
        </w:rPr>
        <w:t>3.林矿资源保护：严格做好林业有害生物防控，坚持地面防控和飞防防控相结合，确保公益林无公害防治率达96%，林业有害生物成灾率低于4‰；加大矿产动态巡查工作，落实网格化巡查监管机制和举报奖励制度，实行涉矿区域分包责任制，加强多部门和乡镇在打击非法采矿工作中的协调联动，做到巡查及时、发现及时、查处及时、打击及时。2025年完成上级下达我区历史遗留矿山治理任务7处，谋划矿产资源规划（2026-2030年）编制工作，常态化开展全区域地质灾害隐患排查。</w:t>
      </w:r>
    </w:p>
    <w:p>
      <w:pPr>
        <w:spacing w:line="560" w:lineRule="exact"/>
        <w:ind w:firstLine="640" w:firstLineChars="200"/>
        <w:rPr>
          <w:rFonts w:hint="eastAsia" w:ascii="仿宋" w:hAnsi="仿宋" w:eastAsia="仿宋" w:cs="仿宋"/>
          <w:sz w:val="32"/>
          <w:szCs w:val="32"/>
        </w:rPr>
      </w:pPr>
      <w:r>
        <w:rPr>
          <w:rFonts w:hint="eastAsia" w:ascii="仿宋" w:hAnsi="仿宋" w:eastAsia="仿宋" w:cs="仿宋"/>
          <w:bCs/>
          <w:sz w:val="32"/>
          <w:szCs w:val="32"/>
        </w:rPr>
        <w:t>（二）分项绩效目标实现情况及指标分析</w:t>
      </w:r>
    </w:p>
    <w:p>
      <w:pPr>
        <w:pStyle w:val="15"/>
        <w:rPr>
          <w:rFonts w:hint="eastAsia" w:ascii="仿宋" w:hAnsi="仿宋" w:eastAsia="仿宋" w:cs="仿宋"/>
          <w:sz w:val="32"/>
          <w:szCs w:val="32"/>
        </w:rPr>
      </w:pPr>
      <w:r>
        <w:rPr>
          <w:rFonts w:hint="eastAsia" w:ascii="仿宋" w:hAnsi="仿宋" w:eastAsia="仿宋" w:cs="仿宋"/>
          <w:sz w:val="32"/>
          <w:szCs w:val="32"/>
        </w:rPr>
        <w:t>1、农村宅基地和集体建设用地存量数据整合</w:t>
      </w:r>
    </w:p>
    <w:p>
      <w:pPr>
        <w:pStyle w:val="15"/>
        <w:rPr>
          <w:rFonts w:hint="eastAsia" w:ascii="仿宋" w:hAnsi="仿宋" w:eastAsia="仿宋" w:cs="仿宋"/>
          <w:sz w:val="32"/>
          <w:szCs w:val="32"/>
        </w:rPr>
      </w:pPr>
      <w:r>
        <w:rPr>
          <w:rFonts w:hint="eastAsia" w:ascii="仿宋" w:hAnsi="仿宋" w:eastAsia="仿宋" w:cs="仿宋"/>
          <w:sz w:val="32"/>
          <w:szCs w:val="32"/>
        </w:rPr>
        <w:t>绩效目标：对全区1987-今的全部存量登记宅基地、集体建设用地梳理整合并与现状宗地进行挂接，建设宅基地、集体建设用地存量登记数据库，实现数据汇交。</w:t>
      </w:r>
    </w:p>
    <w:p>
      <w:pPr>
        <w:pStyle w:val="15"/>
        <w:rPr>
          <w:rFonts w:hint="eastAsia" w:ascii="仿宋" w:hAnsi="仿宋" w:eastAsia="仿宋" w:cs="仿宋"/>
          <w:sz w:val="32"/>
          <w:szCs w:val="32"/>
        </w:rPr>
      </w:pPr>
      <w:r>
        <w:rPr>
          <w:rFonts w:hint="eastAsia" w:ascii="仿宋" w:hAnsi="仿宋" w:eastAsia="仿宋" w:cs="仿宋"/>
          <w:sz w:val="32"/>
          <w:szCs w:val="32"/>
        </w:rPr>
        <w:t>绩效指标：对全区1987-今的7.3万宗存量登记宅基地、集体建设用地梳理整合，与现状宗地进行挂接。完成宅基地、集体建设用地存量登记数据库建设并按照不动产登记存量数据整合汇交要求，整理形成存量登记数据成果包，完成数据汇交。</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对全区1987-今的7.3万宗存量登记宅基地、集体建设用地梳理整合，与现状宗地进行挂接。完成宅基地、集体建设用地存量登记数据库</w:t>
      </w:r>
      <w:r>
        <w:rPr>
          <w:rFonts w:hint="eastAsia" w:ascii="仿宋" w:hAnsi="仿宋" w:eastAsia="仿宋" w:cs="仿宋"/>
          <w:sz w:val="32"/>
          <w:szCs w:val="32"/>
          <w:lang w:eastAsia="zh-CN"/>
        </w:rPr>
        <w:t>整合，完成数据汇交。</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、鹿泉区农村宅基地房地一体登记颁证</w:t>
      </w:r>
    </w:p>
    <w:p>
      <w:pPr>
        <w:pStyle w:val="15"/>
        <w:rPr>
          <w:rFonts w:hint="eastAsia" w:ascii="仿宋" w:hAnsi="仿宋" w:eastAsia="仿宋" w:cs="仿宋"/>
          <w:sz w:val="32"/>
          <w:szCs w:val="32"/>
        </w:rPr>
      </w:pPr>
      <w:r>
        <w:rPr>
          <w:rFonts w:hint="eastAsia" w:ascii="仿宋" w:hAnsi="仿宋" w:eastAsia="仿宋" w:cs="仿宋"/>
          <w:sz w:val="32"/>
          <w:szCs w:val="32"/>
        </w:rPr>
        <w:t>绩效目标：在我区农村“房地一体”权籍调查的工作基础上，依法有序开展登记颁证，确保实现“应登尽登”。农村宅基地房地一体登记颁证工作是农村土地确权登记的重要组成部分，直接影响农民权益及土地管理制度改革。</w:t>
      </w:r>
    </w:p>
    <w:p>
      <w:pPr>
        <w:pStyle w:val="15"/>
        <w:rPr>
          <w:rFonts w:hint="eastAsia" w:ascii="仿宋" w:hAnsi="仿宋" w:eastAsia="仿宋" w:cs="仿宋"/>
          <w:sz w:val="32"/>
          <w:szCs w:val="32"/>
        </w:rPr>
      </w:pPr>
      <w:r>
        <w:rPr>
          <w:rFonts w:hint="eastAsia" w:ascii="仿宋" w:hAnsi="仿宋" w:eastAsia="仿宋" w:cs="仿宋"/>
          <w:sz w:val="32"/>
          <w:szCs w:val="32"/>
        </w:rPr>
        <w:t>绩效指标：完成全区190个村庄57828宗宅基地的存量登记数据换发房地一体不动产证书。完成全区190个村庄47237宗宅基地新增量数据审批登记发证。</w:t>
      </w:r>
    </w:p>
    <w:p>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完成全区190个村庄57828宗宅基地的存量登记数据换发房地一体不动产证书。完成全区190个村庄47237宗宅基地新增量数据审批登记发证。</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、自然资源确权登记项目</w:t>
      </w:r>
    </w:p>
    <w:p>
      <w:pPr>
        <w:pStyle w:val="15"/>
        <w:rPr>
          <w:rFonts w:hint="eastAsia" w:ascii="仿宋" w:hAnsi="仿宋" w:eastAsia="仿宋" w:cs="仿宋"/>
          <w:sz w:val="32"/>
          <w:szCs w:val="32"/>
        </w:rPr>
      </w:pPr>
      <w:r>
        <w:rPr>
          <w:rFonts w:hint="eastAsia" w:ascii="仿宋" w:hAnsi="仿宋" w:eastAsia="仿宋" w:cs="仿宋"/>
          <w:sz w:val="32"/>
          <w:szCs w:val="32"/>
        </w:rPr>
        <w:t>绩效目标：对我区自然保护区和自然公园等各类自然保护地、主要河流水库、生态功能重要的湿地、国有林场等具有完整生态功能的自然生态空间和全民所有单项自然资源开展统一确权登记，为建立国土空间规划体系并监督实施，统一行使全民所有自然资源资产所有者职责，统一行使所有国土空间用途管制和生态保护修复职责，提供基础支撑和产权保障。</w:t>
      </w:r>
    </w:p>
    <w:p>
      <w:pPr>
        <w:pStyle w:val="15"/>
        <w:rPr>
          <w:rFonts w:hint="eastAsia" w:ascii="仿宋" w:hAnsi="仿宋" w:eastAsia="仿宋" w:cs="仿宋"/>
          <w:sz w:val="32"/>
          <w:szCs w:val="32"/>
        </w:rPr>
      </w:pPr>
      <w:r>
        <w:rPr>
          <w:rFonts w:hint="eastAsia" w:ascii="仿宋" w:hAnsi="仿宋" w:eastAsia="仿宋" w:cs="仿宋"/>
          <w:sz w:val="32"/>
          <w:szCs w:val="32"/>
        </w:rPr>
        <w:t>绩效指标：对全区13个乡镇完成全民所有自然资源资产清查和确权登记工作。建设1个自然资源确权登记数据库，编制完成自然资源确权登记技术报告，制作自然资源调查底图13幅，确权登记成果图43幅。</w:t>
      </w:r>
    </w:p>
    <w:p>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完成情况：实现了全区</w:t>
      </w:r>
      <w:r>
        <w:rPr>
          <w:rFonts w:hint="eastAsia" w:ascii="仿宋" w:hAnsi="仿宋" w:eastAsia="仿宋" w:cs="仿宋"/>
          <w:sz w:val="32"/>
          <w:szCs w:val="32"/>
          <w:lang w:val="en-US" w:eastAsia="zh-CN"/>
        </w:rPr>
        <w:t>13个乡镇</w:t>
      </w:r>
      <w:r>
        <w:rPr>
          <w:rFonts w:hint="eastAsia" w:ascii="仿宋" w:hAnsi="仿宋" w:eastAsia="仿宋" w:cs="仿宋"/>
          <w:sz w:val="32"/>
          <w:szCs w:val="32"/>
        </w:rPr>
        <w:t>全民所有自然资源资产清查和确权登记工作。</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、土地承包经营权确权</w:t>
      </w:r>
    </w:p>
    <w:p>
      <w:pPr>
        <w:pStyle w:val="15"/>
        <w:rPr>
          <w:rFonts w:hint="eastAsia" w:ascii="仿宋" w:hAnsi="仿宋" w:eastAsia="仿宋" w:cs="仿宋"/>
          <w:sz w:val="32"/>
          <w:szCs w:val="32"/>
        </w:rPr>
      </w:pPr>
      <w:r>
        <w:rPr>
          <w:rFonts w:hint="eastAsia" w:ascii="仿宋" w:hAnsi="仿宋" w:eastAsia="仿宋" w:cs="仿宋"/>
          <w:sz w:val="32"/>
          <w:szCs w:val="32"/>
        </w:rPr>
        <w:t>绩效目标：对全区197个村庄的土地承包经营权数据按照不动产登记数据库标准，进行转换入库工作。全区土地承包经营权档案进行整理归档。</w:t>
      </w:r>
    </w:p>
    <w:p>
      <w:pPr>
        <w:pStyle w:val="15"/>
        <w:rPr>
          <w:rFonts w:hint="eastAsia" w:ascii="仿宋" w:hAnsi="仿宋" w:eastAsia="仿宋" w:cs="仿宋"/>
          <w:sz w:val="32"/>
          <w:szCs w:val="32"/>
        </w:rPr>
      </w:pPr>
      <w:r>
        <w:rPr>
          <w:rFonts w:hint="eastAsia" w:ascii="仿宋" w:hAnsi="仿宋" w:eastAsia="仿宋" w:cs="仿宋"/>
          <w:sz w:val="32"/>
          <w:szCs w:val="32"/>
        </w:rPr>
        <w:t>绩效指标：13个乡镇土地承包经营权数据成果转换入库，对69438宗土地承包经营权数据成果电子档案整理归档。</w:t>
      </w:r>
    </w:p>
    <w:p>
      <w:pPr>
        <w:pStyle w:val="15"/>
        <w:rPr>
          <w:rFonts w:hint="eastAsia" w:ascii="仿宋" w:hAnsi="仿宋" w:eastAsia="仿宋" w:cs="仿宋"/>
          <w:sz w:val="32"/>
          <w:szCs w:val="32"/>
        </w:rPr>
      </w:pPr>
      <w:r>
        <w:rPr>
          <w:rFonts w:hint="eastAsia" w:ascii="仿宋" w:hAnsi="仿宋" w:eastAsia="仿宋" w:cs="仿宋"/>
          <w:sz w:val="32"/>
          <w:szCs w:val="32"/>
          <w:lang w:eastAsia="zh-CN"/>
        </w:rPr>
        <w:t>完成情况：实现了全区土地承包经营权档案进行整理归档。</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、加强违法占地、违法采矿查处力度</w:t>
      </w:r>
    </w:p>
    <w:p>
      <w:pPr>
        <w:pStyle w:val="15"/>
        <w:rPr>
          <w:rFonts w:hint="eastAsia" w:ascii="仿宋" w:hAnsi="仿宋" w:eastAsia="仿宋" w:cs="仿宋"/>
          <w:sz w:val="32"/>
          <w:szCs w:val="32"/>
        </w:rPr>
      </w:pPr>
      <w:r>
        <w:rPr>
          <w:rFonts w:hint="eastAsia" w:ascii="仿宋" w:hAnsi="仿宋" w:eastAsia="仿宋" w:cs="仿宋"/>
          <w:sz w:val="32"/>
          <w:szCs w:val="32"/>
        </w:rPr>
        <w:t>绩效目标：为确保土地矿产违法行业能及时遏制，需进行卫片外业核查、图件资料卫片系统填报。</w:t>
      </w:r>
    </w:p>
    <w:p>
      <w:pPr>
        <w:pStyle w:val="15"/>
        <w:rPr>
          <w:rFonts w:hint="eastAsia" w:ascii="仿宋" w:hAnsi="仿宋" w:eastAsia="仿宋" w:cs="仿宋"/>
          <w:sz w:val="32"/>
          <w:szCs w:val="32"/>
        </w:rPr>
      </w:pPr>
      <w:r>
        <w:rPr>
          <w:rFonts w:hint="eastAsia" w:ascii="仿宋" w:hAnsi="仿宋" w:eastAsia="仿宋" w:cs="仿宋"/>
          <w:sz w:val="32"/>
          <w:szCs w:val="32"/>
        </w:rPr>
        <w:t>绩效指标：落实国土资源监管责任，加强日常执法监管；重点执法打击违法，维护群众合法权益。对所有排查项目进行专业测绘和数据分析，出具图件资料。</w:t>
      </w:r>
    </w:p>
    <w:p>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确保违法占地、违法采矿的违法率降低。</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、推进鹿泉区乡两级国土空间规划研究编制</w:t>
      </w:r>
    </w:p>
    <w:p>
      <w:pPr>
        <w:pStyle w:val="15"/>
        <w:rPr>
          <w:rFonts w:hint="eastAsia" w:ascii="仿宋" w:hAnsi="仿宋" w:eastAsia="仿宋" w:cs="仿宋"/>
          <w:sz w:val="32"/>
          <w:szCs w:val="32"/>
        </w:rPr>
      </w:pPr>
      <w:r>
        <w:rPr>
          <w:rFonts w:hint="eastAsia" w:ascii="仿宋" w:hAnsi="仿宋" w:eastAsia="仿宋" w:cs="仿宋"/>
          <w:sz w:val="32"/>
          <w:szCs w:val="32"/>
        </w:rPr>
        <w:t>绩效目标：村庄国土空间规划、城镇体系规划、控制性详细规划、专项规划及城市设计等。</w:t>
      </w:r>
    </w:p>
    <w:p>
      <w:pPr>
        <w:pStyle w:val="15"/>
        <w:rPr>
          <w:rFonts w:hint="eastAsia" w:ascii="仿宋" w:hAnsi="仿宋" w:eastAsia="仿宋" w:cs="仿宋"/>
          <w:sz w:val="32"/>
          <w:szCs w:val="32"/>
        </w:rPr>
      </w:pPr>
      <w:r>
        <w:rPr>
          <w:rFonts w:hint="eastAsia" w:ascii="仿宋" w:hAnsi="仿宋" w:eastAsia="仿宋" w:cs="仿宋"/>
          <w:sz w:val="32"/>
          <w:szCs w:val="32"/>
        </w:rPr>
        <w:t xml:space="preserve">绩效指标：南太平河沿河面貌整治规划面积约4500㎡；全域乡村建设总体规划总面积613.95平方公里；停车设施专项规划建设用地面积38平方公里；中心城区1-7街城市设计规划面积约340公顷。 </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完成情况：完成南太平河4500㎡，全域613.95平方公里，停车建设用地38平方公里，1-7街城市设计340公顷的规划及设计。</w:t>
      </w:r>
    </w:p>
    <w:p>
      <w:pPr>
        <w:pStyle w:val="15"/>
        <w:rPr>
          <w:rFonts w:hint="eastAsia" w:ascii="仿宋" w:hAnsi="仿宋" w:eastAsia="仿宋" w:cs="仿宋"/>
          <w:sz w:val="32"/>
          <w:szCs w:val="32"/>
          <w:highlight w:val="none"/>
        </w:rPr>
      </w:pPr>
      <w:r>
        <w:rPr>
          <w:rFonts w:hint="eastAsia" w:ascii="仿宋" w:hAnsi="仿宋" w:eastAsia="仿宋" w:cs="仿宋"/>
          <w:sz w:val="32"/>
          <w:szCs w:val="32"/>
          <w:lang w:val="en-US" w:eastAsia="zh-CN"/>
        </w:rPr>
        <w:t>7、</w:t>
      </w:r>
      <w:r>
        <w:rPr>
          <w:rFonts w:hint="eastAsia" w:ascii="仿宋" w:hAnsi="仿宋" w:eastAsia="仿宋" w:cs="仿宋"/>
          <w:sz w:val="32"/>
          <w:szCs w:val="32"/>
        </w:rPr>
        <w:t>2023-2024</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2024-2025</w:t>
      </w:r>
      <w:r>
        <w:rPr>
          <w:rFonts w:hint="eastAsia" w:ascii="仿宋" w:hAnsi="仿宋" w:eastAsia="仿宋" w:cs="仿宋"/>
          <w:sz w:val="32"/>
          <w:szCs w:val="32"/>
          <w:highlight w:val="none"/>
        </w:rPr>
        <w:t>国土变更调查</w:t>
      </w:r>
    </w:p>
    <w:p>
      <w:pPr>
        <w:pStyle w:val="15"/>
        <w:rPr>
          <w:sz w:val="32"/>
          <w:szCs w:val="24"/>
        </w:rPr>
      </w:pPr>
      <w:r>
        <w:rPr>
          <w:rFonts w:hint="eastAsia" w:ascii="仿宋" w:hAnsi="仿宋" w:eastAsia="仿宋" w:cs="仿宋"/>
          <w:sz w:val="32"/>
          <w:szCs w:val="32"/>
        </w:rPr>
        <w:t>绩效目标：</w:t>
      </w:r>
      <w:r>
        <w:rPr>
          <w:sz w:val="32"/>
          <w:szCs w:val="24"/>
        </w:rPr>
        <w:t>及时更新2023年、2024、2025年国土变更调查数据库，掌握全区国土利用现状变化情况；开展国土变更调查更新后全区相关图件、数据库成果制作。</w:t>
      </w:r>
    </w:p>
    <w:p>
      <w:pPr>
        <w:pStyle w:val="15"/>
        <w:rPr>
          <w:sz w:val="32"/>
          <w:szCs w:val="24"/>
        </w:rPr>
      </w:pPr>
      <w:r>
        <w:rPr>
          <w:rFonts w:hint="eastAsia" w:ascii="仿宋" w:hAnsi="仿宋" w:eastAsia="仿宋" w:cs="仿宋"/>
          <w:sz w:val="32"/>
          <w:szCs w:val="32"/>
        </w:rPr>
        <w:t>绩效指标：</w:t>
      </w:r>
      <w:r>
        <w:rPr>
          <w:sz w:val="32"/>
          <w:szCs w:val="24"/>
        </w:rPr>
        <w:t>完成全区13个乡镇区613.96平方千米的基础数据的格式转换，土地利用现状图，遥感影像图，年度变更标准分幅图的图件制作。</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完成全区13个乡镇区613.96平方千米的基础数据的格式转换，土地利用现状图，遥感影像图，年度变更标准分幅图的图件制作。</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、鹿泉区集体土地确权、房屋测绘及监理</w:t>
      </w:r>
    </w:p>
    <w:p>
      <w:pPr>
        <w:pStyle w:val="15"/>
        <w:rPr>
          <w:rFonts w:hint="eastAsia" w:ascii="仿宋" w:hAnsi="仿宋" w:eastAsia="仿宋" w:cs="仿宋"/>
          <w:sz w:val="32"/>
          <w:szCs w:val="32"/>
        </w:rPr>
      </w:pPr>
      <w:r>
        <w:rPr>
          <w:rFonts w:hint="eastAsia" w:ascii="仿宋" w:hAnsi="仿宋" w:eastAsia="仿宋" w:cs="仿宋"/>
          <w:sz w:val="32"/>
          <w:szCs w:val="32"/>
        </w:rPr>
        <w:t>绩效目标：开展农村集体土地确权登记发证工作，调查农村范围内每一宗土地上的建筑物、构筑物的权属、位置、界址、面积、用途等基本情况，为农村不动产权籍调查提供基础资料，为实施农村不动产登记发证奠定基础。</w:t>
      </w:r>
    </w:p>
    <w:p>
      <w:pPr>
        <w:pStyle w:val="15"/>
        <w:rPr>
          <w:rFonts w:hint="eastAsia" w:ascii="仿宋" w:hAnsi="仿宋" w:eastAsia="仿宋" w:cs="仿宋"/>
          <w:sz w:val="32"/>
          <w:szCs w:val="32"/>
        </w:rPr>
      </w:pPr>
      <w:r>
        <w:rPr>
          <w:rFonts w:hint="eastAsia" w:ascii="仿宋" w:hAnsi="仿宋" w:eastAsia="仿宋" w:cs="仿宋"/>
          <w:sz w:val="32"/>
          <w:szCs w:val="32"/>
        </w:rPr>
        <w:t>绩效指标：完成全区208个村地上房屋产权状况调查及房屋的房角点和房屋边长测量，量算房屋面积。根据调查及测量数据完成房地一体数据库建设。</w:t>
      </w:r>
    </w:p>
    <w:p>
      <w:pPr>
        <w:pStyle w:val="15"/>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完成全区208个村地上房屋产权状况调查及房屋的房角点和房屋边长测量，量算房屋面积。根据调查及测量数据完成房地一体数据库建设</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、主城区控规详细规划编制</w:t>
      </w:r>
    </w:p>
    <w:p>
      <w:pPr>
        <w:pStyle w:val="15"/>
        <w:rPr>
          <w:rFonts w:hint="eastAsia" w:ascii="仿宋" w:hAnsi="仿宋" w:eastAsia="仿宋" w:cs="仿宋"/>
          <w:sz w:val="32"/>
          <w:szCs w:val="32"/>
        </w:rPr>
      </w:pPr>
      <w:r>
        <w:rPr>
          <w:rFonts w:hint="eastAsia" w:ascii="仿宋" w:hAnsi="仿宋" w:eastAsia="仿宋" w:cs="仿宋"/>
          <w:sz w:val="32"/>
          <w:szCs w:val="32"/>
        </w:rPr>
        <w:t>绩效目标：完成详细规划编制成果，并按程序经区规委会审议、专家技术审查、市政府审批后，作为我区项目落地、建设的法定依据。</w:t>
      </w:r>
    </w:p>
    <w:p>
      <w:pPr>
        <w:pStyle w:val="15"/>
        <w:rPr>
          <w:rFonts w:hint="eastAsia" w:ascii="仿宋" w:hAnsi="仿宋" w:eastAsia="仿宋" w:cs="仿宋"/>
          <w:sz w:val="32"/>
          <w:szCs w:val="32"/>
        </w:rPr>
      </w:pPr>
      <w:r>
        <w:rPr>
          <w:rFonts w:hint="eastAsia" w:ascii="仿宋" w:hAnsi="仿宋" w:eastAsia="仿宋" w:cs="仿宋"/>
          <w:sz w:val="32"/>
          <w:szCs w:val="32"/>
        </w:rPr>
        <w:t>绩效指标：编制成果经专家技术审查通过。集中建设区总规划面积约5863.92公顷（以国务院审批的石家庄市国土空间总体规划成果为准），需要全覆盖编制详细规划。</w:t>
      </w:r>
    </w:p>
    <w:p>
      <w:pPr>
        <w:pStyle w:val="15"/>
        <w:rPr>
          <w:rFonts w:hint="eastAsia" w:ascii="仿宋" w:hAnsi="仿宋" w:eastAsia="仿宋" w:cs="仿宋"/>
          <w:sz w:val="32"/>
          <w:szCs w:val="32"/>
        </w:rPr>
      </w:pPr>
      <w:r>
        <w:rPr>
          <w:rFonts w:hint="eastAsia" w:ascii="仿宋" w:hAnsi="仿宋" w:eastAsia="仿宋" w:cs="仿宋"/>
          <w:sz w:val="32"/>
          <w:szCs w:val="32"/>
          <w:lang w:eastAsia="zh-CN"/>
        </w:rPr>
        <w:t>完成情况：已完成详细规划编制成果，并经专家技术审批通过。</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、森林督查图斑核查</w:t>
      </w:r>
    </w:p>
    <w:p>
      <w:pPr>
        <w:pStyle w:val="15"/>
        <w:rPr>
          <w:rFonts w:hint="eastAsia" w:ascii="仿宋" w:hAnsi="仿宋" w:eastAsia="仿宋" w:cs="仿宋"/>
          <w:sz w:val="32"/>
          <w:szCs w:val="32"/>
        </w:rPr>
      </w:pPr>
      <w:r>
        <w:rPr>
          <w:rFonts w:hint="eastAsia" w:ascii="仿宋" w:hAnsi="仿宋" w:eastAsia="仿宋" w:cs="仿宋"/>
          <w:sz w:val="32"/>
          <w:szCs w:val="32"/>
        </w:rPr>
        <w:t>绩效目标：及时发现、有效查处破坏森林资源行为。构建“天上看、地下查、全覆盖”的监管体系，建立常态化森林资源监管和执法机制。</w:t>
      </w:r>
    </w:p>
    <w:p>
      <w:pPr>
        <w:pStyle w:val="15"/>
        <w:rPr>
          <w:rFonts w:hint="eastAsia" w:ascii="仿宋" w:hAnsi="仿宋" w:eastAsia="仿宋" w:cs="仿宋"/>
          <w:sz w:val="32"/>
          <w:szCs w:val="32"/>
        </w:rPr>
      </w:pPr>
      <w:r>
        <w:rPr>
          <w:rFonts w:hint="eastAsia" w:ascii="仿宋" w:hAnsi="仿宋" w:eastAsia="仿宋" w:cs="仿宋"/>
          <w:sz w:val="32"/>
          <w:szCs w:val="32"/>
        </w:rPr>
        <w:t>绩效指标：按照河北省林业规划调查设计院的要求，对国家林草局移交的202</w:t>
      </w:r>
      <w:r>
        <w:rPr>
          <w:rFonts w:hint="eastAsia" w:ascii="仿宋" w:hAnsi="仿宋" w:eastAsia="仿宋" w:cs="仿宋"/>
          <w:sz w:val="32"/>
          <w:szCs w:val="32"/>
          <w:lang w:val="en-US" w:eastAsia="zh-CN"/>
        </w:rPr>
        <w:t>5</w:t>
      </w:r>
      <w:r>
        <w:rPr>
          <w:rFonts w:hint="eastAsia" w:ascii="仿宋" w:hAnsi="仿宋" w:eastAsia="仿宋" w:cs="仿宋"/>
          <w:sz w:val="32"/>
          <w:szCs w:val="32"/>
          <w:lang w:val="en-US" w:eastAsia="zh-CN"/>
        </w:rPr>
        <w:tab/>
      </w:r>
      <w:r>
        <w:rPr>
          <w:rFonts w:hint="eastAsia" w:ascii="仿宋" w:hAnsi="仿宋" w:eastAsia="仿宋" w:cs="仿宋"/>
          <w:sz w:val="32"/>
          <w:szCs w:val="32"/>
        </w:rPr>
        <w:t>年度疑似图斑，逐一进行现场核查，确保核查率100%，并将现地核查情况按上级要求做好数据报送、成果汇总等工作，确保100%整改落实到位。</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及时发现、有效查处破坏森林资源行为</w:t>
      </w:r>
      <w:r>
        <w:rPr>
          <w:rFonts w:hint="eastAsia" w:ascii="仿宋" w:hAnsi="仿宋" w:eastAsia="仿宋" w:cs="仿宋"/>
          <w:sz w:val="32"/>
          <w:szCs w:val="32"/>
          <w:lang w:eastAsia="zh-CN"/>
        </w:rPr>
        <w:t>。</w:t>
      </w:r>
    </w:p>
    <w:p>
      <w:pPr>
        <w:pStyle w:val="15"/>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1</w:t>
      </w:r>
      <w:r>
        <w:rPr>
          <w:rFonts w:hint="eastAsia" w:ascii="仿宋" w:hAnsi="仿宋" w:eastAsia="仿宋" w:cs="仿宋"/>
          <w:sz w:val="32"/>
          <w:szCs w:val="32"/>
        </w:rPr>
        <w:t>、封龙山省级风景名胜区控制性详细规划编制项目</w:t>
      </w:r>
    </w:p>
    <w:p>
      <w:pPr>
        <w:pStyle w:val="15"/>
        <w:rPr>
          <w:rFonts w:hint="eastAsia" w:ascii="仿宋" w:hAnsi="仿宋" w:eastAsia="仿宋" w:cs="仿宋"/>
          <w:sz w:val="32"/>
          <w:szCs w:val="32"/>
        </w:rPr>
      </w:pPr>
      <w:r>
        <w:rPr>
          <w:rFonts w:hint="eastAsia" w:ascii="仿宋" w:hAnsi="仿宋" w:eastAsia="仿宋" w:cs="仿宋"/>
          <w:sz w:val="32"/>
          <w:szCs w:val="32"/>
        </w:rPr>
        <w:t>绩效目标：完成封龙山风景名胜区详细规划32.3平方公里。</w:t>
      </w:r>
    </w:p>
    <w:p>
      <w:pPr>
        <w:pStyle w:val="15"/>
        <w:rPr>
          <w:rFonts w:hint="eastAsia" w:ascii="仿宋" w:hAnsi="仿宋" w:eastAsia="仿宋" w:cs="仿宋"/>
          <w:sz w:val="32"/>
          <w:szCs w:val="32"/>
        </w:rPr>
      </w:pPr>
      <w:r>
        <w:rPr>
          <w:rFonts w:hint="eastAsia" w:ascii="仿宋" w:hAnsi="仿宋" w:eastAsia="仿宋" w:cs="仿宋"/>
          <w:sz w:val="32"/>
          <w:szCs w:val="32"/>
        </w:rPr>
        <w:t>绩效指标：编制完成后的可持续使用达到15年，专家论证会通过率100%，群众满意度大于90%。</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完成封龙山风景名胜区详细规划32.3平方公里</w:t>
      </w:r>
      <w:r>
        <w:rPr>
          <w:rFonts w:hint="eastAsia" w:ascii="仿宋" w:hAnsi="仿宋" w:eastAsia="仿宋" w:cs="仿宋"/>
          <w:sz w:val="32"/>
          <w:szCs w:val="32"/>
          <w:lang w:eastAsia="zh-CN"/>
        </w:rPr>
        <w:t>，</w:t>
      </w:r>
      <w:r>
        <w:rPr>
          <w:rFonts w:hint="eastAsia" w:ascii="仿宋" w:hAnsi="仿宋" w:eastAsia="仿宋" w:cs="仿宋"/>
          <w:sz w:val="32"/>
          <w:szCs w:val="32"/>
        </w:rPr>
        <w:t>专家论证会通过率100%，群众满意度大于90%。</w:t>
      </w:r>
    </w:p>
    <w:p>
      <w:pPr>
        <w:pStyle w:val="15"/>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val="en-US" w:eastAsia="zh-CN"/>
        </w:rPr>
        <w:t>2</w:t>
      </w:r>
      <w:r>
        <w:rPr>
          <w:rFonts w:hint="eastAsia" w:ascii="仿宋" w:hAnsi="仿宋" w:eastAsia="仿宋" w:cs="仿宋"/>
          <w:sz w:val="32"/>
          <w:szCs w:val="32"/>
        </w:rPr>
        <w:t>、自然保护地评估项目</w:t>
      </w:r>
    </w:p>
    <w:p>
      <w:pPr>
        <w:pStyle w:val="15"/>
        <w:rPr>
          <w:rFonts w:hint="eastAsia" w:ascii="仿宋" w:hAnsi="仿宋" w:eastAsia="仿宋" w:cs="仿宋"/>
          <w:sz w:val="32"/>
          <w:szCs w:val="32"/>
        </w:rPr>
      </w:pPr>
      <w:r>
        <w:rPr>
          <w:rFonts w:hint="eastAsia" w:ascii="仿宋" w:hAnsi="仿宋" w:eastAsia="仿宋" w:cs="仿宋"/>
          <w:sz w:val="32"/>
          <w:szCs w:val="32"/>
        </w:rPr>
        <w:t>绩效目标：完成勘界立标面积32平方公里。</w:t>
      </w:r>
    </w:p>
    <w:p>
      <w:pPr>
        <w:pStyle w:val="15"/>
        <w:rPr>
          <w:rFonts w:hint="eastAsia" w:ascii="仿宋" w:hAnsi="仿宋" w:eastAsia="仿宋" w:cs="仿宋"/>
          <w:sz w:val="32"/>
          <w:szCs w:val="32"/>
        </w:rPr>
      </w:pPr>
      <w:r>
        <w:rPr>
          <w:rFonts w:hint="eastAsia" w:ascii="仿宋" w:hAnsi="仿宋" w:eastAsia="仿宋" w:cs="仿宋"/>
          <w:sz w:val="32"/>
          <w:szCs w:val="32"/>
        </w:rPr>
        <w:t>绩效指标：设施正常使用15年，立标综合利用率达到80%以上，群众满意度大于90%。</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完成勘界立标面积32平方公里</w:t>
      </w:r>
      <w:r>
        <w:rPr>
          <w:rFonts w:hint="eastAsia" w:ascii="仿宋" w:hAnsi="仿宋" w:eastAsia="仿宋" w:cs="仿宋"/>
          <w:sz w:val="32"/>
          <w:szCs w:val="32"/>
          <w:lang w:eastAsia="zh-CN"/>
        </w:rPr>
        <w:t>，</w:t>
      </w:r>
      <w:r>
        <w:rPr>
          <w:rFonts w:hint="eastAsia" w:ascii="仿宋" w:hAnsi="仿宋" w:eastAsia="仿宋" w:cs="仿宋"/>
          <w:sz w:val="32"/>
          <w:szCs w:val="32"/>
        </w:rPr>
        <w:t>立标综合利用率达到80%以上，群众满意度大于90%。</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、鹿泉区数字城市基础地理信息数据更新项目</w:t>
      </w:r>
    </w:p>
    <w:p>
      <w:pPr>
        <w:pStyle w:val="15"/>
        <w:rPr>
          <w:rFonts w:hint="eastAsia" w:ascii="仿宋" w:hAnsi="仿宋" w:eastAsia="仿宋" w:cs="仿宋"/>
          <w:sz w:val="32"/>
          <w:szCs w:val="32"/>
        </w:rPr>
      </w:pPr>
      <w:r>
        <w:rPr>
          <w:rFonts w:hint="eastAsia" w:ascii="仿宋" w:hAnsi="仿宋" w:eastAsia="仿宋" w:cs="仿宋"/>
          <w:sz w:val="32"/>
          <w:szCs w:val="32"/>
        </w:rPr>
        <w:t>绩效目标：开展我区数字城市的基础数据采集工作，对区内45平方千米地表图为主的基础地理信息数据进行更新。以满足《河北省自然资源厅关于印发河北省基础测绘“十四五” 规划的通知》（冀自然资发〔2021〕35号）文件精神的要求加快建设数据驱动、智能融合的数字鹿泉。以及鹿泉区需要开展城区范围详细规划的编制工作需求。</w:t>
      </w:r>
    </w:p>
    <w:p>
      <w:pPr>
        <w:pStyle w:val="15"/>
        <w:rPr>
          <w:rFonts w:hint="eastAsia" w:ascii="仿宋" w:hAnsi="仿宋" w:eastAsia="仿宋" w:cs="仿宋"/>
          <w:sz w:val="32"/>
          <w:szCs w:val="32"/>
        </w:rPr>
      </w:pPr>
      <w:r>
        <w:rPr>
          <w:rFonts w:hint="eastAsia" w:ascii="仿宋" w:hAnsi="仿宋" w:eastAsia="仿宋" w:cs="仿宋"/>
          <w:sz w:val="32"/>
          <w:szCs w:val="32"/>
        </w:rPr>
        <w:t>绩效目标：在我区已于2014-2015年的测绘成果的基础上，对其修测面积30平方千米，新测补测面积15平方千米,包括航空摄影测量、像片控制测量、空三测量、航测外业调绘、地形图新测补测、数据编辑、成果整理与数据入库、质量检查、成果验收等各项工作。</w:t>
      </w:r>
    </w:p>
    <w:p>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完成情况：已完成</w:t>
      </w:r>
      <w:r>
        <w:rPr>
          <w:rFonts w:hint="eastAsia" w:ascii="仿宋" w:hAnsi="仿宋" w:eastAsia="仿宋" w:cs="仿宋"/>
          <w:sz w:val="32"/>
          <w:szCs w:val="32"/>
        </w:rPr>
        <w:t>我区数字城市的基础数据采集工作，对区内45平方千米地表图为主的基础地理信息数据进行更新</w:t>
      </w:r>
      <w:r>
        <w:rPr>
          <w:rFonts w:hint="eastAsia" w:ascii="仿宋" w:hAnsi="仿宋" w:eastAsia="仿宋" w:cs="仿宋"/>
          <w:sz w:val="32"/>
          <w:szCs w:val="32"/>
          <w:lang w:eastAsia="zh-CN"/>
        </w:rPr>
        <w:t>。</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、古树名木管护</w:t>
      </w:r>
    </w:p>
    <w:p>
      <w:pPr>
        <w:pStyle w:val="15"/>
        <w:rPr>
          <w:rFonts w:hint="eastAsia" w:ascii="仿宋" w:hAnsi="仿宋" w:eastAsia="仿宋" w:cs="仿宋"/>
          <w:sz w:val="32"/>
          <w:szCs w:val="32"/>
        </w:rPr>
      </w:pPr>
      <w:r>
        <w:rPr>
          <w:rFonts w:hint="eastAsia" w:ascii="仿宋" w:hAnsi="仿宋" w:eastAsia="仿宋" w:cs="仿宋"/>
          <w:sz w:val="32"/>
          <w:szCs w:val="32"/>
        </w:rPr>
        <w:t xml:space="preserve">绩效目标：加强古树名木的日常监管，敦促古树管护责任人在古树生长期进行施肥、浇水、病虫防治等，同时对各乡镇及相关部门统计上报的受损古树及时进行维修，确保登记在册古树能够正常生长。 </w:t>
      </w:r>
    </w:p>
    <w:p>
      <w:pPr>
        <w:pStyle w:val="15"/>
        <w:rPr>
          <w:rFonts w:hint="eastAsia" w:ascii="仿宋" w:hAnsi="仿宋" w:eastAsia="仿宋" w:cs="仿宋"/>
          <w:sz w:val="32"/>
          <w:szCs w:val="32"/>
        </w:rPr>
      </w:pPr>
      <w:r>
        <w:rPr>
          <w:rFonts w:hint="eastAsia" w:ascii="仿宋" w:hAnsi="仿宋" w:eastAsia="仿宋" w:cs="仿宋"/>
          <w:sz w:val="32"/>
          <w:szCs w:val="32"/>
        </w:rPr>
        <w:t>绩效指标：加强359棵古树的施肥、浇水等日常管护工作，保持古树正常生长；根据预算资金对申请维修的古树进行树洞清理、支撑保护、树身加固、树冠整理、安装护栏等维护工作，确保受损古树得到及时救治和复壮。</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359</w:t>
      </w:r>
      <w:r>
        <w:rPr>
          <w:rFonts w:hint="eastAsia" w:ascii="仿宋" w:hAnsi="仿宋" w:eastAsia="仿宋" w:cs="仿宋"/>
          <w:sz w:val="32"/>
          <w:szCs w:val="32"/>
        </w:rPr>
        <w:t>棵受损古树</w:t>
      </w:r>
      <w:r>
        <w:rPr>
          <w:rFonts w:hint="eastAsia" w:ascii="仿宋" w:hAnsi="仿宋" w:eastAsia="仿宋" w:cs="仿宋"/>
          <w:sz w:val="32"/>
          <w:szCs w:val="32"/>
          <w:lang w:eastAsia="zh-CN"/>
        </w:rPr>
        <w:t>得到及时救治、复壮和维护。</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、林地变更调查</w:t>
      </w:r>
    </w:p>
    <w:p>
      <w:pPr>
        <w:pStyle w:val="15"/>
        <w:rPr>
          <w:rFonts w:hint="eastAsia" w:ascii="仿宋" w:hAnsi="仿宋" w:eastAsia="仿宋" w:cs="仿宋"/>
          <w:sz w:val="32"/>
          <w:szCs w:val="32"/>
        </w:rPr>
      </w:pPr>
      <w:r>
        <w:rPr>
          <w:rFonts w:hint="eastAsia" w:ascii="仿宋" w:hAnsi="仿宋" w:eastAsia="仿宋" w:cs="仿宋"/>
          <w:sz w:val="32"/>
          <w:szCs w:val="32"/>
        </w:rPr>
        <w:t>绩效目标：对本年度行政区域范围内所发生的林地边界范围、林地利用状况、林地管理属性等变更情况进行调查，保护林地，提高林地利用率。</w:t>
      </w:r>
    </w:p>
    <w:p>
      <w:pPr>
        <w:pStyle w:val="15"/>
        <w:rPr>
          <w:rFonts w:hint="eastAsia" w:ascii="仿宋" w:hAnsi="仿宋" w:eastAsia="仿宋" w:cs="仿宋"/>
          <w:sz w:val="32"/>
          <w:szCs w:val="32"/>
        </w:rPr>
      </w:pPr>
      <w:r>
        <w:rPr>
          <w:rFonts w:hint="eastAsia" w:ascii="仿宋" w:hAnsi="仿宋" w:eastAsia="仿宋" w:cs="仿宋"/>
          <w:sz w:val="32"/>
          <w:szCs w:val="32"/>
        </w:rPr>
        <w:t>绩效指标：对全区13个乡镇本年度新造林地逐块上图，对征占用林地的地块及采伐、消耗的林地现场核实上图，形成本年度林地矢量图。</w:t>
      </w:r>
    </w:p>
    <w:p>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完成情况：已完成全区</w:t>
      </w:r>
      <w:r>
        <w:rPr>
          <w:rFonts w:hint="eastAsia" w:ascii="仿宋" w:hAnsi="仿宋" w:eastAsia="仿宋" w:cs="仿宋"/>
          <w:sz w:val="32"/>
          <w:szCs w:val="32"/>
          <w:lang w:val="en-US" w:eastAsia="zh-CN"/>
        </w:rPr>
        <w:t>13个乡镇的林地矢量图。</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、森林草原湿地综合调查监测</w:t>
      </w:r>
    </w:p>
    <w:p>
      <w:pPr>
        <w:pStyle w:val="15"/>
        <w:rPr>
          <w:rFonts w:hint="eastAsia" w:ascii="仿宋" w:hAnsi="仿宋" w:eastAsia="仿宋" w:cs="仿宋"/>
          <w:sz w:val="32"/>
          <w:szCs w:val="32"/>
        </w:rPr>
      </w:pPr>
      <w:r>
        <w:rPr>
          <w:rFonts w:hint="eastAsia" w:ascii="仿宋" w:hAnsi="仿宋" w:eastAsia="仿宋" w:cs="仿宋"/>
          <w:sz w:val="32"/>
          <w:szCs w:val="32"/>
        </w:rPr>
        <w:t>绩效目标：完成国家下发的森林、草原、湿地的样地调查；完成国家下发的变化监测图斑的调查核实。</w:t>
      </w:r>
    </w:p>
    <w:p>
      <w:pPr>
        <w:pStyle w:val="15"/>
        <w:rPr>
          <w:rFonts w:hint="eastAsia" w:ascii="仿宋" w:hAnsi="仿宋" w:eastAsia="仿宋" w:cs="仿宋"/>
          <w:sz w:val="32"/>
          <w:szCs w:val="32"/>
        </w:rPr>
      </w:pPr>
      <w:r>
        <w:rPr>
          <w:rFonts w:hint="eastAsia" w:ascii="仿宋" w:hAnsi="仿宋" w:eastAsia="仿宋" w:cs="仿宋"/>
          <w:sz w:val="32"/>
          <w:szCs w:val="32"/>
        </w:rPr>
        <w:t>绩效指标：样地调查、图斑监测完成率100%，调查核实准确率95%以上，及时提供林草数据。</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完成国家下发的森林、草原、湿地的样地调查；完成国家下发的变化监测图斑的调查核实。</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17</w:t>
      </w:r>
      <w:r>
        <w:rPr>
          <w:rFonts w:hint="eastAsia" w:ascii="仿宋" w:hAnsi="仿宋" w:eastAsia="仿宋" w:cs="仿宋"/>
          <w:sz w:val="32"/>
          <w:szCs w:val="32"/>
        </w:rPr>
        <w:t>、造林绿化空间适宜性评估</w:t>
      </w:r>
    </w:p>
    <w:p>
      <w:pPr>
        <w:pStyle w:val="15"/>
        <w:rPr>
          <w:rFonts w:hint="eastAsia" w:ascii="仿宋" w:hAnsi="仿宋" w:eastAsia="仿宋" w:cs="仿宋"/>
          <w:sz w:val="32"/>
          <w:szCs w:val="32"/>
        </w:rPr>
      </w:pPr>
      <w:r>
        <w:rPr>
          <w:rFonts w:hint="eastAsia" w:ascii="仿宋" w:hAnsi="仿宋" w:eastAsia="仿宋" w:cs="仿宋"/>
          <w:sz w:val="32"/>
          <w:szCs w:val="32"/>
        </w:rPr>
        <w:t>绩效目标：完成上级下发图斑的适宜性评估工作，落实适宜造林绿化空间面积5万亩。</w:t>
      </w:r>
    </w:p>
    <w:p>
      <w:pPr>
        <w:pStyle w:val="15"/>
        <w:rPr>
          <w:rFonts w:hint="eastAsia" w:ascii="仿宋" w:hAnsi="仿宋" w:eastAsia="仿宋" w:cs="仿宋"/>
          <w:sz w:val="32"/>
          <w:szCs w:val="32"/>
        </w:rPr>
      </w:pPr>
      <w:r>
        <w:rPr>
          <w:rFonts w:hint="eastAsia" w:ascii="仿宋" w:hAnsi="仿宋" w:eastAsia="仿宋" w:cs="仿宋"/>
          <w:sz w:val="32"/>
          <w:szCs w:val="32"/>
        </w:rPr>
        <w:t>绩效指标：纳入造林绿化空间面积不低于5万亩，造林绿化任务面积落实率100%，群众满意度大于90%。</w:t>
      </w:r>
    </w:p>
    <w:p>
      <w:pPr>
        <w:pStyle w:val="15"/>
        <w:rPr>
          <w:rFonts w:hint="eastAsia" w:ascii="仿宋" w:hAnsi="仿宋" w:eastAsia="仿宋" w:cs="仿宋"/>
          <w:color w:val="FF0000"/>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完成上级下发图斑的适宜性评估工作，落实适宜造林绿化空间面积5万亩。</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18</w:t>
      </w:r>
      <w:r>
        <w:rPr>
          <w:rFonts w:hint="eastAsia" w:ascii="仿宋" w:hAnsi="仿宋" w:eastAsia="仿宋" w:cs="仿宋"/>
          <w:sz w:val="32"/>
          <w:szCs w:val="32"/>
        </w:rPr>
        <w:t>、耕地卫片监督与进出平衡系统填报及核实（2024年度实施）</w:t>
      </w:r>
    </w:p>
    <w:p>
      <w:pPr>
        <w:pStyle w:val="15"/>
        <w:rPr>
          <w:rFonts w:hint="eastAsia" w:ascii="仿宋" w:hAnsi="仿宋" w:eastAsia="仿宋" w:cs="仿宋"/>
          <w:sz w:val="32"/>
          <w:szCs w:val="32"/>
        </w:rPr>
      </w:pPr>
      <w:r>
        <w:rPr>
          <w:rFonts w:hint="eastAsia" w:ascii="仿宋" w:hAnsi="仿宋" w:eastAsia="仿宋" w:cs="仿宋"/>
          <w:sz w:val="32"/>
          <w:szCs w:val="32"/>
        </w:rPr>
        <w:t>绩效目标：贯彻落实党中央国务院关于遏制耕地“非农化” 、防止“非粮化”，落实最严格的耕地保护制度，着力解决长期存在的耕地转为其他类型农用地；完成全区2000个耕地卫片监督系统及省市级下发图斑的核查核实，并对全区1000个进出平衡地块进行落实。</w:t>
      </w:r>
    </w:p>
    <w:p>
      <w:pPr>
        <w:pStyle w:val="15"/>
        <w:rPr>
          <w:rFonts w:hint="eastAsia" w:ascii="仿宋" w:hAnsi="仿宋" w:eastAsia="仿宋" w:cs="仿宋"/>
          <w:sz w:val="32"/>
          <w:szCs w:val="32"/>
        </w:rPr>
      </w:pPr>
      <w:r>
        <w:rPr>
          <w:rFonts w:hint="eastAsia" w:ascii="仿宋" w:hAnsi="仿宋" w:eastAsia="仿宋" w:cs="仿宋"/>
          <w:sz w:val="32"/>
          <w:szCs w:val="32"/>
        </w:rPr>
        <w:t>绩效指标：核查核实耕地卫片监督系统及省市级下发的2000个图斑，完成对重点监督图斑的4000次测量，编制全区1000个地块的进出平衡方案。</w:t>
      </w:r>
    </w:p>
    <w:p>
      <w:pPr>
        <w:pStyle w:val="15"/>
        <w:rPr>
          <w:rFonts w:hint="eastAsia" w:ascii="仿宋" w:hAnsi="仿宋" w:eastAsia="仿宋" w:cs="仿宋"/>
          <w:sz w:val="32"/>
          <w:szCs w:val="32"/>
          <w:lang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lang w:eastAsia="zh-CN"/>
        </w:rPr>
        <w:t>已完成</w:t>
      </w:r>
      <w:r>
        <w:rPr>
          <w:rFonts w:hint="eastAsia" w:ascii="仿宋" w:hAnsi="仿宋" w:eastAsia="仿宋" w:cs="仿宋"/>
          <w:sz w:val="32"/>
          <w:szCs w:val="32"/>
        </w:rPr>
        <w:t>耕地卫片监督与进出平系统填报与核实工作，以及编制年度进出平衡方案</w:t>
      </w:r>
      <w:r>
        <w:rPr>
          <w:rFonts w:hint="eastAsia" w:ascii="仿宋" w:hAnsi="仿宋" w:eastAsia="仿宋" w:cs="仿宋"/>
          <w:sz w:val="32"/>
          <w:szCs w:val="32"/>
          <w:lang w:eastAsia="zh-CN"/>
        </w:rPr>
        <w:t>。</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19</w:t>
      </w:r>
      <w:r>
        <w:rPr>
          <w:rFonts w:hint="eastAsia" w:ascii="仿宋" w:hAnsi="仿宋" w:eastAsia="仿宋" w:cs="仿宋"/>
          <w:sz w:val="32"/>
          <w:szCs w:val="32"/>
        </w:rPr>
        <w:t>、</w:t>
      </w:r>
      <w:r>
        <w:rPr>
          <w:sz w:val="32"/>
          <w:szCs w:val="24"/>
        </w:rPr>
        <w:t>耕地占补平衡</w:t>
      </w:r>
    </w:p>
    <w:p>
      <w:pPr>
        <w:pStyle w:val="15"/>
        <w:rPr>
          <w:sz w:val="32"/>
          <w:szCs w:val="24"/>
        </w:rPr>
      </w:pPr>
      <w:r>
        <w:rPr>
          <w:sz w:val="32"/>
          <w:szCs w:val="24"/>
        </w:rPr>
        <w:t>绩效目标：有效增加新增耕地面积，实现财政收入增加。</w:t>
      </w:r>
    </w:p>
    <w:p>
      <w:pPr>
        <w:pStyle w:val="15"/>
        <w:rPr>
          <w:rFonts w:hint="eastAsia" w:ascii="仿宋" w:hAnsi="仿宋" w:eastAsia="仿宋" w:cs="仿宋"/>
          <w:sz w:val="36"/>
          <w:szCs w:val="36"/>
        </w:rPr>
      </w:pPr>
      <w:r>
        <w:rPr>
          <w:sz w:val="32"/>
          <w:szCs w:val="24"/>
        </w:rPr>
        <w:t>绩效指标：完成全区115亩园林地整理为耕地图斑的调查，对110亩新增耕地完成外业调查测量、土壤化验、拍照举证，制作报告图册一套，完成新增耕地的上图入库。</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eastAsia="zh-CN"/>
        </w:rPr>
        <w:t>完成情况：</w:t>
      </w:r>
      <w:r>
        <w:rPr>
          <w:sz w:val="32"/>
          <w:szCs w:val="24"/>
        </w:rPr>
        <w:t>完成全区115亩园林地整理为耕地图斑的调查，对110亩新增耕地完成外业调查测量、土壤化验、拍照举证，制作报告图册一套，完成新增耕地的上图入库。</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20</w:t>
      </w:r>
      <w:r>
        <w:rPr>
          <w:rFonts w:hint="eastAsia" w:ascii="仿宋" w:hAnsi="仿宋" w:eastAsia="仿宋" w:cs="仿宋"/>
          <w:sz w:val="32"/>
          <w:szCs w:val="32"/>
        </w:rPr>
        <w:t>、高标准农田建设项目提质改造产能认定</w:t>
      </w:r>
    </w:p>
    <w:p>
      <w:pPr>
        <w:pStyle w:val="15"/>
        <w:rPr>
          <w:rFonts w:hint="eastAsia" w:ascii="仿宋" w:hAnsi="仿宋" w:eastAsia="仿宋" w:cs="仿宋"/>
          <w:sz w:val="32"/>
          <w:szCs w:val="32"/>
        </w:rPr>
      </w:pPr>
      <w:r>
        <w:rPr>
          <w:rFonts w:hint="eastAsia" w:ascii="仿宋" w:hAnsi="仿宋" w:eastAsia="仿宋" w:cs="仿宋"/>
          <w:sz w:val="32"/>
          <w:szCs w:val="32"/>
        </w:rPr>
        <w:t>绩效目标：结合农业农村部门高标准农田建设提质改造项目，完成1.46万亩高标准农田建设提质改造项目产能测算，落实“藏粮于底，藏粮于技”战略，实现产能提升。</w:t>
      </w:r>
    </w:p>
    <w:p>
      <w:pPr>
        <w:pStyle w:val="15"/>
        <w:rPr>
          <w:rFonts w:hint="eastAsia" w:ascii="仿宋" w:hAnsi="仿宋" w:eastAsia="仿宋" w:cs="仿宋"/>
          <w:sz w:val="32"/>
          <w:szCs w:val="32"/>
        </w:rPr>
      </w:pPr>
      <w:r>
        <w:rPr>
          <w:rFonts w:hint="eastAsia" w:ascii="仿宋" w:hAnsi="仿宋" w:eastAsia="仿宋" w:cs="仿宋"/>
          <w:sz w:val="32"/>
          <w:szCs w:val="32"/>
        </w:rPr>
        <w:t>绩效指标：完成全区1.46万亩高标准农田建设项目的提质改造项目产能测算，对可提升产能的耕地完成外业调查测量、土壤化验、拍照举证，制作报告图册一套。</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完成1.46万亩高标准农田建设提质改造项目产能测算，落实“藏粮于底，藏粮于技”战略</w:t>
      </w:r>
      <w:r>
        <w:rPr>
          <w:rFonts w:hint="eastAsia" w:ascii="仿宋" w:hAnsi="仿宋" w:eastAsia="仿宋" w:cs="仿宋"/>
          <w:sz w:val="32"/>
          <w:szCs w:val="32"/>
          <w:lang w:eastAsia="zh-CN"/>
        </w:rPr>
        <w:t>。</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21</w:t>
      </w:r>
      <w:r>
        <w:rPr>
          <w:rFonts w:hint="eastAsia" w:ascii="仿宋" w:hAnsi="仿宋" w:eastAsia="仿宋" w:cs="仿宋"/>
          <w:sz w:val="32"/>
          <w:szCs w:val="32"/>
        </w:rPr>
        <w:t>、永久基本农田划定成果核实处置</w:t>
      </w:r>
    </w:p>
    <w:p>
      <w:pPr>
        <w:pStyle w:val="15"/>
        <w:rPr>
          <w:rFonts w:hint="eastAsia" w:ascii="仿宋" w:hAnsi="仿宋" w:eastAsia="仿宋" w:cs="仿宋"/>
          <w:sz w:val="32"/>
          <w:szCs w:val="32"/>
        </w:rPr>
      </w:pPr>
      <w:r>
        <w:rPr>
          <w:rFonts w:hint="eastAsia" w:ascii="仿宋" w:hAnsi="仿宋" w:eastAsia="仿宋" w:cs="仿宋"/>
          <w:sz w:val="32"/>
          <w:szCs w:val="32"/>
        </w:rPr>
        <w:t>绩效目标：开展永久基本农田控制线统筹划定及现状基本农田自查评估，优化农用地利用结构和布局。</w:t>
      </w:r>
    </w:p>
    <w:p>
      <w:pPr>
        <w:pStyle w:val="15"/>
        <w:ind w:left="0" w:leftChars="0" w:firstLine="640" w:firstLineChars="200"/>
        <w:rPr>
          <w:rFonts w:hint="eastAsia" w:ascii="仿宋" w:hAnsi="仿宋" w:eastAsia="仿宋" w:cs="仿宋"/>
          <w:sz w:val="32"/>
          <w:szCs w:val="32"/>
        </w:rPr>
      </w:pPr>
      <w:r>
        <w:rPr>
          <w:rFonts w:hint="eastAsia" w:ascii="仿宋" w:hAnsi="仿宋" w:eastAsia="仿宋" w:cs="仿宋"/>
          <w:sz w:val="32"/>
          <w:szCs w:val="32"/>
        </w:rPr>
        <w:t>绩效指标：完成全区耕地保护目标中需核实处置的非耕地图斑3106个，核实处置面积10223.41亩，对核实处置图斑分类处置，制定处置方案，并上图入库。</w:t>
      </w:r>
    </w:p>
    <w:p>
      <w:pPr>
        <w:pStyle w:val="15"/>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rPr>
        <w:t>完成全区</w:t>
      </w:r>
      <w:r>
        <w:rPr>
          <w:rFonts w:hint="eastAsia" w:ascii="仿宋" w:hAnsi="仿宋" w:eastAsia="仿宋" w:cs="仿宋"/>
          <w:sz w:val="32"/>
          <w:szCs w:val="32"/>
          <w:lang w:eastAsia="zh-CN"/>
        </w:rPr>
        <w:t>非</w:t>
      </w:r>
      <w:r>
        <w:rPr>
          <w:rFonts w:hint="eastAsia" w:ascii="仿宋" w:hAnsi="仿宋" w:eastAsia="仿宋" w:cs="仿宋"/>
          <w:sz w:val="32"/>
          <w:szCs w:val="32"/>
        </w:rPr>
        <w:t>耕地</w:t>
      </w:r>
      <w:r>
        <w:rPr>
          <w:rFonts w:hint="eastAsia" w:ascii="仿宋" w:hAnsi="仿宋" w:eastAsia="仿宋" w:cs="仿宋"/>
          <w:sz w:val="32"/>
          <w:szCs w:val="32"/>
          <w:lang w:eastAsia="zh-CN"/>
        </w:rPr>
        <w:t>图斑的分类处置，制定方案及上图入库。</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22</w:t>
      </w:r>
      <w:r>
        <w:rPr>
          <w:rFonts w:hint="eastAsia" w:ascii="仿宋" w:hAnsi="仿宋" w:eastAsia="仿宋" w:cs="仿宋"/>
          <w:sz w:val="32"/>
          <w:szCs w:val="32"/>
        </w:rPr>
        <w:t>、控制性详细规划、专项规划及城市设计等项目</w:t>
      </w:r>
    </w:p>
    <w:p>
      <w:pPr>
        <w:pStyle w:val="15"/>
        <w:rPr>
          <w:rFonts w:hint="eastAsia" w:ascii="仿宋" w:hAnsi="仿宋" w:eastAsia="仿宋" w:cs="仿宋"/>
          <w:sz w:val="32"/>
          <w:szCs w:val="32"/>
        </w:rPr>
      </w:pPr>
      <w:r>
        <w:rPr>
          <w:rFonts w:hint="eastAsia" w:ascii="仿宋" w:hAnsi="仿宋" w:eastAsia="仿宋" w:cs="仿宋"/>
          <w:sz w:val="32"/>
          <w:szCs w:val="32"/>
        </w:rPr>
        <w:t>绩效目标：控制性详细规划、专项规划及城市设计等。</w:t>
      </w:r>
    </w:p>
    <w:p>
      <w:pPr>
        <w:pStyle w:val="15"/>
        <w:rPr>
          <w:rFonts w:hint="eastAsia" w:ascii="仿宋" w:hAnsi="仿宋" w:eastAsia="仿宋" w:cs="仿宋"/>
          <w:sz w:val="32"/>
          <w:szCs w:val="32"/>
        </w:rPr>
      </w:pPr>
      <w:r>
        <w:rPr>
          <w:rFonts w:hint="eastAsia" w:ascii="仿宋" w:hAnsi="仿宋" w:eastAsia="仿宋" w:cs="仿宋"/>
          <w:sz w:val="32"/>
          <w:szCs w:val="32"/>
        </w:rPr>
        <w:t>绩效指标：规划编制旧欠包含两个项目，为石家庄市鹿泉片区城市设计和西部山前片区特色规划；全域乡村建设总体规划总面积613.95平方公里；停车设施专项规划建设用地面积38平方公里；中心城区1-7街城市设计规划面积约340公顷;批而未供土地控规编制规划面积约3431亩；主城区重要地段、街区城市设计规划面积10公顷；2022年动态维护是对鹿泉中心城区不符合当前经济发展和业态需求的用地性质进行动态调整，使其符合城市发展规划和需求。</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完成情况：完成鹿泉城区的城市设计及专项规划，对不符合当前经济发展和</w:t>
      </w:r>
      <w:r>
        <w:rPr>
          <w:rFonts w:hint="eastAsia" w:ascii="仿宋" w:hAnsi="仿宋" w:eastAsia="仿宋" w:cs="仿宋"/>
          <w:sz w:val="32"/>
          <w:szCs w:val="32"/>
        </w:rPr>
        <w:t>态需求的用地性质进行动态调整，使其符合城市发展规划和需求。</w:t>
      </w:r>
    </w:p>
    <w:p>
      <w:pPr>
        <w:pStyle w:val="15"/>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val="en-US" w:eastAsia="zh-CN"/>
        </w:rPr>
        <w:t>3</w:t>
      </w:r>
      <w:r>
        <w:rPr>
          <w:rFonts w:hint="eastAsia" w:ascii="仿宋" w:hAnsi="仿宋" w:eastAsia="仿宋" w:cs="仿宋"/>
          <w:sz w:val="32"/>
          <w:szCs w:val="32"/>
        </w:rPr>
        <w:t>、园地林地草地定级和基准地价制订</w:t>
      </w:r>
    </w:p>
    <w:p>
      <w:pPr>
        <w:pStyle w:val="15"/>
        <w:rPr>
          <w:rFonts w:hint="eastAsia" w:ascii="仿宋" w:hAnsi="仿宋" w:eastAsia="仿宋" w:cs="仿宋"/>
          <w:sz w:val="32"/>
          <w:szCs w:val="32"/>
        </w:rPr>
      </w:pPr>
      <w:r>
        <w:rPr>
          <w:rFonts w:hint="eastAsia" w:ascii="仿宋" w:hAnsi="仿宋" w:eastAsia="仿宋" w:cs="仿宋"/>
          <w:sz w:val="32"/>
          <w:szCs w:val="32"/>
        </w:rPr>
        <w:t>绩效目标：综合评价全区园地林地草地质量分布状况，为政府公示价格体系建设、自然资源“两统一”管理提供支撑。</w:t>
      </w:r>
    </w:p>
    <w:p>
      <w:pPr>
        <w:pStyle w:val="15"/>
        <w:rPr>
          <w:rFonts w:hint="eastAsia" w:ascii="仿宋" w:hAnsi="仿宋" w:eastAsia="仿宋" w:cs="仿宋"/>
          <w:sz w:val="32"/>
          <w:szCs w:val="32"/>
        </w:rPr>
      </w:pPr>
      <w:r>
        <w:rPr>
          <w:rFonts w:hint="eastAsia" w:ascii="仿宋" w:hAnsi="仿宋" w:eastAsia="仿宋" w:cs="仿宋"/>
          <w:sz w:val="32"/>
          <w:szCs w:val="32"/>
        </w:rPr>
        <w:t>绩效指标：完成全区208个村园地林地草地定级和基准地价制订，编制园地、林地、草地级别和基准地价工作报告一本和园地、林地、草地级别和基准地价制定技术报告一本。</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完成全区208个村园地林地草地定级和基准地价制订，编制园地、林地、草地级别和基准地价工作报告一本和园地、林地、草地级别和基准地价制定技术报告一本。</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24</w:t>
      </w:r>
      <w:r>
        <w:rPr>
          <w:rFonts w:hint="eastAsia" w:ascii="仿宋" w:hAnsi="仿宋" w:eastAsia="仿宋" w:cs="仿宋"/>
          <w:sz w:val="32"/>
          <w:szCs w:val="32"/>
        </w:rPr>
        <w:t>、绿化占地类补助项目含绿色通道（青银、京昆、西柏坡高速，石闫、京赞、衡井、宜微、红旗大街南延等，石闫、京赞、石铜）、环城绿化林带、2018年太行山绿化、2019年春季、秋冬季造林，2020年春季造林，2022年人工造林。</w:t>
      </w:r>
    </w:p>
    <w:p>
      <w:pPr>
        <w:pStyle w:val="15"/>
        <w:rPr>
          <w:rFonts w:hint="eastAsia" w:ascii="仿宋" w:hAnsi="仿宋" w:eastAsia="仿宋" w:cs="仿宋"/>
          <w:sz w:val="32"/>
          <w:szCs w:val="32"/>
        </w:rPr>
      </w:pPr>
      <w:r>
        <w:rPr>
          <w:rFonts w:hint="eastAsia" w:ascii="仿宋" w:hAnsi="仿宋" w:eastAsia="仿宋" w:cs="仿宋"/>
          <w:sz w:val="32"/>
          <w:szCs w:val="32"/>
        </w:rPr>
        <w:t>绩效目标：督导群众做好日常管护，切实巩固绿化成果，确保全区绿量不断增加，生态环境逐年得到改善。</w:t>
      </w:r>
    </w:p>
    <w:p>
      <w:pPr>
        <w:pStyle w:val="15"/>
        <w:rPr>
          <w:rFonts w:hint="eastAsia" w:ascii="仿宋" w:hAnsi="仿宋" w:eastAsia="仿宋" w:cs="仿宋"/>
          <w:sz w:val="32"/>
          <w:szCs w:val="32"/>
        </w:rPr>
      </w:pPr>
      <w:r>
        <w:rPr>
          <w:rFonts w:hint="eastAsia" w:ascii="仿宋" w:hAnsi="仿宋" w:eastAsia="仿宋" w:cs="仿宋"/>
          <w:sz w:val="32"/>
          <w:szCs w:val="32"/>
        </w:rPr>
        <w:t>绩效指标：树木保存率达到85%以上的视为合格，并发放补助资金，达不到85%的为不合格，不予发放补助资金。群众满意度90%以上。</w:t>
      </w:r>
    </w:p>
    <w:p>
      <w:pPr>
        <w:pStyle w:val="15"/>
        <w:rPr>
          <w:rFonts w:hint="eastAsia" w:ascii="仿宋" w:hAnsi="仿宋" w:eastAsia="仿宋" w:cs="仿宋"/>
          <w:sz w:val="32"/>
          <w:szCs w:val="32"/>
          <w:lang w:eastAsia="zh-CN"/>
        </w:rPr>
      </w:pPr>
      <w:r>
        <w:rPr>
          <w:rFonts w:hint="eastAsia" w:ascii="仿宋" w:hAnsi="仿宋" w:eastAsia="仿宋" w:cs="仿宋"/>
          <w:sz w:val="32"/>
          <w:szCs w:val="32"/>
          <w:lang w:eastAsia="zh-CN"/>
        </w:rPr>
        <w:t>完成情况：通过造林使全区绿量不断增加，生态环境得到改善。</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25</w:t>
      </w:r>
      <w:r>
        <w:rPr>
          <w:rFonts w:hint="eastAsia" w:ascii="仿宋" w:hAnsi="仿宋" w:eastAsia="仿宋" w:cs="仿宋"/>
          <w:sz w:val="32"/>
          <w:szCs w:val="32"/>
        </w:rPr>
        <w:t>、森林植被恢复费、宜安镇东焦中队造林工程</w:t>
      </w:r>
    </w:p>
    <w:p>
      <w:pPr>
        <w:pStyle w:val="15"/>
        <w:rPr>
          <w:rFonts w:hint="eastAsia" w:ascii="仿宋" w:hAnsi="仿宋" w:eastAsia="仿宋" w:cs="仿宋"/>
          <w:sz w:val="32"/>
          <w:szCs w:val="32"/>
        </w:rPr>
      </w:pPr>
      <w:r>
        <w:rPr>
          <w:rFonts w:hint="eastAsia" w:ascii="仿宋" w:hAnsi="仿宋" w:eastAsia="仿宋" w:cs="仿宋"/>
          <w:sz w:val="32"/>
          <w:szCs w:val="32"/>
        </w:rPr>
        <w:t>绩效目标：通过实施工程，增加林地面积，切实改善生态环境。</w:t>
      </w:r>
    </w:p>
    <w:p>
      <w:pPr>
        <w:pStyle w:val="15"/>
        <w:rPr>
          <w:rFonts w:hint="eastAsia" w:ascii="仿宋" w:hAnsi="仿宋" w:eastAsia="仿宋" w:cs="仿宋"/>
          <w:sz w:val="32"/>
          <w:szCs w:val="32"/>
        </w:rPr>
      </w:pPr>
      <w:r>
        <w:rPr>
          <w:rFonts w:hint="eastAsia" w:ascii="仿宋" w:hAnsi="仿宋" w:eastAsia="仿宋" w:cs="仿宋"/>
          <w:sz w:val="32"/>
          <w:szCs w:val="32"/>
        </w:rPr>
        <w:t>绩效指标：林木保存率达到85%以上</w:t>
      </w:r>
      <w:r>
        <w:rPr>
          <w:rFonts w:hint="eastAsia" w:ascii="仿宋" w:hAnsi="仿宋" w:eastAsia="仿宋" w:cs="仿宋"/>
          <w:sz w:val="32"/>
          <w:szCs w:val="32"/>
          <w:lang w:eastAsia="zh-CN"/>
        </w:rPr>
        <w:t>，</w:t>
      </w:r>
      <w:r>
        <w:rPr>
          <w:rFonts w:hint="eastAsia" w:ascii="仿宋" w:hAnsi="仿宋" w:eastAsia="仿宋" w:cs="仿宋"/>
          <w:sz w:val="32"/>
          <w:szCs w:val="32"/>
        </w:rPr>
        <w:t>群众满意度90%以上。</w:t>
      </w:r>
    </w:p>
    <w:p>
      <w:pPr>
        <w:pStyle w:val="15"/>
        <w:rPr>
          <w:rFonts w:hint="eastAsia" w:ascii="仿宋" w:hAnsi="仿宋" w:eastAsia="仿宋" w:cs="仿宋"/>
          <w:sz w:val="32"/>
          <w:szCs w:val="32"/>
          <w:lang w:val="en-US"/>
        </w:rPr>
      </w:pPr>
      <w:r>
        <w:rPr>
          <w:rFonts w:hint="eastAsia" w:ascii="仿宋" w:hAnsi="仿宋" w:eastAsia="仿宋" w:cs="仿宋"/>
          <w:sz w:val="32"/>
          <w:szCs w:val="32"/>
          <w:lang w:eastAsia="zh-CN"/>
        </w:rPr>
        <w:t>完成情况：植被回复面积达</w:t>
      </w:r>
      <w:r>
        <w:rPr>
          <w:rFonts w:hint="eastAsia" w:ascii="仿宋" w:hAnsi="仿宋" w:eastAsia="仿宋" w:cs="仿宋"/>
          <w:sz w:val="32"/>
          <w:szCs w:val="32"/>
          <w:lang w:val="en-US" w:eastAsia="zh-CN"/>
        </w:rPr>
        <w:t>100%，林木保存率达85%，切实改善生态环境。</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26、</w:t>
      </w:r>
      <w:r>
        <w:rPr>
          <w:rFonts w:hint="eastAsia" w:ascii="仿宋" w:hAnsi="仿宋" w:eastAsia="仿宋" w:cs="仿宋"/>
          <w:sz w:val="32"/>
          <w:szCs w:val="32"/>
        </w:rPr>
        <w:t>林果示范园、林果景观提升工程</w:t>
      </w:r>
    </w:p>
    <w:p>
      <w:pPr>
        <w:pStyle w:val="15"/>
        <w:rPr>
          <w:rFonts w:hint="eastAsia" w:ascii="仿宋" w:hAnsi="仿宋" w:eastAsia="仿宋" w:cs="仿宋"/>
          <w:sz w:val="32"/>
          <w:szCs w:val="32"/>
        </w:rPr>
      </w:pPr>
      <w:r>
        <w:rPr>
          <w:rFonts w:hint="eastAsia" w:ascii="仿宋" w:hAnsi="仿宋" w:eastAsia="仿宋" w:cs="仿宋"/>
          <w:sz w:val="32"/>
          <w:szCs w:val="32"/>
        </w:rPr>
        <w:t>绩效目标：通过示范园建设及四个果园的改造提升，增加林果技术示范推广，增加群众观赏性及果园经济效益。</w:t>
      </w:r>
    </w:p>
    <w:p>
      <w:pPr>
        <w:pStyle w:val="15"/>
        <w:rPr>
          <w:rFonts w:hint="eastAsia" w:ascii="仿宋" w:hAnsi="仿宋" w:eastAsia="仿宋" w:cs="仿宋"/>
          <w:sz w:val="32"/>
          <w:szCs w:val="32"/>
        </w:rPr>
      </w:pPr>
      <w:r>
        <w:rPr>
          <w:rFonts w:hint="eastAsia" w:ascii="仿宋" w:hAnsi="仿宋" w:eastAsia="仿宋" w:cs="仿宋"/>
          <w:sz w:val="32"/>
          <w:szCs w:val="32"/>
        </w:rPr>
        <w:t>绩效指标：做好示范园及四个果园的管理养护工作。群众满意度90%以上。</w:t>
      </w:r>
    </w:p>
    <w:p>
      <w:pPr>
        <w:spacing w:line="560" w:lineRule="exact"/>
        <w:ind w:firstLine="800" w:firstLineChars="25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完成情况：对</w:t>
      </w:r>
      <w:r>
        <w:rPr>
          <w:rFonts w:hint="eastAsia" w:ascii="仿宋" w:hAnsi="仿宋" w:eastAsia="仿宋" w:cs="仿宋"/>
          <w:sz w:val="32"/>
          <w:szCs w:val="32"/>
        </w:rPr>
        <w:t>四个果园改造提升</w:t>
      </w:r>
      <w:r>
        <w:rPr>
          <w:rFonts w:hint="eastAsia" w:ascii="仿宋" w:hAnsi="仿宋" w:eastAsia="仿宋" w:cs="仿宋"/>
          <w:sz w:val="32"/>
          <w:szCs w:val="32"/>
          <w:lang w:eastAsia="zh-CN"/>
        </w:rPr>
        <w:t>，</w:t>
      </w:r>
      <w:r>
        <w:rPr>
          <w:rFonts w:hint="eastAsia" w:ascii="仿宋" w:hAnsi="仿宋" w:eastAsia="仿宋" w:cs="仿宋"/>
          <w:sz w:val="32"/>
          <w:szCs w:val="32"/>
        </w:rPr>
        <w:t>增加林果技术示范推广，增加群众观赏性及果园经济效益。</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27、</w:t>
      </w:r>
      <w:r>
        <w:rPr>
          <w:rFonts w:hint="eastAsia" w:ascii="仿宋" w:hAnsi="仿宋" w:eastAsia="仿宋" w:cs="仿宋"/>
          <w:sz w:val="32"/>
          <w:szCs w:val="32"/>
        </w:rPr>
        <w:t>采集全民所有自然资源资产清查价格体系建设基础数据</w:t>
      </w:r>
    </w:p>
    <w:p>
      <w:pPr>
        <w:pStyle w:val="15"/>
        <w:rPr>
          <w:rFonts w:hint="eastAsia" w:ascii="仿宋" w:hAnsi="仿宋" w:eastAsia="仿宋" w:cs="仿宋"/>
          <w:sz w:val="32"/>
          <w:szCs w:val="32"/>
        </w:rPr>
      </w:pPr>
      <w:r>
        <w:rPr>
          <w:rFonts w:hint="eastAsia" w:ascii="仿宋" w:hAnsi="仿宋" w:eastAsia="仿宋" w:cs="仿宋"/>
          <w:sz w:val="32"/>
          <w:szCs w:val="32"/>
        </w:rPr>
        <w:t>绩效目标：在全区范围开展全民所有自然资源资产清查工作。主要任务是协助上级开展清查价格体系建设工作，配合采集全民所有资源资产清查价格体系建设和更新所需基础数据资料，更新鹿泉区内全民所有建设用地资源资产清查价格，汇总市级下发的未确定使用权人国有建设用地清查成果，形成实物量图层和价值量图层；对形成的国有建设用地、国有农用地产权图层进行自检，对各级下发的资产清查成果进行确认，建立县级资产清查成果数据库。</w:t>
      </w:r>
    </w:p>
    <w:p>
      <w:pPr>
        <w:pStyle w:val="15"/>
        <w:rPr>
          <w:rFonts w:hint="eastAsia" w:ascii="仿宋" w:hAnsi="仿宋" w:eastAsia="仿宋" w:cs="仿宋"/>
          <w:sz w:val="32"/>
          <w:szCs w:val="32"/>
        </w:rPr>
      </w:pPr>
      <w:r>
        <w:rPr>
          <w:rFonts w:hint="eastAsia" w:ascii="仿宋" w:hAnsi="仿宋" w:eastAsia="仿宋" w:cs="仿宋"/>
          <w:sz w:val="32"/>
          <w:szCs w:val="32"/>
        </w:rPr>
        <w:t>绩效指标：全民所有自然资源资产清查分为首次及时点更新两个阶段，主要为土地资源清查、矿产资源清查、森林资源资产清查、草原资源资产清查、湿地资源清查、城镇开发区边界内集体土地清查6项。</w:t>
      </w:r>
    </w:p>
    <w:p>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sz w:val="32"/>
          <w:szCs w:val="32"/>
        </w:rPr>
        <w:t>全区范围开展全民所有自然资源资产清查工作</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包括</w:t>
      </w:r>
      <w:r>
        <w:rPr>
          <w:rFonts w:hint="eastAsia" w:ascii="仿宋" w:hAnsi="仿宋" w:eastAsia="仿宋" w:cs="仿宋"/>
          <w:sz w:val="32"/>
          <w:szCs w:val="32"/>
        </w:rPr>
        <w:t>土地资源清查、矿产资源清查、森林资源资产清查、草原资源资产清查、湿地资源清查、城镇开发区边界内集体土地清查</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完成后建立县级资产清查成果数据库。</w:t>
      </w:r>
    </w:p>
    <w:p>
      <w:pPr>
        <w:pStyle w:val="15"/>
        <w:rPr>
          <w:sz w:val="32"/>
          <w:szCs w:val="24"/>
        </w:rPr>
      </w:pPr>
      <w:r>
        <w:rPr>
          <w:rFonts w:hint="eastAsia"/>
          <w:sz w:val="32"/>
          <w:szCs w:val="24"/>
          <w:lang w:val="en-US" w:eastAsia="zh-CN"/>
        </w:rPr>
        <w:t>28、</w:t>
      </w:r>
      <w:r>
        <w:rPr>
          <w:sz w:val="32"/>
          <w:szCs w:val="24"/>
        </w:rPr>
        <w:t>第三次全国古树名木资源普查</w:t>
      </w:r>
    </w:p>
    <w:p>
      <w:pPr>
        <w:pStyle w:val="15"/>
        <w:rPr>
          <w:sz w:val="32"/>
          <w:szCs w:val="24"/>
        </w:rPr>
      </w:pPr>
      <w:r>
        <w:rPr>
          <w:sz w:val="32"/>
          <w:szCs w:val="24"/>
        </w:rPr>
        <w:t>绩效目标：第三次全国古树名木资源普查是在2025年3月《古树名木保护条例》重新修订公布后首次在全区范围内开展的古树名木资源普查，进一步摸清全区古树名木资源分布、生长状况和保护管理等情况，建立数字化档案，为科学、精准、依法保护管理古树名木奠定坚实基础。</w:t>
      </w:r>
    </w:p>
    <w:p>
      <w:pPr>
        <w:pStyle w:val="15"/>
        <w:rPr>
          <w:rFonts w:hint="eastAsia" w:ascii="仿宋" w:hAnsi="仿宋" w:eastAsia="仿宋" w:cs="仿宋"/>
          <w:sz w:val="32"/>
          <w:szCs w:val="24"/>
        </w:rPr>
      </w:pPr>
      <w:r>
        <w:rPr>
          <w:sz w:val="32"/>
          <w:szCs w:val="24"/>
        </w:rPr>
        <w:t>绩效指标：对目前登记在册的</w:t>
      </w:r>
      <w:r>
        <w:rPr>
          <w:color w:val="auto"/>
          <w:sz w:val="32"/>
          <w:szCs w:val="24"/>
        </w:rPr>
        <w:t>360株古树进行更新调查</w:t>
      </w:r>
      <w:r>
        <w:rPr>
          <w:sz w:val="32"/>
          <w:szCs w:val="24"/>
        </w:rPr>
        <w:t>，补充</w:t>
      </w:r>
      <w:r>
        <w:rPr>
          <w:rFonts w:hint="eastAsia" w:ascii="仿宋" w:hAnsi="仿宋" w:eastAsia="仿宋" w:cs="仿宋"/>
          <w:sz w:val="32"/>
          <w:szCs w:val="24"/>
        </w:rPr>
        <w:t>更新有关调查因子，如树高、胸径、生长势、生长环境、保护现状等；对原有普查范围内新增的古树名木，开展地理位置确定、树种鉴定、树龄测定、测树因子测量、生长势观测、保护现状调查等；保存必要的图像和</w:t>
      </w:r>
      <w:bookmarkStart w:id="0" w:name="_GoBack"/>
      <w:bookmarkEnd w:id="0"/>
      <w:r>
        <w:rPr>
          <w:rFonts w:hint="eastAsia" w:ascii="仿宋" w:hAnsi="仿宋" w:eastAsia="仿宋" w:cs="仿宋"/>
          <w:sz w:val="32"/>
          <w:szCs w:val="24"/>
        </w:rPr>
        <w:t>影像资料；完善电子信息库；按时按要求完成成果报告。</w:t>
      </w:r>
    </w:p>
    <w:p>
      <w:pPr>
        <w:pStyle w:val="15"/>
        <w:ind w:left="0" w:leftChars="0" w:firstLine="640" w:firstLineChars="200"/>
        <w:rPr>
          <w:rFonts w:hint="eastAsia" w:ascii="仿宋" w:hAnsi="仿宋" w:eastAsia="仿宋" w:cs="仿宋"/>
          <w:sz w:val="32"/>
          <w:szCs w:val="24"/>
          <w:lang w:val="en-US" w:eastAsia="zh-CN"/>
        </w:rPr>
      </w:pPr>
      <w:r>
        <w:rPr>
          <w:rFonts w:hint="eastAsia" w:ascii="仿宋" w:hAnsi="仿宋" w:eastAsia="仿宋" w:cs="仿宋"/>
          <w:sz w:val="32"/>
          <w:szCs w:val="24"/>
          <w:lang w:val="en-US" w:eastAsia="zh-CN"/>
        </w:rPr>
        <w:t>完成情况：</w:t>
      </w:r>
      <w:r>
        <w:rPr>
          <w:rFonts w:hint="eastAsia" w:ascii="仿宋" w:hAnsi="仿宋" w:eastAsia="仿宋" w:cs="仿宋"/>
          <w:sz w:val="32"/>
          <w:szCs w:val="24"/>
        </w:rPr>
        <w:t>对目前登记在册的</w:t>
      </w:r>
      <w:r>
        <w:rPr>
          <w:rFonts w:hint="eastAsia" w:ascii="仿宋" w:hAnsi="仿宋" w:eastAsia="仿宋" w:cs="仿宋"/>
          <w:color w:val="auto"/>
          <w:sz w:val="32"/>
          <w:szCs w:val="24"/>
        </w:rPr>
        <w:t>360株古树进行</w:t>
      </w:r>
      <w:r>
        <w:rPr>
          <w:rFonts w:hint="eastAsia" w:ascii="仿宋" w:hAnsi="仿宋" w:eastAsia="仿宋" w:cs="仿宋"/>
          <w:color w:val="auto"/>
          <w:sz w:val="32"/>
          <w:szCs w:val="24"/>
          <w:lang w:val="en-US" w:eastAsia="zh-CN"/>
        </w:rPr>
        <w:t>补充</w:t>
      </w:r>
      <w:r>
        <w:rPr>
          <w:rFonts w:hint="eastAsia" w:ascii="仿宋" w:hAnsi="仿宋" w:eastAsia="仿宋" w:cs="仿宋"/>
          <w:color w:val="auto"/>
          <w:sz w:val="32"/>
          <w:szCs w:val="24"/>
        </w:rPr>
        <w:t>更新调查</w:t>
      </w:r>
    </w:p>
    <w:p>
      <w:pPr>
        <w:pStyle w:val="15"/>
        <w:ind w:left="0" w:leftChars="0" w:firstLine="0" w:firstLineChars="0"/>
        <w:rPr>
          <w:rFonts w:hint="eastAsia" w:ascii="仿宋" w:hAnsi="仿宋" w:eastAsia="仿宋" w:cs="仿宋"/>
          <w:sz w:val="32"/>
          <w:szCs w:val="24"/>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并保存</w:t>
      </w:r>
      <w:r>
        <w:rPr>
          <w:rFonts w:hint="eastAsia" w:ascii="仿宋" w:hAnsi="仿宋" w:eastAsia="仿宋" w:cs="仿宋"/>
          <w:sz w:val="32"/>
          <w:szCs w:val="24"/>
        </w:rPr>
        <w:t>必要的图像和影像资料；完善电子信息库；按时按要求完成成果报告。</w:t>
      </w:r>
    </w:p>
    <w:p>
      <w:pPr>
        <w:pStyle w:val="15"/>
        <w:rPr>
          <w:rFonts w:hint="eastAsia" w:ascii="仿宋" w:hAnsi="仿宋" w:eastAsia="仿宋" w:cs="仿宋"/>
          <w:sz w:val="32"/>
          <w:szCs w:val="32"/>
        </w:rPr>
      </w:pPr>
      <w:r>
        <w:rPr>
          <w:rFonts w:hint="eastAsia" w:ascii="仿宋" w:hAnsi="仿宋" w:eastAsia="仿宋" w:cs="仿宋"/>
          <w:sz w:val="32"/>
          <w:szCs w:val="32"/>
          <w:lang w:val="en-US" w:eastAsia="zh-CN"/>
        </w:rPr>
        <w:t xml:space="preserve">  </w:t>
      </w:r>
      <w:r>
        <w:rPr>
          <w:rFonts w:hint="eastAsia" w:ascii="仿宋" w:hAnsi="仿宋" w:eastAsia="仿宋" w:cs="仿宋"/>
          <w:sz w:val="32"/>
          <w:szCs w:val="32"/>
          <w:lang w:val="en-US" w:eastAsia="zh-CN"/>
        </w:rPr>
        <w:t xml:space="preserve"> 29</w:t>
      </w:r>
      <w:r>
        <w:rPr>
          <w:rFonts w:hint="eastAsia" w:ascii="仿宋" w:hAnsi="仿宋" w:eastAsia="仿宋" w:cs="仿宋"/>
          <w:sz w:val="32"/>
          <w:szCs w:val="32"/>
        </w:rPr>
        <w:t>、2025年城镇基准地价更新</w:t>
      </w:r>
    </w:p>
    <w:p>
      <w:pPr>
        <w:pStyle w:val="15"/>
        <w:rPr>
          <w:rFonts w:hint="eastAsia" w:ascii="仿宋" w:hAnsi="仿宋" w:eastAsia="仿宋" w:cs="仿宋"/>
          <w:sz w:val="32"/>
          <w:szCs w:val="32"/>
        </w:rPr>
      </w:pPr>
      <w:r>
        <w:rPr>
          <w:rFonts w:hint="eastAsia" w:ascii="仿宋" w:hAnsi="仿宋" w:eastAsia="仿宋" w:cs="仿宋"/>
          <w:sz w:val="32"/>
          <w:szCs w:val="32"/>
        </w:rPr>
        <w:t>绩效目标：为保证我区正常土地出让，按照工作安排2025年我区需对基准地价进行全面更新。</w:t>
      </w:r>
    </w:p>
    <w:p>
      <w:pPr>
        <w:pStyle w:val="15"/>
        <w:rPr>
          <w:rFonts w:hint="eastAsia" w:ascii="仿宋" w:hAnsi="仿宋" w:eastAsia="仿宋" w:cs="仿宋"/>
          <w:sz w:val="32"/>
          <w:szCs w:val="32"/>
        </w:rPr>
      </w:pPr>
      <w:r>
        <w:rPr>
          <w:rFonts w:hint="eastAsia" w:ascii="仿宋" w:hAnsi="仿宋" w:eastAsia="仿宋" w:cs="仿宋"/>
          <w:sz w:val="32"/>
          <w:szCs w:val="32"/>
        </w:rPr>
        <w:t>绩效指标：根据调查的各城镇定级影响因素量化结果，结合原土地定级成果进行城镇土地分类定级；在确定各用地类型级别的基础上，评估四种用地类型（商服、住宅、工业、公共管理与公共服务用地）的基准地价；编制基准地价修正系数表和基准地价影响因素指标说明表；编写鹿泉区土地级别与基准地价更新工作报告和技术报告；绘制鹿泉区土地级别和基准地价图。</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w:t>
      </w:r>
      <w:r>
        <w:rPr>
          <w:rFonts w:hint="eastAsia" w:ascii="仿宋" w:hAnsi="仿宋" w:eastAsia="仿宋" w:cs="仿宋"/>
          <w:color w:val="auto"/>
          <w:sz w:val="32"/>
          <w:szCs w:val="32"/>
          <w:lang w:val="en-US" w:eastAsia="zh-CN"/>
        </w:rPr>
        <w:t>鹿泉区基准地价更新工作目前已完成</w:t>
      </w:r>
      <w:r>
        <w:rPr>
          <w:rFonts w:hint="eastAsia" w:ascii="仿宋" w:hAnsi="仿宋" w:eastAsia="仿宋" w:cs="仿宋"/>
          <w:sz w:val="32"/>
          <w:szCs w:val="32"/>
          <w:lang w:eastAsia="zh-CN"/>
        </w:rPr>
        <w:t>商服用地、住宅用地、工业用地、公共管理与公共服务用地、公用设施</w:t>
      </w:r>
      <w:r>
        <w:rPr>
          <w:rFonts w:hint="eastAsia" w:ascii="仿宋" w:hAnsi="仿宋" w:eastAsia="仿宋" w:cs="仿宋"/>
          <w:sz w:val="32"/>
          <w:szCs w:val="32"/>
          <w:lang w:val="en-US" w:eastAsia="zh-CN"/>
        </w:rPr>
        <w:t>用地</w:t>
      </w:r>
      <w:r>
        <w:rPr>
          <w:rFonts w:hint="eastAsia" w:ascii="仿宋" w:hAnsi="仿宋" w:eastAsia="仿宋" w:cs="仿宋"/>
          <w:sz w:val="32"/>
          <w:szCs w:val="32"/>
          <w:lang w:eastAsia="zh-CN"/>
        </w:rPr>
        <w:t>五种用途</w:t>
      </w:r>
      <w:r>
        <w:rPr>
          <w:rFonts w:hint="eastAsia" w:ascii="仿宋" w:hAnsi="仿宋" w:eastAsia="仿宋" w:cs="仿宋"/>
          <w:color w:val="auto"/>
          <w:sz w:val="32"/>
          <w:szCs w:val="32"/>
          <w:lang w:val="en-US" w:eastAsia="zh-CN"/>
        </w:rPr>
        <w:t>城镇土地的分类定级、基准地价制定、</w:t>
      </w:r>
      <w:r>
        <w:rPr>
          <w:rFonts w:hint="eastAsia" w:ascii="仿宋" w:hAnsi="仿宋" w:eastAsia="仿宋" w:cs="仿宋"/>
          <w:sz w:val="32"/>
          <w:szCs w:val="32"/>
          <w:lang w:eastAsia="zh-CN"/>
        </w:rPr>
        <w:t>修正系数</w:t>
      </w:r>
      <w:r>
        <w:rPr>
          <w:rFonts w:hint="eastAsia" w:ascii="仿宋" w:hAnsi="仿宋" w:eastAsia="仿宋" w:cs="仿宋"/>
          <w:sz w:val="32"/>
          <w:szCs w:val="32"/>
          <w:lang w:val="en-US" w:eastAsia="zh-CN"/>
        </w:rPr>
        <w:t>表和</w:t>
      </w:r>
      <w:r>
        <w:rPr>
          <w:rFonts w:hint="eastAsia" w:ascii="仿宋" w:hAnsi="仿宋" w:eastAsia="仿宋" w:cs="仿宋"/>
          <w:sz w:val="32"/>
          <w:szCs w:val="32"/>
          <w:lang w:eastAsia="zh-CN"/>
        </w:rPr>
        <w:t>说明表、</w:t>
      </w:r>
      <w:r>
        <w:rPr>
          <w:rFonts w:hint="eastAsia" w:ascii="仿宋" w:hAnsi="仿宋" w:eastAsia="仿宋" w:cs="仿宋"/>
          <w:sz w:val="32"/>
          <w:szCs w:val="32"/>
          <w:lang w:val="en-US" w:eastAsia="zh-CN"/>
        </w:rPr>
        <w:t>报告编写和</w:t>
      </w:r>
      <w:r>
        <w:rPr>
          <w:rFonts w:hint="eastAsia" w:ascii="仿宋" w:hAnsi="仿宋" w:eastAsia="仿宋" w:cs="仿宋"/>
          <w:color w:val="auto"/>
          <w:sz w:val="32"/>
          <w:szCs w:val="32"/>
          <w:lang w:val="en-US" w:eastAsia="zh-CN"/>
        </w:rPr>
        <w:t>地级别和基准地价图绘制工作。上述鹿泉区基准地价更新成果已于2026年3月13日进行了鹿泉区土地级别与基准地价更新工作听证会，目前正等专家评审会（专家评审会由石家庄市自然资源规划局统一组织和安排）。</w:t>
      </w:r>
    </w:p>
    <w:p>
      <w:pPr>
        <w:pStyle w:val="15"/>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0</w:t>
      </w:r>
      <w:r>
        <w:rPr>
          <w:rFonts w:hint="eastAsia" w:ascii="仿宋" w:hAnsi="仿宋" w:eastAsia="仿宋" w:cs="仿宋"/>
          <w:sz w:val="32"/>
          <w:szCs w:val="32"/>
        </w:rPr>
        <w:t>、2025年鹿泉区国土空间总体规划城镇开发边界优化调整方案编制</w:t>
      </w:r>
    </w:p>
    <w:p>
      <w:pPr>
        <w:pStyle w:val="15"/>
        <w:rPr>
          <w:rFonts w:hint="eastAsia" w:ascii="仿宋" w:hAnsi="仿宋" w:eastAsia="仿宋" w:cs="仿宋"/>
          <w:sz w:val="32"/>
          <w:szCs w:val="32"/>
        </w:rPr>
      </w:pPr>
      <w:r>
        <w:rPr>
          <w:rFonts w:hint="eastAsia" w:ascii="仿宋" w:hAnsi="仿宋" w:eastAsia="仿宋" w:cs="仿宋"/>
          <w:sz w:val="32"/>
          <w:szCs w:val="32"/>
        </w:rPr>
        <w:t>绩效目标：为提升鹿泉区城镇开发边界科学性、合理性，为全区产业发展提供更有力的支撑，需开展城镇开发边界优化调整工作。</w:t>
      </w:r>
    </w:p>
    <w:p>
      <w:pPr>
        <w:pStyle w:val="15"/>
        <w:rPr>
          <w:rFonts w:hint="eastAsia" w:ascii="仿宋" w:hAnsi="仿宋" w:eastAsia="仿宋" w:cs="仿宋"/>
          <w:sz w:val="32"/>
          <w:szCs w:val="32"/>
        </w:rPr>
      </w:pPr>
      <w:r>
        <w:rPr>
          <w:rFonts w:hint="eastAsia" w:ascii="仿宋" w:hAnsi="仿宋" w:eastAsia="仿宋" w:cs="仿宋"/>
          <w:sz w:val="32"/>
          <w:szCs w:val="32"/>
        </w:rPr>
        <w:t>绩效指标：相关资料的收集、整理与分析具体调整地块详细资料的整理与分析，调整范围的确定和用地地类面积的测算、调整；现有开发边界合理性评估；调整地块确定；优化调整方案文本、相关说明编制；规划实施影响评价编制；图件编制；论证、报批、审查协调及修改完善；城镇开发边界管理成果数据汇交数据库制作；数据成果入“一张图”系统；成果打印备案。</w:t>
      </w:r>
    </w:p>
    <w:p>
      <w:pPr>
        <w:pStyle w:val="15"/>
        <w:ind w:left="0" w:leftChars="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完成情况：本次城镇开发边界局部优化调入地块共15块、调出地块共13个、城镇开发边界外共安排零星新增城镇建设用地1块。目前各项工作已全部完成，并提交正式成果。</w:t>
      </w:r>
    </w:p>
    <w:p>
      <w:pPr>
        <w:pStyle w:val="15"/>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1</w:t>
      </w:r>
      <w:r>
        <w:rPr>
          <w:rFonts w:hint="eastAsia" w:ascii="仿宋" w:hAnsi="仿宋" w:eastAsia="仿宋" w:cs="仿宋"/>
          <w:sz w:val="32"/>
          <w:szCs w:val="32"/>
        </w:rPr>
        <w:t>、2025年地籍图编制</w:t>
      </w:r>
    </w:p>
    <w:p>
      <w:pPr>
        <w:pStyle w:val="15"/>
        <w:rPr>
          <w:rFonts w:hint="eastAsia" w:ascii="仿宋" w:hAnsi="仿宋" w:eastAsia="仿宋" w:cs="仿宋"/>
          <w:sz w:val="32"/>
          <w:szCs w:val="32"/>
        </w:rPr>
      </w:pPr>
      <w:r>
        <w:rPr>
          <w:rFonts w:hint="eastAsia" w:ascii="仿宋" w:hAnsi="仿宋" w:eastAsia="仿宋" w:cs="仿宋"/>
          <w:sz w:val="32"/>
          <w:szCs w:val="32"/>
        </w:rPr>
        <w:t>绩效目标：收集各类地籍调查资料及数据预处理、地籍调查成果整理汇交、地籍图编制等。</w:t>
      </w:r>
    </w:p>
    <w:p>
      <w:pPr>
        <w:pStyle w:val="15"/>
        <w:rPr>
          <w:rFonts w:hint="eastAsia" w:ascii="仿宋" w:hAnsi="仿宋" w:eastAsia="仿宋" w:cs="仿宋"/>
          <w:sz w:val="32"/>
          <w:szCs w:val="32"/>
        </w:rPr>
      </w:pPr>
      <w:r>
        <w:rPr>
          <w:rFonts w:hint="eastAsia" w:ascii="仿宋" w:hAnsi="仿宋" w:eastAsia="仿宋" w:cs="仿宋"/>
          <w:sz w:val="32"/>
          <w:szCs w:val="32"/>
        </w:rPr>
        <w:t>绩效指标：促进地籍数据集聚融合、质量提升和共享应用。</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完成情况：2025年底已完成宅基地和集体建设用地地籍调查成果数据汇交，正在推进国有建设用地地籍调查成果的数据汇总。</w:t>
      </w:r>
    </w:p>
    <w:p>
      <w:pPr>
        <w:pStyle w:val="15"/>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2</w:t>
      </w:r>
      <w:r>
        <w:rPr>
          <w:rFonts w:hint="eastAsia" w:ascii="仿宋" w:hAnsi="仿宋" w:eastAsia="仿宋" w:cs="仿宋"/>
          <w:sz w:val="32"/>
          <w:szCs w:val="32"/>
        </w:rPr>
        <w:t>、2025年成片开发方案编制</w:t>
      </w:r>
    </w:p>
    <w:p>
      <w:pPr>
        <w:pStyle w:val="15"/>
        <w:rPr>
          <w:rFonts w:hint="eastAsia" w:ascii="仿宋" w:hAnsi="仿宋" w:eastAsia="仿宋" w:cs="仿宋"/>
          <w:sz w:val="32"/>
          <w:szCs w:val="32"/>
        </w:rPr>
      </w:pPr>
      <w:r>
        <w:rPr>
          <w:rFonts w:hint="eastAsia" w:ascii="仿宋" w:hAnsi="仿宋" w:eastAsia="仿宋" w:cs="仿宋"/>
          <w:sz w:val="32"/>
          <w:szCs w:val="32"/>
        </w:rPr>
        <w:t>绩效目标：保障全区住宅、商业、产业类项目用地需求，编制成片开发方案，内容包括文本、图件、情况说明等。</w:t>
      </w:r>
    </w:p>
    <w:p>
      <w:pPr>
        <w:pStyle w:val="15"/>
        <w:rPr>
          <w:rFonts w:hint="eastAsia" w:ascii="仿宋" w:hAnsi="仿宋" w:eastAsia="仿宋" w:cs="仿宋"/>
          <w:sz w:val="32"/>
          <w:szCs w:val="32"/>
        </w:rPr>
      </w:pPr>
      <w:r>
        <w:rPr>
          <w:rFonts w:hint="eastAsia" w:ascii="仿宋" w:hAnsi="仿宋" w:eastAsia="仿宋" w:cs="仿宋"/>
          <w:sz w:val="32"/>
          <w:szCs w:val="32"/>
        </w:rPr>
        <w:t>绩效指标：编制完成后组织专家论证并完善修改方案，组织上报材料并报省政府备案。</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完成情况：共完成21个片区98个地块，共计188.9376公顷 的成片开发方案编制工作。</w:t>
      </w:r>
    </w:p>
    <w:p>
      <w:pPr>
        <w:pStyle w:val="15"/>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3</w:t>
      </w:r>
      <w:r>
        <w:rPr>
          <w:rFonts w:hint="eastAsia" w:ascii="仿宋" w:hAnsi="仿宋" w:eastAsia="仿宋" w:cs="仿宋"/>
          <w:sz w:val="32"/>
          <w:szCs w:val="32"/>
        </w:rPr>
        <w:t>、2025年耕地流出排查整改</w:t>
      </w:r>
    </w:p>
    <w:p>
      <w:pPr>
        <w:pStyle w:val="15"/>
        <w:rPr>
          <w:rFonts w:hint="eastAsia" w:ascii="仿宋" w:hAnsi="仿宋" w:eastAsia="仿宋" w:cs="仿宋"/>
          <w:sz w:val="32"/>
          <w:szCs w:val="32"/>
        </w:rPr>
      </w:pPr>
      <w:r>
        <w:rPr>
          <w:rFonts w:hint="eastAsia" w:ascii="仿宋" w:hAnsi="仿宋" w:eastAsia="仿宋" w:cs="仿宋"/>
          <w:sz w:val="32"/>
          <w:szCs w:val="32"/>
        </w:rPr>
        <w:t>绩效目标：结合2025年度（年中、年末）国土变更调查，对2025年度耕地“非农化”“非粮化”造成的耕地流出问题，开展逐图斑逐地块排查，对于不合理的耕地流出问题，在变更调查成果确认之前，分类施策、限时整改，并及时将整改到位的图斑纳入到日常变更以及2025年度国土变更调查中，补充完善变更调查成果，确保已恢复耕地在2025年度国土变更调查成果真实、准确认定。同时制定年度补足耕地保护任务缺口计划，编制年度耕地保护缺口恢复方案，开展潜力分析、图表制作、下发任务并统计汇总恢复地块成果。</w:t>
      </w:r>
    </w:p>
    <w:p>
      <w:pPr>
        <w:pStyle w:val="15"/>
        <w:rPr>
          <w:rFonts w:hint="eastAsia" w:ascii="仿宋" w:hAnsi="仿宋" w:eastAsia="仿宋" w:cs="仿宋"/>
          <w:sz w:val="32"/>
          <w:szCs w:val="32"/>
        </w:rPr>
      </w:pPr>
      <w:r>
        <w:rPr>
          <w:rFonts w:hint="eastAsia" w:ascii="仿宋" w:hAnsi="仿宋" w:eastAsia="仿宋" w:cs="仿宋"/>
          <w:sz w:val="32"/>
          <w:szCs w:val="32"/>
        </w:rPr>
        <w:t>绩效指标：耕地流出排查整改、补足耕地保护任务缺口和日常技术服务三大项，其中耕地流出排查整改为数据分析、流出图斑提取、底图编制、外业调查、数据审核整理5项。补足耕地保护任务缺口为潜力分析、编制年度耕地保护缺口恢复方案、制作图件表格、复耕地块统计汇总4项。</w:t>
      </w:r>
    </w:p>
    <w:p>
      <w:pPr>
        <w:pStyle w:val="15"/>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完成情况：结合2025年度（年中、年末）国土变更调查，对2025年度“非农化”“非粮化”造成的耕地流出问题，开展了逐图斑逐地块排查，2025年流出耕地656块，面积101.66公顷。对于不合理的耕地流出问题，在变更调查成果确认之前，已完成分类施策、限时调整，并及时将整改到位的图斑纳入到日常变更以及2025年度变更调查中，补充完善了变更调查成果，确保已恢复耕地在2025年度国土变更调查成果真实、准确认定。同时编制了年度耕地保护缺口恢复方案，2025年流入耕地1197块，面积593.92公顷。同时在日常工作中进行了日常巡视及调查上报。</w:t>
      </w:r>
    </w:p>
    <w:p>
      <w:pPr>
        <w:pStyle w:val="15"/>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sz w:val="32"/>
          <w:szCs w:val="32"/>
          <w:lang w:val="en-US" w:eastAsia="zh-CN"/>
        </w:rPr>
        <w:t>4</w:t>
      </w:r>
      <w:r>
        <w:rPr>
          <w:rFonts w:hint="eastAsia" w:ascii="仿宋" w:hAnsi="仿宋" w:eastAsia="仿宋" w:cs="仿宋"/>
          <w:sz w:val="32"/>
          <w:szCs w:val="32"/>
        </w:rPr>
        <w:t>、2025年耕地资源质量分类年度更新与监测评价工作</w:t>
      </w:r>
    </w:p>
    <w:p>
      <w:pPr>
        <w:pStyle w:val="15"/>
        <w:rPr>
          <w:rFonts w:hint="eastAsia" w:ascii="仿宋" w:hAnsi="仿宋" w:eastAsia="仿宋" w:cs="仿宋"/>
          <w:sz w:val="32"/>
          <w:szCs w:val="32"/>
        </w:rPr>
      </w:pPr>
      <w:r>
        <w:rPr>
          <w:rFonts w:hint="eastAsia" w:ascii="仿宋" w:hAnsi="仿宋" w:eastAsia="仿宋" w:cs="仿宋"/>
          <w:sz w:val="32"/>
          <w:szCs w:val="32"/>
        </w:rPr>
        <w:t>绩效目标：全面掌握年度内耕地现状变化及耕地质量建设引起的耕地质量分类变化情况，保持耕地质量分类数据的现势性。</w:t>
      </w:r>
    </w:p>
    <w:p>
      <w:pPr>
        <w:pStyle w:val="15"/>
        <w:rPr>
          <w:rFonts w:hint="eastAsia" w:ascii="仿宋" w:hAnsi="仿宋" w:eastAsia="仿宋" w:cs="仿宋"/>
          <w:sz w:val="32"/>
          <w:szCs w:val="32"/>
        </w:rPr>
      </w:pPr>
      <w:r>
        <w:rPr>
          <w:rFonts w:hint="eastAsia" w:ascii="仿宋" w:hAnsi="仿宋" w:eastAsia="仿宋" w:cs="仿宋"/>
          <w:sz w:val="32"/>
          <w:szCs w:val="32"/>
        </w:rPr>
        <w:t>绩效指标：开展外业土壤取样检测并进行剖面开挖等工作。通过编制耕地质量分类方案，收集相关工作资料，开展耕地质量分类更新工作，形成县级耕地质量分类更新成果，并完成上级对成果质检。通过开展耕地质量等别年度更新评价工作，全面掌握年度内耕地现状变化及耕地质量建设引起的耕地质量等别变化情况，保持耕地质量等别数据的现势性，服务于土地管理的日常工作，并为制定相关的耕地保护政策提供依据。</w:t>
      </w:r>
    </w:p>
    <w:p>
      <w:pPr>
        <w:spacing w:line="50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完成情况：通过开展鹿泉区2025年耕地资源质量分类项目，已掌握全区耕地质量变化情况。鹿泉区</w:t>
      </w:r>
      <w:r>
        <w:rPr>
          <w:rFonts w:hint="eastAsia" w:ascii="仿宋" w:hAnsi="仿宋" w:eastAsia="仿宋" w:cs="仿宋"/>
          <w:sz w:val="32"/>
          <w:szCs w:val="32"/>
        </w:rPr>
        <w:t>2024年耕地资源质量分类组合类型众多，面积最大的耕地组合类型为1911112b2122，即位于华北平原区、坡度≤2°、土层厚度≥100cm、土壤质地为壤质、土壤有机质含量≥20g/kg、土壤pH值7.5~8.5、生物多样性一般、土壤重金属污染状况为绿色、熟制为一年两熟、地类为水浇地。面积13454.97公顷，占比81.84%。</w:t>
      </w:r>
    </w:p>
    <w:p>
      <w:pPr>
        <w:spacing w:line="50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通过实地调查，鹿泉区30个样点中有29个样点土层厚度大于等于100cm，级别为1；有1个样点土层厚度为50cm，级别为3。通过实验室化验，鹿泉区有27个样点土壤质地为壤土，级别为1，有3个样点土壤质地为砂土，级别为2；29个样点pH值在7.5至8.5之间，级别为2b,1个样点pH值小于7.5，级别为3b；12个样点有机质含量大于或等于20g/kg，级别为1，18个样点有机质含量大于等于10 g/kg且小于20g/kg，级别为2。</w:t>
      </w:r>
    </w:p>
    <w:p>
      <w:pPr>
        <w:pStyle w:val="15"/>
        <w:ind w:left="0" w:leftChars="0" w:firstLine="0" w:firstLineChars="0"/>
        <w:rPr>
          <w:rFonts w:hint="default" w:ascii="仿宋" w:hAnsi="仿宋" w:eastAsia="仿宋" w:cs="仿宋"/>
          <w:sz w:val="32"/>
          <w:szCs w:val="32"/>
          <w:lang w:val="en-US" w:eastAsia="zh-CN"/>
        </w:rPr>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widowControl w:val="0"/>
        <w:wordWrap/>
        <w:spacing w:line="560" w:lineRule="exact"/>
        <w:ind w:left="0" w:leftChars="0" w:right="0" w:firstLine="640" w:firstLineChars="200"/>
        <w:textAlignment w:val="auto"/>
        <w:outlineLvl w:val="9"/>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截至2025年底，我局共自评146个项目，其中，138个项目评分优秀，3个项目评分良好（2025年古树名木管护、2025年石家庄国际农产品批发交易中心片区整体提升规划设计、2025土地承包经营权确权登记），1个项目评分一般（主城区重要地段、街区城市设计），4个项目评分较差（2025年耕地占补平衡项目（2025年度实施）、2025年耕地资源质量分类年度更新与监测评价工作、2025年退还市级林业改革发展资金清算、2025年西柏坡高速沿线矿山地质环境恢复治理工程（王屋、高家台项目区）项目）。</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spacing w:line="560" w:lineRule="exact"/>
        <w:ind w:firstLine="640" w:firstLineChars="200"/>
        <w:rPr>
          <w:rFonts w:hint="eastAsia" w:ascii="方正仿宋_GBK" w:hAnsi="方正仿宋_GBK" w:eastAsia="方正仿宋_GBK" w:cs="方正仿宋_GBK"/>
          <w:bCs/>
          <w:sz w:val="32"/>
          <w:szCs w:val="32"/>
          <w:lang w:val="en-US" w:eastAsia="zh-CN"/>
        </w:rPr>
      </w:pPr>
      <w:r>
        <w:rPr>
          <w:rFonts w:hint="eastAsia" w:ascii="仿宋" w:hAnsi="仿宋" w:eastAsia="仿宋" w:cs="仿宋"/>
          <w:kern w:val="2"/>
          <w:sz w:val="32"/>
          <w:szCs w:val="32"/>
          <w:lang w:val="en-US" w:eastAsia="zh-CN" w:bidi="ar-SA"/>
        </w:rPr>
        <w:t>2025年主城区重要地段、街区城市设计</w:t>
      </w:r>
      <w:r>
        <w:rPr>
          <w:rFonts w:hint="eastAsia" w:ascii="方正仿宋_GBK" w:hAnsi="方正仿宋_GBK" w:eastAsia="方正仿宋_GBK" w:cs="方正仿宋_GBK"/>
          <w:bCs/>
          <w:sz w:val="32"/>
          <w:szCs w:val="32"/>
          <w:lang w:val="en-US" w:eastAsia="zh-CN"/>
        </w:rPr>
        <w:t>：该项目属于区国空编制的支撑方案，不是一个法定规划，所以不需上规委会审议。该规划已编制完成，但由于资金拨付较慢，设计单位不愿意提交最终成果。</w:t>
      </w:r>
    </w:p>
    <w:p>
      <w:pPr>
        <w:spacing w:line="560" w:lineRule="exact"/>
        <w:ind w:firstLine="640" w:firstLineChars="200"/>
        <w:rPr>
          <w:rFonts w:hint="eastAsia" w:ascii="仿宋" w:hAnsi="仿宋" w:eastAsia="仿宋" w:cs="仿宋"/>
          <w:kern w:val="2"/>
          <w:sz w:val="32"/>
          <w:szCs w:val="32"/>
          <w:lang w:val="en-US" w:eastAsia="zh-CN" w:bidi="ar-SA"/>
        </w:rPr>
      </w:pPr>
      <w:r>
        <w:rPr>
          <w:rFonts w:hint="eastAsia" w:ascii="方正仿宋_GBK" w:hAnsi="方正仿宋_GBK" w:eastAsia="方正仿宋_GBK" w:cs="方正仿宋_GBK"/>
          <w:bCs/>
          <w:sz w:val="32"/>
          <w:szCs w:val="32"/>
          <w:lang w:val="en-US" w:eastAsia="zh-CN"/>
        </w:rPr>
        <w:t>2025年耕地占补平衡项目（2025年度实施）</w:t>
      </w:r>
      <w:r>
        <w:rPr>
          <w:rFonts w:hint="eastAsia" w:ascii="仿宋" w:hAnsi="仿宋" w:eastAsia="仿宋" w:cs="仿宋"/>
          <w:kern w:val="2"/>
          <w:sz w:val="32"/>
          <w:szCs w:val="32"/>
          <w:lang w:val="en-US" w:eastAsia="zh-CN" w:bidi="ar-SA"/>
        </w:rPr>
        <w:t>：根据省新制定的占补平衡管理办法，补充耕地等级不应低于上年度占用等级。由于2025年农业农村局正在开展耕地质量等级工作，尚未形成正式成果，无法核算占用等级，因此该项目2025年未开展设施。</w:t>
      </w:r>
    </w:p>
    <w:p>
      <w:pPr>
        <w:spacing w:line="560" w:lineRule="exact"/>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2025年耕地资源质量分类年度更新与监测评价工作：政府不再组织开展此项工作。</w:t>
      </w:r>
    </w:p>
    <w:p>
      <w:pPr>
        <w:spacing w:line="560" w:lineRule="exact"/>
        <w:ind w:firstLine="640" w:firstLineChars="200"/>
        <w:rPr>
          <w:rFonts w:hint="default" w:ascii="仿宋" w:hAnsi="仿宋" w:eastAsia="仿宋" w:cs="仿宋"/>
          <w:kern w:val="2"/>
          <w:sz w:val="32"/>
          <w:szCs w:val="32"/>
          <w:lang w:val="en-US" w:eastAsia="zh-CN" w:bidi="ar-SA"/>
        </w:rPr>
      </w:pPr>
      <w:r>
        <w:rPr>
          <w:rFonts w:hint="eastAsia" w:ascii="方正仿宋_GBK" w:hAnsi="方正仿宋_GBK" w:eastAsia="方正仿宋_GBK" w:cs="方正仿宋_GBK"/>
          <w:bCs/>
          <w:sz w:val="32"/>
          <w:szCs w:val="32"/>
          <w:lang w:val="en-US" w:eastAsia="zh-CN"/>
        </w:rPr>
        <w:t>22025年退还市级林业改革发展资金清算</w:t>
      </w:r>
      <w:r>
        <w:rPr>
          <w:rFonts w:hint="eastAsia" w:ascii="仿宋" w:hAnsi="仿宋" w:eastAsia="仿宋" w:cs="仿宋"/>
          <w:kern w:val="2"/>
          <w:sz w:val="32"/>
          <w:szCs w:val="32"/>
          <w:lang w:val="en-US" w:eastAsia="zh-CN" w:bidi="ar-SA"/>
        </w:rPr>
        <w:t>：财政未能拨付，今后加强与财政沟通，按时拨付。</w:t>
      </w:r>
    </w:p>
    <w:p>
      <w:pPr>
        <w:spacing w:line="560" w:lineRule="exact"/>
        <w:ind w:firstLine="640" w:firstLineChars="200"/>
        <w:rPr>
          <w:rFonts w:hint="eastAsia"/>
          <w:sz w:val="32"/>
          <w:szCs w:val="32"/>
          <w:lang w:val="en-US" w:eastAsia="zh-CN"/>
        </w:rPr>
      </w:pPr>
      <w:r>
        <w:rPr>
          <w:rFonts w:hint="eastAsia" w:ascii="仿宋" w:hAnsi="仿宋" w:eastAsia="仿宋" w:cs="仿宋"/>
          <w:kern w:val="2"/>
          <w:sz w:val="32"/>
          <w:szCs w:val="32"/>
          <w:lang w:val="en-US" w:eastAsia="zh-CN" w:bidi="ar-SA"/>
        </w:rPr>
        <w:t>2025年西柏坡高速沿线矿山地质环境恢复治理工程（王屋、高家台项目区）项目：2025年8月开始进场施工，截止2025年年底，王屋项目区，高家台项目区完成率较低。下一步工作：推进西柏坡高速沿线矿山综合整治提升工作，预计2026年8月底前完成主体工程施工，2026年11月底前完成绿化工程。</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（二）针对问题提出具体的改进措施或建议</w:t>
      </w:r>
    </w:p>
    <w:p>
      <w:pPr>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针对我局对2025年预算项目自评过程发现的问题，为完善预算项目评分机制，下一步我局将继续加强对预算项目的执行、绩效目标指标设定与实现的全过程监督。对于由于财政资金未能及时拨付等原因导致未能及时支付、及预算不足而无法开展的项目，我局将加强与财政沟通，及时合理调整预算；对于正在办理手续、规划未批复项目，我单位将积极督促手续进度，加快项目实施进度。</w:t>
      </w:r>
    </w:p>
    <w:p>
      <w:pPr>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今后将加强绩效意识，提高绩效设置，评价水平，将绩效评价效果应用到实际工作中，对低效无效资金一律削减或取消。</w:t>
      </w:r>
    </w:p>
    <w:p>
      <w:pPr>
        <w:spacing w:line="560" w:lineRule="exact"/>
        <w:ind w:firstLine="640" w:firstLineChars="200"/>
        <w:rPr>
          <w:rFonts w:hint="eastAsia" w:ascii="楷体" w:hAnsi="楷体" w:eastAsia="楷体"/>
          <w:bCs/>
          <w:sz w:val="32"/>
          <w:szCs w:val="32"/>
        </w:rPr>
      </w:pP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65"/>
        <w:gridCol w:w="2265"/>
        <w:gridCol w:w="2265"/>
        <w:gridCol w:w="22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姓名</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工作单位</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职务</w:t>
            </w:r>
          </w:p>
        </w:tc>
        <w:tc>
          <w:tcPr>
            <w:tcW w:w="2266"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val="en-US" w:eastAsia="zh-CN"/>
              </w:rPr>
              <w:t>李世杰</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石家庄市自然资源和规划局鹿泉分局</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副局长</w:t>
            </w:r>
          </w:p>
        </w:tc>
        <w:tc>
          <w:tcPr>
            <w:tcW w:w="2266" w:type="dxa"/>
          </w:tcPr>
          <w:p>
            <w:pPr>
              <w:spacing w:line="560" w:lineRule="exact"/>
              <w:rPr>
                <w:rFonts w:ascii="仿宋" w:hAnsi="仿宋" w:eastAsia="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hint="eastAsia" w:ascii="仿宋" w:hAnsi="仿宋" w:eastAsia="仿宋"/>
                <w:sz w:val="32"/>
                <w:szCs w:val="32"/>
                <w:vertAlign w:val="baseline"/>
                <w:lang w:val="en-US" w:eastAsia="zh-CN"/>
              </w:rPr>
            </w:pPr>
            <w:r>
              <w:rPr>
                <w:rFonts w:hint="eastAsia" w:ascii="仿宋" w:hAnsi="仿宋" w:eastAsia="仿宋"/>
                <w:sz w:val="32"/>
                <w:szCs w:val="32"/>
                <w:vertAlign w:val="baseline"/>
                <w:lang w:val="en-US" w:eastAsia="zh-CN"/>
              </w:rPr>
              <w:t>吴建锋</w:t>
            </w:r>
          </w:p>
        </w:tc>
        <w:tc>
          <w:tcPr>
            <w:tcW w:w="2265" w:type="dxa"/>
          </w:tcPr>
          <w:p>
            <w:pPr>
              <w:spacing w:line="560" w:lineRule="exact"/>
              <w:rPr>
                <w:rFonts w:ascii="仿宋" w:hAnsi="仿宋" w:eastAsia="仿宋"/>
                <w:sz w:val="32"/>
                <w:szCs w:val="32"/>
                <w:vertAlign w:val="baseline"/>
              </w:rPr>
            </w:pPr>
            <w:r>
              <w:rPr>
                <w:rFonts w:hint="eastAsia" w:ascii="仿宋" w:hAnsi="仿宋" w:eastAsia="仿宋"/>
                <w:sz w:val="32"/>
                <w:szCs w:val="32"/>
                <w:vertAlign w:val="baseline"/>
                <w:lang w:eastAsia="zh-CN"/>
              </w:rPr>
              <w:t>石家庄市自然资源和规划局鹿泉分局</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财务审计股股长</w:t>
            </w:r>
          </w:p>
        </w:tc>
        <w:tc>
          <w:tcPr>
            <w:tcW w:w="2266" w:type="dxa"/>
          </w:tcPr>
          <w:p>
            <w:pPr>
              <w:spacing w:line="560" w:lineRule="exact"/>
              <w:rPr>
                <w:rFonts w:ascii="仿宋" w:hAnsi="仿宋" w:eastAsia="仿宋"/>
                <w:sz w:val="30"/>
                <w:szCs w:val="30"/>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val="en-US" w:eastAsia="zh-CN"/>
              </w:rPr>
              <w:t>杨涛</w:t>
            </w:r>
          </w:p>
        </w:tc>
        <w:tc>
          <w:tcPr>
            <w:tcW w:w="2265" w:type="dxa"/>
          </w:tcPr>
          <w:p>
            <w:pPr>
              <w:spacing w:line="560" w:lineRule="exact"/>
              <w:rPr>
                <w:rFonts w:ascii="仿宋" w:hAnsi="仿宋" w:eastAsia="仿宋"/>
                <w:sz w:val="32"/>
                <w:szCs w:val="32"/>
                <w:vertAlign w:val="baseline"/>
              </w:rPr>
            </w:pPr>
            <w:r>
              <w:rPr>
                <w:rFonts w:hint="eastAsia" w:ascii="仿宋" w:hAnsi="仿宋" w:eastAsia="仿宋"/>
                <w:sz w:val="32"/>
                <w:szCs w:val="32"/>
                <w:vertAlign w:val="baseline"/>
                <w:lang w:eastAsia="zh-CN"/>
              </w:rPr>
              <w:t>石家庄市自然资源和规划局鹿泉分局</w:t>
            </w:r>
          </w:p>
        </w:tc>
        <w:tc>
          <w:tcPr>
            <w:tcW w:w="2265" w:type="dxa"/>
          </w:tcPr>
          <w:p>
            <w:pPr>
              <w:spacing w:line="560" w:lineRule="exact"/>
              <w:rPr>
                <w:rFonts w:hint="eastAsia" w:ascii="仿宋" w:hAnsi="仿宋" w:eastAsia="仿宋"/>
                <w:sz w:val="32"/>
                <w:szCs w:val="32"/>
                <w:vertAlign w:val="baseline"/>
                <w:lang w:eastAsia="zh-CN"/>
              </w:rPr>
            </w:pPr>
            <w:r>
              <w:rPr>
                <w:rFonts w:hint="eastAsia" w:ascii="仿宋" w:hAnsi="仿宋" w:eastAsia="仿宋"/>
                <w:sz w:val="32"/>
                <w:szCs w:val="32"/>
                <w:vertAlign w:val="baseline"/>
                <w:lang w:eastAsia="zh-CN"/>
              </w:rPr>
              <w:t>财务审计股会计</w:t>
            </w:r>
          </w:p>
        </w:tc>
        <w:tc>
          <w:tcPr>
            <w:tcW w:w="2266" w:type="dxa"/>
          </w:tcPr>
          <w:p>
            <w:pPr>
              <w:spacing w:line="560" w:lineRule="exact"/>
              <w:rPr>
                <w:rFonts w:ascii="仿宋" w:hAnsi="仿宋" w:eastAsia="仿宋"/>
                <w:sz w:val="30"/>
                <w:szCs w:val="30"/>
                <w:vertAlign w:val="baseline"/>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0E3FAAD"/>
    <w:multiLevelType w:val="singleLevel"/>
    <w:tmpl w:val="60E3FAAD"/>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4A195B"/>
    <w:rsid w:val="07956271"/>
    <w:rsid w:val="082C3349"/>
    <w:rsid w:val="09721397"/>
    <w:rsid w:val="0BB63BED"/>
    <w:rsid w:val="0DD359BA"/>
    <w:rsid w:val="0EB97A43"/>
    <w:rsid w:val="0EBD2122"/>
    <w:rsid w:val="0F214EAE"/>
    <w:rsid w:val="110B7786"/>
    <w:rsid w:val="11147B4B"/>
    <w:rsid w:val="11B71E6A"/>
    <w:rsid w:val="11E84674"/>
    <w:rsid w:val="15602773"/>
    <w:rsid w:val="17142A15"/>
    <w:rsid w:val="19E51499"/>
    <w:rsid w:val="1AAF0063"/>
    <w:rsid w:val="1BE140DE"/>
    <w:rsid w:val="1C7A5D5E"/>
    <w:rsid w:val="1FC319A8"/>
    <w:rsid w:val="20CB2CC0"/>
    <w:rsid w:val="214C1DAB"/>
    <w:rsid w:val="240378B8"/>
    <w:rsid w:val="248C197D"/>
    <w:rsid w:val="252959AF"/>
    <w:rsid w:val="25912798"/>
    <w:rsid w:val="277A6671"/>
    <w:rsid w:val="27994F87"/>
    <w:rsid w:val="292D35B7"/>
    <w:rsid w:val="2969580D"/>
    <w:rsid w:val="2A6277D4"/>
    <w:rsid w:val="2DC253F5"/>
    <w:rsid w:val="2F053DF4"/>
    <w:rsid w:val="2F814A7D"/>
    <w:rsid w:val="32817910"/>
    <w:rsid w:val="33EB6CFF"/>
    <w:rsid w:val="341A770A"/>
    <w:rsid w:val="34635AA2"/>
    <w:rsid w:val="35A12947"/>
    <w:rsid w:val="36787BF1"/>
    <w:rsid w:val="37387040"/>
    <w:rsid w:val="382849B1"/>
    <w:rsid w:val="3A3A1E13"/>
    <w:rsid w:val="3A6C29A5"/>
    <w:rsid w:val="3A947029"/>
    <w:rsid w:val="3B625C0A"/>
    <w:rsid w:val="3CEE1963"/>
    <w:rsid w:val="3E07628F"/>
    <w:rsid w:val="40652A2D"/>
    <w:rsid w:val="414572A4"/>
    <w:rsid w:val="436B78D3"/>
    <w:rsid w:val="43AA1790"/>
    <w:rsid w:val="49C3230F"/>
    <w:rsid w:val="4C9C27FE"/>
    <w:rsid w:val="4DFA64B4"/>
    <w:rsid w:val="4EB45892"/>
    <w:rsid w:val="512260B4"/>
    <w:rsid w:val="52BD6ACB"/>
    <w:rsid w:val="536962D1"/>
    <w:rsid w:val="53707572"/>
    <w:rsid w:val="55537534"/>
    <w:rsid w:val="561A74F1"/>
    <w:rsid w:val="57D10DA1"/>
    <w:rsid w:val="597244E8"/>
    <w:rsid w:val="5D1522E9"/>
    <w:rsid w:val="5D6F5B11"/>
    <w:rsid w:val="5EB71C30"/>
    <w:rsid w:val="5F621FFB"/>
    <w:rsid w:val="5FB3453D"/>
    <w:rsid w:val="612E4AA0"/>
    <w:rsid w:val="616C280F"/>
    <w:rsid w:val="639E0B0F"/>
    <w:rsid w:val="66AF0CE5"/>
    <w:rsid w:val="67267B49"/>
    <w:rsid w:val="6A087CE0"/>
    <w:rsid w:val="6AC537CF"/>
    <w:rsid w:val="6CD53E96"/>
    <w:rsid w:val="6E5B14A6"/>
    <w:rsid w:val="711B255E"/>
    <w:rsid w:val="72CC236B"/>
    <w:rsid w:val="73D8040D"/>
    <w:rsid w:val="78653BAE"/>
    <w:rsid w:val="7BB51E06"/>
    <w:rsid w:val="7BDC3566"/>
    <w:rsid w:val="7BF559C2"/>
    <w:rsid w:val="7C387F7C"/>
    <w:rsid w:val="7F302F0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ind w:firstLine="420" w:firstLineChars="200"/>
    </w:pPr>
  </w:style>
  <w:style w:type="paragraph" w:styleId="3">
    <w:name w:val="Body Text Indent"/>
    <w:basedOn w:val="1"/>
    <w:unhideWhenUsed/>
    <w:qFormat/>
    <w:uiPriority w:val="99"/>
    <w:pPr>
      <w:spacing w:after="120"/>
      <w:ind w:left="420" w:leftChars="200"/>
    </w:pPr>
    <w:rPr>
      <w:rFonts w:eastAsia="仿宋_GB2312" w:cs="Times New Roman"/>
      <w:sz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插入文本样式-插入总体目标文件"/>
    <w:basedOn w:val="1"/>
    <w:qFormat/>
    <w:uiPriority w:val="0"/>
    <w:pPr>
      <w:spacing w:line="500" w:lineRule="exact"/>
      <w:ind w:firstLine="560"/>
    </w:pPr>
    <w:rPr>
      <w:rFonts w:eastAsia="方正仿宋_GBK"/>
      <w:sz w:val="28"/>
    </w:rPr>
  </w:style>
  <w:style w:type="paragraph" w:customStyle="1" w:styleId="1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28</Pages>
  <Words>15885</Words>
  <Characters>16623</Characters>
  <Lines>4</Lines>
  <Paragraphs>1</Paragraphs>
  <TotalTime>3</TotalTime>
  <ScaleCrop>false</ScaleCrop>
  <LinksUpToDate>false</LinksUpToDate>
  <CharactersWithSpaces>16656</CharactersWithSpaces>
  <Application>WPS Office_11.8.2.12195_F1E327BC-269C-435d-A152-05C5408002CA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l'q'q</cp:lastModifiedBy>
  <cp:lastPrinted>2025-04-21T02:36:00Z</cp:lastPrinted>
  <dcterms:modified xsi:type="dcterms:W3CDTF">2026-05-09T07:01:15Z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14BD951459544F0DA321456927EAC0CD</vt:lpwstr>
  </property>
</Properties>
</file>