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lang w:eastAsia="zh-CN"/>
        </w:rPr>
        <w:t>中共石家庄市鹿泉区委宣传部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宋体" w:hAnsi="宋体" w:cs="宋体"/>
          <w:sz w:val="32"/>
          <w:szCs w:val="32"/>
        </w:rPr>
      </w:pP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宣传部</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根据《中共石家庄市鹿泉区委宣传部职能配置、内设机构和人员编制规定》，中共石家庄市鹿泉区委宣传部的主要职责是：</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（一）拟订全区宣传思想文化工作重大方针政策和事业发展总体规划，统筹协调推进宣传思想文化领域法治建设，按照区委统一部署，协调宣传思想文化系统各部门之间的工作。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（二）统筹协调全区党的意识形态工作，贯彻落实区委关于意识形态工作决策部署，组织协调意识形态工作责任制落实和日常监督检查。</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（三）统筹指导协调全区理论研究、理论学习、理论宣传工作，组织推动理论武装工作，推动落实马克思主义理论研究和建设工程任务，负责区委理论学习中心组理论学习的有关工作。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（五）统筹分析研判和引导全区社会舆论，指导协调全区相关新闻单位的工作，组织全区突发公共事件应急新闻工作。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（七）从宏观上统筹指导协调全区互联网宣传和信息内容管理工作。统筹数字新媒体的建设和管理。</w:t>
      </w:r>
    </w:p>
    <w:p>
      <w:pPr>
        <w:spacing w:before="0" w:after="0" w:line="240" w:lineRule="auto"/>
        <w:ind w:firstLine="640"/>
        <w:jc w:val="both"/>
        <w:outlineLvl w:val="9"/>
      </w:pPr>
      <w:r>
        <w:rPr>
          <w:rFonts w:hint="eastAsia" w:ascii="仿宋" w:hAnsi="仿宋" w:eastAsia="仿宋"/>
          <w:b/>
          <w:bCs/>
          <w:sz w:val="32"/>
          <w:szCs w:val="32"/>
        </w:rPr>
        <w:t>机构设置</w:t>
      </w:r>
      <w:r>
        <w:rPr>
          <w:rFonts w:ascii="方正楷体_GBK" w:hAnsi="方正楷体_GBK" w:eastAsia="方正楷体_GBK" w:cs="方正楷体_GBK"/>
          <w:b/>
          <w:color w:val="000000"/>
          <w:sz w:val="32"/>
        </w:rPr>
        <w:t>：</w:t>
      </w:r>
    </w:p>
    <w:p>
      <w:pPr>
        <w:adjustRightInd w:val="0"/>
        <w:snapToGrid w:val="0"/>
        <w:spacing w:line="560" w:lineRule="exact"/>
        <w:ind w:firstLine="643" w:firstLineChars="200"/>
        <w:jc w:val="both"/>
        <w:rPr>
          <w:rFonts w:hint="eastAsia" w:ascii="仿宋" w:hAnsi="仿宋" w:eastAsia="仿宋"/>
          <w:b/>
          <w:bCs/>
          <w:sz w:val="32"/>
          <w:szCs w:val="32"/>
        </w:rPr>
      </w:pPr>
      <w:r>
        <w:rPr>
          <w:rFonts w:hint="eastAsia" w:ascii="仿宋" w:hAnsi="仿宋" w:eastAsia="仿宋"/>
          <w:b/>
          <w:bCs/>
          <w:sz w:val="32"/>
          <w:szCs w:val="32"/>
        </w:rPr>
        <w:t>部门机构设置情况</w:t>
      </w:r>
    </w:p>
    <w:tbl>
      <w:tblPr>
        <w:tblStyle w:val="6"/>
        <w:tblpPr w:leftFromText="180" w:rightFromText="180" w:vertAnchor="text" w:horzAnchor="page" w:tblpX="1427" w:tblpY="205"/>
        <w:tblOverlap w:val="never"/>
        <w:tblW w:w="93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90"/>
        <w:gridCol w:w="1545"/>
        <w:gridCol w:w="1845"/>
        <w:gridCol w:w="25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3390" w:type="dxa"/>
            <w:vAlign w:val="center"/>
          </w:tcPr>
          <w:p>
            <w:pPr>
              <w:pStyle w:val="9"/>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单位名称</w:t>
            </w:r>
          </w:p>
        </w:tc>
        <w:tc>
          <w:tcPr>
            <w:tcW w:w="1545" w:type="dxa"/>
            <w:vAlign w:val="center"/>
          </w:tcPr>
          <w:p>
            <w:pPr>
              <w:pStyle w:val="9"/>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单位性质</w:t>
            </w:r>
          </w:p>
        </w:tc>
        <w:tc>
          <w:tcPr>
            <w:tcW w:w="1845" w:type="dxa"/>
            <w:vAlign w:val="center"/>
          </w:tcPr>
          <w:p>
            <w:pPr>
              <w:pStyle w:val="9"/>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单位规格</w:t>
            </w:r>
          </w:p>
        </w:tc>
        <w:tc>
          <w:tcPr>
            <w:tcW w:w="2520" w:type="dxa"/>
            <w:vAlign w:val="center"/>
          </w:tcPr>
          <w:p>
            <w:pPr>
              <w:pStyle w:val="9"/>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390" w:type="dxa"/>
            <w:vAlign w:val="center"/>
          </w:tcPr>
          <w:p>
            <w:pPr>
              <w:pStyle w:val="10"/>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中共石家庄市鹿泉区委宣传部</w:t>
            </w:r>
          </w:p>
        </w:tc>
        <w:tc>
          <w:tcPr>
            <w:tcW w:w="1545" w:type="dxa"/>
            <w:vAlign w:val="center"/>
          </w:tcPr>
          <w:p>
            <w:pPr>
              <w:pStyle w:val="11"/>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行政</w:t>
            </w:r>
          </w:p>
        </w:tc>
        <w:tc>
          <w:tcPr>
            <w:tcW w:w="1845" w:type="dxa"/>
            <w:vAlign w:val="center"/>
          </w:tcPr>
          <w:p>
            <w:pPr>
              <w:pStyle w:val="11"/>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正科级</w:t>
            </w:r>
          </w:p>
        </w:tc>
        <w:tc>
          <w:tcPr>
            <w:tcW w:w="2520" w:type="dxa"/>
            <w:vAlign w:val="center"/>
          </w:tcPr>
          <w:p>
            <w:pPr>
              <w:pStyle w:val="11"/>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财政拨款</w:t>
            </w:r>
          </w:p>
        </w:tc>
      </w:tr>
    </w:tbl>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资产等基本情况。</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12"/>
        <w:keepNext w:val="0"/>
        <w:keepLines w:val="0"/>
        <w:pageBreakBefore w:val="0"/>
        <w:kinsoku/>
        <w:wordWrap/>
        <w:overflowPunct/>
        <w:topLinePunct w:val="0"/>
        <w:autoSpaceDE/>
        <w:autoSpaceDN/>
        <w:bidi w:val="0"/>
        <w:spacing w:line="578" w:lineRule="exact"/>
        <w:jc w:val="left"/>
        <w:textAlignment w:val="auto"/>
        <w:rPr>
          <w:rFonts w:hint="eastAsia" w:ascii="宋体" w:hAnsi="宋体" w:eastAsia="仿宋" w:cs="黑体"/>
          <w:color w:val="auto"/>
          <w:kern w:val="2"/>
          <w:sz w:val="32"/>
          <w:szCs w:val="32"/>
          <w:lang w:val="en-US" w:eastAsia="zh-CN" w:bidi="ar-SA"/>
        </w:rPr>
      </w:pPr>
      <w:r>
        <w:rPr>
          <w:rFonts w:hint="eastAsia" w:ascii="宋体" w:hAnsi="宋体" w:eastAsia="仿宋" w:cs="黑体"/>
          <w:color w:val="auto"/>
          <w:kern w:val="2"/>
          <w:sz w:val="32"/>
          <w:szCs w:val="32"/>
          <w:lang w:val="en-US" w:eastAsia="zh-CN" w:bidi="ar-SA"/>
        </w:rPr>
        <w:t>1、收入说明</w:t>
      </w:r>
    </w:p>
    <w:p>
      <w:pPr>
        <w:pStyle w:val="12"/>
        <w:keepNext w:val="0"/>
        <w:keepLines w:val="0"/>
        <w:pageBreakBefore w:val="0"/>
        <w:kinsoku/>
        <w:wordWrap/>
        <w:overflowPunct/>
        <w:topLinePunct w:val="0"/>
        <w:autoSpaceDE/>
        <w:autoSpaceDN/>
        <w:bidi w:val="0"/>
        <w:spacing w:line="578" w:lineRule="exact"/>
        <w:jc w:val="left"/>
        <w:textAlignment w:val="auto"/>
        <w:rPr>
          <w:rFonts w:hint="eastAsia" w:ascii="宋体" w:hAnsi="宋体" w:eastAsia="仿宋" w:cs="黑体"/>
          <w:color w:val="auto"/>
          <w:kern w:val="2"/>
          <w:sz w:val="32"/>
          <w:szCs w:val="32"/>
          <w:lang w:val="en-US" w:eastAsia="zh-CN" w:bidi="ar-SA"/>
        </w:rPr>
      </w:pPr>
      <w:r>
        <w:rPr>
          <w:rFonts w:hint="eastAsia" w:ascii="宋体" w:hAnsi="宋体" w:eastAsia="仿宋" w:cs="黑体"/>
          <w:color w:val="auto"/>
          <w:kern w:val="2"/>
          <w:sz w:val="32"/>
          <w:szCs w:val="32"/>
          <w:lang w:val="en-US" w:eastAsia="uk-UA" w:bidi="ar-SA"/>
        </w:rPr>
        <w:t>202</w:t>
      </w:r>
      <w:r>
        <w:rPr>
          <w:rFonts w:hint="eastAsia" w:ascii="宋体" w:hAnsi="宋体" w:eastAsia="仿宋" w:cs="黑体"/>
          <w:color w:val="auto"/>
          <w:kern w:val="2"/>
          <w:sz w:val="32"/>
          <w:szCs w:val="32"/>
          <w:lang w:val="en-US" w:eastAsia="zh-CN" w:bidi="ar-SA"/>
        </w:rPr>
        <w:t>5</w:t>
      </w:r>
      <w:r>
        <w:rPr>
          <w:rFonts w:hint="eastAsia" w:ascii="宋体" w:hAnsi="宋体" w:eastAsia="仿宋" w:cs="黑体"/>
          <w:color w:val="auto"/>
          <w:kern w:val="2"/>
          <w:sz w:val="32"/>
          <w:szCs w:val="32"/>
          <w:lang w:val="en-US" w:eastAsia="uk-UA" w:bidi="ar-SA"/>
        </w:rPr>
        <w:t>年预算收入</w:t>
      </w:r>
      <w:r>
        <w:rPr>
          <w:rFonts w:hint="eastAsia" w:ascii="宋体" w:hAnsi="宋体" w:eastAsia="仿宋" w:cs="黑体"/>
          <w:color w:val="auto"/>
          <w:kern w:val="2"/>
          <w:sz w:val="32"/>
          <w:szCs w:val="32"/>
          <w:lang w:val="en-US" w:eastAsia="zh-CN" w:bidi="ar-SA"/>
        </w:rPr>
        <w:t>1178.25万元，其中：一般公共预算收入1170.25万元，基金预算收入8万元，上年结转结余0.26万元。</w:t>
      </w:r>
    </w:p>
    <w:p>
      <w:pPr>
        <w:pStyle w:val="12"/>
        <w:keepNext w:val="0"/>
        <w:keepLines w:val="0"/>
        <w:pageBreakBefore w:val="0"/>
        <w:kinsoku/>
        <w:wordWrap/>
        <w:overflowPunct/>
        <w:topLinePunct w:val="0"/>
        <w:autoSpaceDE/>
        <w:autoSpaceDN/>
        <w:bidi w:val="0"/>
        <w:spacing w:line="578" w:lineRule="exact"/>
        <w:jc w:val="left"/>
        <w:textAlignment w:val="auto"/>
        <w:rPr>
          <w:rFonts w:hint="eastAsia" w:ascii="宋体" w:hAnsi="宋体" w:eastAsia="仿宋" w:cs="黑体"/>
          <w:color w:val="auto"/>
          <w:kern w:val="2"/>
          <w:sz w:val="32"/>
          <w:szCs w:val="32"/>
          <w:lang w:val="en-US" w:eastAsia="zh-CN" w:bidi="ar-SA"/>
        </w:rPr>
      </w:pPr>
      <w:r>
        <w:rPr>
          <w:rFonts w:hint="eastAsia" w:ascii="宋体" w:hAnsi="宋体" w:eastAsia="仿宋" w:cs="黑体"/>
          <w:color w:val="auto"/>
          <w:kern w:val="2"/>
          <w:sz w:val="32"/>
          <w:szCs w:val="32"/>
          <w:highlight w:val="none"/>
          <w:lang w:val="en-US" w:eastAsia="zh-CN" w:bidi="ar-SA"/>
        </w:rPr>
        <w:t>2025年决算收入1128.74万元，其中：一般公共预算收入1120.74万元，基金预算收入8万元。</w:t>
      </w:r>
    </w:p>
    <w:p>
      <w:pPr>
        <w:pStyle w:val="12"/>
        <w:keepNext w:val="0"/>
        <w:keepLines w:val="0"/>
        <w:pageBreakBefore w:val="0"/>
        <w:kinsoku/>
        <w:wordWrap/>
        <w:overflowPunct/>
        <w:topLinePunct w:val="0"/>
        <w:autoSpaceDE/>
        <w:autoSpaceDN/>
        <w:bidi w:val="0"/>
        <w:spacing w:line="578" w:lineRule="exact"/>
        <w:jc w:val="left"/>
        <w:textAlignment w:val="auto"/>
        <w:rPr>
          <w:rFonts w:hint="eastAsia" w:ascii="宋体" w:hAnsi="宋体" w:eastAsia="仿宋" w:cs="黑体"/>
          <w:color w:val="auto"/>
          <w:kern w:val="2"/>
          <w:sz w:val="32"/>
          <w:szCs w:val="32"/>
          <w:lang w:val="en-US" w:eastAsia="zh-CN" w:bidi="ar-SA"/>
        </w:rPr>
      </w:pPr>
      <w:r>
        <w:rPr>
          <w:rFonts w:hint="eastAsia" w:ascii="宋体" w:hAnsi="宋体" w:eastAsia="仿宋" w:cs="黑体"/>
          <w:color w:val="auto"/>
          <w:kern w:val="2"/>
          <w:sz w:val="32"/>
          <w:szCs w:val="32"/>
          <w:lang w:val="en-US" w:eastAsia="zh-CN" w:bidi="ar-SA"/>
        </w:rPr>
        <w:t>2、支出说明</w:t>
      </w:r>
    </w:p>
    <w:p>
      <w:pPr>
        <w:pStyle w:val="12"/>
        <w:keepNext w:val="0"/>
        <w:keepLines w:val="0"/>
        <w:pageBreakBefore w:val="0"/>
        <w:kinsoku/>
        <w:wordWrap/>
        <w:overflowPunct/>
        <w:topLinePunct w:val="0"/>
        <w:autoSpaceDE/>
        <w:autoSpaceDN/>
        <w:bidi w:val="0"/>
        <w:spacing w:line="578" w:lineRule="exact"/>
        <w:jc w:val="left"/>
        <w:textAlignment w:val="auto"/>
        <w:rPr>
          <w:rFonts w:hint="eastAsia" w:ascii="宋体" w:hAnsi="宋体" w:eastAsia="仿宋" w:cs="黑体"/>
          <w:color w:val="auto"/>
          <w:kern w:val="2"/>
          <w:sz w:val="32"/>
          <w:szCs w:val="32"/>
          <w:lang w:val="en-US" w:eastAsia="zh-CN" w:bidi="ar-SA"/>
        </w:rPr>
      </w:pPr>
      <w:r>
        <w:rPr>
          <w:rFonts w:hint="eastAsia" w:ascii="宋体" w:hAnsi="宋体" w:eastAsia="仿宋" w:cs="黑体"/>
          <w:color w:val="auto"/>
          <w:kern w:val="2"/>
          <w:sz w:val="32"/>
          <w:szCs w:val="32"/>
          <w:lang w:val="en-US" w:eastAsia="zh-CN" w:bidi="ar-SA"/>
        </w:rPr>
        <w:t>2025年支出预算1128.74万元，其中：基本支出714.26万元，包括人员经费601.47万元和日常公用经费112.79万元；项目支出414.48万元，主要为公益广告维护制作费、新时代文明实践中心（所、站）建设维护运转资金、宣传费等。</w:t>
      </w:r>
    </w:p>
    <w:p>
      <w:pPr>
        <w:keepNext w:val="0"/>
        <w:keepLines w:val="0"/>
        <w:pageBreakBefore w:val="0"/>
        <w:kinsoku/>
        <w:wordWrap/>
        <w:overflowPunct/>
        <w:topLinePunct w:val="0"/>
        <w:autoSpaceDE/>
        <w:autoSpaceDN/>
        <w:bidi w:val="0"/>
        <w:snapToGrid w:val="0"/>
        <w:spacing w:line="578" w:lineRule="exact"/>
        <w:ind w:firstLine="640" w:firstLineChars="200"/>
        <w:jc w:val="left"/>
        <w:textAlignment w:val="auto"/>
        <w:rPr>
          <w:rFonts w:hint="eastAsia" w:ascii="宋体" w:hAnsi="宋体" w:eastAsia="仿宋" w:cs="黑体"/>
          <w:color w:val="auto"/>
          <w:kern w:val="2"/>
          <w:sz w:val="32"/>
          <w:szCs w:val="32"/>
          <w:lang w:val="en-US" w:eastAsia="zh-CN" w:bidi="ar-SA"/>
        </w:rPr>
      </w:pPr>
      <w:r>
        <w:rPr>
          <w:rFonts w:hint="eastAsia" w:ascii="宋体" w:hAnsi="宋体" w:eastAsia="仿宋" w:cs="黑体"/>
          <w:color w:val="auto"/>
          <w:kern w:val="2"/>
          <w:sz w:val="32"/>
          <w:szCs w:val="32"/>
          <w:lang w:val="en-US" w:eastAsia="zh-CN" w:bidi="ar-SA"/>
        </w:rPr>
        <w:t>2025年支出决算1128.74万元，其中：基本支出</w:t>
      </w:r>
      <w:r>
        <w:rPr>
          <w:rFonts w:hint="default" w:ascii="宋体" w:hAnsi="宋体" w:eastAsia="仿宋" w:cs="黑体"/>
          <w:color w:val="auto"/>
          <w:kern w:val="2"/>
          <w:sz w:val="32"/>
          <w:szCs w:val="32"/>
          <w:lang w:eastAsia="zh-CN" w:bidi="ar-SA"/>
        </w:rPr>
        <w:t>714.2</w:t>
      </w:r>
      <w:r>
        <w:rPr>
          <w:rFonts w:hint="eastAsia" w:ascii="宋体" w:hAnsi="宋体" w:eastAsia="仿宋" w:cs="黑体"/>
          <w:color w:val="auto"/>
          <w:kern w:val="2"/>
          <w:sz w:val="32"/>
          <w:szCs w:val="32"/>
          <w:lang w:val="en-US" w:eastAsia="zh-CN" w:bidi="ar-SA"/>
        </w:rPr>
        <w:t>6万元，包括人员经费</w:t>
      </w:r>
      <w:r>
        <w:rPr>
          <w:rFonts w:hint="default" w:ascii="宋体" w:hAnsi="宋体" w:eastAsia="仿宋" w:cs="黑体"/>
          <w:color w:val="auto"/>
          <w:kern w:val="2"/>
          <w:sz w:val="32"/>
          <w:szCs w:val="32"/>
          <w:lang w:eastAsia="zh-CN" w:bidi="ar-SA"/>
        </w:rPr>
        <w:t>601.4</w:t>
      </w:r>
      <w:r>
        <w:rPr>
          <w:rFonts w:hint="eastAsia" w:ascii="宋体" w:hAnsi="宋体" w:eastAsia="仿宋" w:cs="黑体"/>
          <w:color w:val="auto"/>
          <w:kern w:val="2"/>
          <w:sz w:val="32"/>
          <w:szCs w:val="32"/>
          <w:lang w:val="en-US" w:eastAsia="zh-CN" w:bidi="ar-SA"/>
        </w:rPr>
        <w:t>6万元和日常公用经费</w:t>
      </w:r>
      <w:r>
        <w:rPr>
          <w:rFonts w:hint="default" w:ascii="宋体" w:hAnsi="宋体" w:eastAsia="仿宋" w:cs="黑体"/>
          <w:color w:val="auto"/>
          <w:kern w:val="2"/>
          <w:sz w:val="32"/>
          <w:szCs w:val="32"/>
          <w:lang w:eastAsia="zh-CN" w:bidi="ar-SA"/>
        </w:rPr>
        <w:t>112.7</w:t>
      </w:r>
      <w:r>
        <w:rPr>
          <w:rFonts w:hint="eastAsia" w:ascii="宋体" w:hAnsi="宋体" w:eastAsia="仿宋" w:cs="黑体"/>
          <w:color w:val="auto"/>
          <w:kern w:val="2"/>
          <w:sz w:val="32"/>
          <w:szCs w:val="32"/>
          <w:lang w:val="en-US" w:eastAsia="zh-CN" w:bidi="ar-SA"/>
        </w:rPr>
        <w:t>9万元；项目支出</w:t>
      </w:r>
      <w:r>
        <w:rPr>
          <w:rFonts w:hint="default" w:ascii="宋体" w:hAnsi="宋体" w:eastAsia="仿宋" w:cs="黑体"/>
          <w:color w:val="auto"/>
          <w:kern w:val="2"/>
          <w:sz w:val="32"/>
          <w:szCs w:val="32"/>
          <w:lang w:eastAsia="zh-CN" w:bidi="ar-SA"/>
        </w:rPr>
        <w:t>414.48</w:t>
      </w:r>
      <w:r>
        <w:rPr>
          <w:rFonts w:hint="eastAsia" w:ascii="宋体" w:hAnsi="宋体" w:eastAsia="仿宋" w:cs="黑体"/>
          <w:color w:val="auto"/>
          <w:kern w:val="2"/>
          <w:sz w:val="32"/>
          <w:szCs w:val="32"/>
          <w:lang w:val="en-US" w:eastAsia="zh-CN" w:bidi="ar-SA"/>
        </w:rPr>
        <w:t>万元，主要为公益广告维护制作费、新时代文明实践中心（所、站）建设维护运转资金、宣传费</w:t>
      </w:r>
      <w:bookmarkStart w:id="0" w:name="_GoBack"/>
      <w:bookmarkEnd w:id="0"/>
      <w:r>
        <w:rPr>
          <w:rFonts w:hint="eastAsia" w:ascii="宋体" w:hAnsi="宋体" w:eastAsia="仿宋" w:cs="黑体"/>
          <w:color w:val="auto"/>
          <w:kern w:val="2"/>
          <w:sz w:val="32"/>
          <w:szCs w:val="32"/>
          <w:lang w:val="en-US" w:eastAsia="zh-CN" w:bidi="ar-SA"/>
        </w:rPr>
        <w:t>等。</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把深入学习宣传贯彻习近平新时代中国特色社会主义思想和党的二十大精神作为重中之重，深化学习宣传教育。坚持和创新党内学习制度，进一步修订区委理论学习中心组学习规则。用好“学习强国”等学习平台，组织开展系列活动，持续掀起学习高潮。重点围绕党的二十大，组织开展面向基层群众的对象化、互动化的理论宣讲，全力推动党史学习教育常态化长效化，奋力开创各项工作新局面。始终把党的政治建设摆在首位，把意识形态工作作为落实全面从严治党的关键，切实提高政治判断力、政治领悟力、政治执行力。压紧压实全区各级党组织意识形态工作责任，严格半年报告制度，进一步知责、明责、守责。持续加强新闻出版、版权、电影管理，加强印刷发行行业的监督管理，深入开展“扫黄打非”。做好意识形态领域敏感事件、突发事件的应急处置工作，切实维护意识形态安全。以服务群众为根本</w:t>
      </w:r>
      <w:r>
        <w:rPr>
          <w:rFonts w:hint="eastAsia" w:ascii="仿宋" w:hAnsi="仿宋" w:eastAsia="仿宋"/>
          <w:sz w:val="32"/>
          <w:szCs w:val="32"/>
          <w:lang w:eastAsia="zh-CN"/>
        </w:rPr>
        <w:t>,</w:t>
      </w:r>
      <w:r>
        <w:rPr>
          <w:rFonts w:hint="eastAsia" w:ascii="仿宋" w:hAnsi="仿宋" w:eastAsia="仿宋"/>
          <w:sz w:val="32"/>
          <w:szCs w:val="32"/>
        </w:rPr>
        <w:t xml:space="preserve"> 365百姓故事汇群众宣讲、文化科技卫生“三下乡”、国防教育“六进”暨红色故事宣讲、电影放映周等文化惠民活动，不断增强群众文化活动的广泛性和参与性。积极探索新形势下国防教育工作的创新方式，开展好以领导干部、青少年学生、民兵和预备役人员为重点的国防教育工作，加强国防教育阵地建设，做好对现有</w:t>
      </w:r>
      <w:r>
        <w:rPr>
          <w:rFonts w:hint="eastAsia" w:ascii="仿宋" w:hAnsi="仿宋" w:eastAsia="仿宋"/>
          <w:sz w:val="32"/>
          <w:szCs w:val="32"/>
          <w:lang w:eastAsia="zh-CN"/>
        </w:rPr>
        <w:t>爱国主义</w:t>
      </w:r>
      <w:r>
        <w:rPr>
          <w:rFonts w:hint="eastAsia" w:ascii="仿宋" w:hAnsi="仿宋" w:eastAsia="仿宋"/>
          <w:sz w:val="32"/>
          <w:szCs w:val="32"/>
        </w:rPr>
        <w:t>教育</w:t>
      </w:r>
      <w:r>
        <w:rPr>
          <w:rFonts w:hint="eastAsia" w:ascii="仿宋" w:hAnsi="仿宋" w:eastAsia="仿宋"/>
          <w:sz w:val="32"/>
          <w:szCs w:val="32"/>
          <w:lang w:eastAsia="zh-CN"/>
        </w:rPr>
        <w:t>基地</w:t>
      </w:r>
      <w:r>
        <w:rPr>
          <w:rFonts w:hint="eastAsia" w:ascii="仿宋" w:hAnsi="仿宋" w:eastAsia="仿宋"/>
          <w:sz w:val="32"/>
          <w:szCs w:val="32"/>
        </w:rPr>
        <w:t>管理和维护，利用重要时间节点广泛开展爱国主义教育宣传活动。坚持党管宣传、党管媒体，坚持马克思主义新闻观，把政治方向摆在第一位，充分发挥舆情处置牵头抓总的作用，强化舆情风险隐患的排查，注重舆情风险前处置，建强用好新闻通讯员、新闻发言人等队伍，不断提升对舆情分析、研判和处置能力。策划推出系列主题宣传、成就宣传和典型宣传。持续推进媒体深度融合，建立全媒体内容生产整体架构，提高内容生产质量和效率，推出优质融媒体产品。积极推进精神文明建设，大力弘扬社会主义核心价值观，继续做好省级文明城区、全国文明城市常态化创建工作，不断提升文明城市创建成果。开展移风易俗，持续推进文明村镇、文明单位、文明家庭建设，培育文明乡风、良好家风。组织先进评选，通过典型示范作用，带动全区精神文明建设不断提升。精心设计组织各类文明实践活动，做好“新时代文明实践活动日”，持续深化“我们的节日”主题文化活动，做到品牌化吸引、常态化服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pStyle w:val="5"/>
        <w:keepNext w:val="0"/>
        <w:keepLines w:val="0"/>
        <w:pageBreakBefore w:val="0"/>
        <w:widowControl/>
        <w:suppressLineNumbers w:val="0"/>
        <w:kinsoku/>
        <w:wordWrap/>
        <w:overflowPunct/>
        <w:topLinePunct w:val="0"/>
        <w:autoSpaceDE/>
        <w:autoSpaceDN/>
        <w:bidi w:val="0"/>
        <w:spacing w:beforeAutospacing="0" w:afterAutospacing="0" w:line="578" w:lineRule="exact"/>
        <w:ind w:firstLine="640" w:firstLineChars="200"/>
        <w:jc w:val="both"/>
        <w:textAlignment w:val="auto"/>
        <w:rPr>
          <w:rFonts w:ascii="仿宋" w:hAnsi="仿宋" w:eastAsia="仿宋"/>
          <w:sz w:val="32"/>
          <w:szCs w:val="32"/>
        </w:rPr>
      </w:pPr>
      <w:r>
        <w:rPr>
          <w:rFonts w:hint="eastAsia" w:ascii="仿宋" w:hAnsi="仿宋" w:eastAsia="仿宋" w:cs="黑体"/>
          <w:kern w:val="2"/>
          <w:sz w:val="32"/>
          <w:szCs w:val="32"/>
          <w:lang w:val="en-US" w:eastAsia="zh-CN" w:bidi="ar-SA"/>
        </w:rPr>
        <w:t>项目结束后，我单位成立项目评价工作小组，结合绩效评价的要求和预算项目的指标，对项目开展全面的综合评价工作。</w:t>
      </w:r>
    </w:p>
    <w:p>
      <w:pPr>
        <w:spacing w:line="560" w:lineRule="exact"/>
        <w:rPr>
          <w:rFonts w:ascii="仿宋" w:hAnsi="仿宋" w:eastAsia="仿宋"/>
          <w:sz w:val="32"/>
          <w:szCs w:val="32"/>
        </w:rPr>
      </w:pP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2"/>
        <w:ind w:firstLine="640" w:firstLineChars="200"/>
      </w:pPr>
      <w:r>
        <w:rPr>
          <w:rFonts w:hint="eastAsia" w:ascii="仿宋" w:hAnsi="仿宋" w:eastAsia="仿宋" w:cs="黑体"/>
          <w:kern w:val="2"/>
          <w:sz w:val="32"/>
          <w:szCs w:val="32"/>
          <w:lang w:val="en-US" w:eastAsia="zh-CN" w:bidi="ar-SA"/>
        </w:rPr>
        <w:t>通过项目评价工作小组评估，对各项绩效评价内容完成情况进行打分，并根据分值评价绩效目标完成情况。</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本年度专项工作经费管理规范，按计划基本完成，确保了</w:t>
      </w:r>
    </w:p>
    <w:p>
      <w:pPr>
        <w:spacing w:line="560" w:lineRule="exact"/>
        <w:ind w:firstLine="800" w:firstLineChars="250"/>
        <w:rPr>
          <w:rFonts w:ascii="仿宋" w:hAnsi="仿宋" w:eastAsia="仿宋"/>
          <w:sz w:val="32"/>
          <w:szCs w:val="32"/>
        </w:rPr>
      </w:pPr>
      <w:r>
        <w:rPr>
          <w:rFonts w:hint="eastAsia" w:ascii="仿宋" w:hAnsi="仿宋" w:eastAsia="仿宋" w:cs="黑体"/>
          <w:kern w:val="2"/>
          <w:sz w:val="32"/>
          <w:szCs w:val="32"/>
          <w:lang w:val="en-US" w:eastAsia="zh-CN" w:bidi="ar-SA"/>
        </w:rPr>
        <w:t>各项工作正常运转和圆满完成，各股室对该项工作总体较为满意。对各项职能指标完成情况进行了自检自查,各项工作均已基本完成，</w:t>
      </w:r>
      <w:r>
        <w:rPr>
          <w:rFonts w:hint="eastAsia" w:ascii="仿宋" w:hAnsi="仿宋" w:eastAsia="仿宋" w:cs="黑体"/>
          <w:color w:val="auto"/>
          <w:kern w:val="2"/>
          <w:sz w:val="32"/>
          <w:szCs w:val="32"/>
          <w:lang w:val="en-US" w:eastAsia="zh-CN" w:bidi="ar-SA"/>
        </w:rPr>
        <w:t>24个项目绩效评价中优秀24个</w:t>
      </w:r>
      <w:r>
        <w:rPr>
          <w:rFonts w:hint="eastAsia" w:ascii="仿宋" w:hAnsi="仿宋" w:eastAsia="仿宋" w:cs="黑体"/>
          <w:kern w:val="2"/>
          <w:sz w:val="32"/>
          <w:szCs w:val="32"/>
          <w:lang w:val="en-US" w:eastAsia="zh-CN" w:bidi="ar-SA"/>
        </w:rPr>
        <w:t>。</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绩效目标：细化完善区委理论学习中心组学习计划和制度，坚持每月1次集中学习，创新学习形式，广泛开展常态化宣传宣讲，在狠抓学习中筑牢思想基础为区委中心组购买学习用书、印制学习资料及邀请省市专家教授讲课等费用，指导、督导全区县级党委（党组）理论学习中心组工作；加强理论宣传，运用各个传媒，搭建平台，深入宣传中央、省、市及我区方针政策；深入开展理论研究，为区委区政府决策提供咨询。</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绩效指标：区委理论学习中心组阵地建设，组织开展区委理论学习中心组学习10次，邀请专家教授讲课1次以上，购买、印制学习书籍资料800份以上，进一步提升领导干部理论素养。</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2、深化文明实践，推动文明城市常态化创建工作      </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绩效目标：根据石家庄市鹿泉区精神文明建设委员会关于印发《文明城市常态化创建工作方案》的通知（鹿宣发〔2024〕3号）、《关于组织开展先进典型基层宣传巡讲活动的通知》（石文明办〔2022〕2号）、《关于开展2024年度“新时代好少年”学习宣传活动通知》（鹿文明办〔2024〕5号）用于开展各类文明评选表彰活动；开展各类先进典型评选、表彰宣讲、帮扶礼遇活动；宣传关爱保护关爱未成年人公益广告、印刷各类宣传册、新时代好少年评选活动；加大社会主义核心价值观公益宣传力度，更换及维护社会主义核心价值观公益广告；开展移风易俗、诵读比赛、文化活动、二十大宣传等践行社会主义核心价值观系列活动等。</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绩效指标：开展“双争”主题活动、举办“双争”擂台赛不少于5场；开展移风易俗等精神文明宣传活动不少于3次，印制宣传品不少于10000份；加大社会主义核心价值观宣传力度，举办各类社会主义核心价值观活动、开展“我们的节日”传统文化活动5场。</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3、加快拓展新时代文明实践中心建设</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绩效目标：新时代文明实践云平台，全面做强做大文明实践志愿队伍。依托实践中心云平台，全面加强区、乡、村三级文明实践志愿服务队伍的逐层管理、分类管理与动态管理，健全完善志愿服务激励机制，进一步提升服务水平。</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绩效指标：建设、提档升级文明实践中心（所、站、基地）不少于2个，培训文明实践骨干次数不少于1次；培育文明实践活动重点项目不少于2个，运营维护新时代文明实践云平台1个，宣讲小程序1个、智能书屋1个；开展多样宣传文化、志愿服务活动不少于5场，购买制作宣传品、纪念品等不少于1000个；理论宣讲、新时代文明实践中心运转办公、设备采购等费用。</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4、借助媒体宣传造势，加大宣传鹿泉推介鹿泉的力度</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绩效目标：围绕我区重点工作、重大活动、特色亮点，紧密结合新一代电子信息产业、营商环境、科技创新、项目建设、乡村振兴、市域治理、全域旅游、城市建设和生态文明建设等做好宣传报道，宣传我区全面深入学习贯彻党的二十大精神，撸起袖子加油干、风雨无阻向前行的实际行动和良好风貌等内容，充分展现中国式现代化河北场景鹿泉实践，持续营造良好的舆论氛围，进一步提升鹿泉形象、讲好鹿泉故事。充分适应新形势下全媒体时代宣传要求，充分占领信息制高点，与中新社、河北日报、河北广播电视台、石家庄广播电视台、消费日报、国际在线等媒体合作宣传鹿泉，借助传统媒体平台和新媒体平台，精心策划宣传，提高鹿泉知名度和美誉度，通过电视、报刊、客户端、网络等渠道，力求实现“全方位、立体式、多元化”整体宣传效果，讲好鹿泉故事，传播鹿泉声音，凝聚正能量，激发新动能，为全区高质量发展营造和谐稳定的舆论环境和良好的舆论氛围。</w:t>
      </w:r>
    </w:p>
    <w:p>
      <w:pPr>
        <w:spacing w:line="560" w:lineRule="exact"/>
        <w:ind w:firstLine="800" w:firstLineChars="250"/>
        <w:rPr>
          <w:rFonts w:ascii="仿宋" w:hAnsi="仿宋" w:eastAsia="仿宋"/>
          <w:sz w:val="32"/>
          <w:szCs w:val="32"/>
        </w:rPr>
      </w:pPr>
      <w:r>
        <w:rPr>
          <w:rFonts w:ascii="仿宋" w:hAnsi="仿宋" w:eastAsia="仿宋"/>
          <w:sz w:val="32"/>
          <w:szCs w:val="32"/>
        </w:rPr>
        <w:t>绩效指标：用于每年对公益广告制作、更新维护；围绕“全市电子信息产业集中承载地”的产业发展定位和“省会后花园”的城市功能定位，与新华社、河北日报、河北电视台、长城新媒体、纵览新闻、石家庄日报等20余个每日提平台合作，以专版、专题报道、视频推广、直播等不少于4种形式，刊登稿件不少于100篇；印制宣传资料10000余份。</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49"/>
        <w:gridCol w:w="2415"/>
        <w:gridCol w:w="20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color w:val="000000" w:themeColor="text1"/>
                <w:vertAlign w:val="baseline"/>
              </w:rPr>
            </w:pPr>
            <w:r>
              <w:rPr>
                <w:rFonts w:hint="eastAsia"/>
                <w:color w:val="000000" w:themeColor="text1"/>
                <w:vertAlign w:val="baseline"/>
              </w:rPr>
              <w:t>项目名称</w:t>
            </w:r>
          </w:p>
        </w:tc>
        <w:tc>
          <w:tcPr>
            <w:tcW w:w="2415" w:type="dxa"/>
            <w:vAlign w:val="center"/>
          </w:tcPr>
          <w:p>
            <w:pPr>
              <w:pStyle w:val="2"/>
              <w:jc w:val="center"/>
              <w:rPr>
                <w:color w:val="000000" w:themeColor="text1"/>
                <w:vertAlign w:val="baseline"/>
              </w:rPr>
            </w:pPr>
            <w:r>
              <w:rPr>
                <w:rFonts w:hint="eastAsia"/>
                <w:color w:val="000000" w:themeColor="text1"/>
                <w:vertAlign w:val="baseline"/>
              </w:rPr>
              <w:t>自评得分</w:t>
            </w:r>
          </w:p>
        </w:tc>
        <w:tc>
          <w:tcPr>
            <w:tcW w:w="2097" w:type="dxa"/>
            <w:vAlign w:val="center"/>
          </w:tcPr>
          <w:p>
            <w:pPr>
              <w:pStyle w:val="2"/>
              <w:jc w:val="both"/>
              <w:rPr>
                <w:color w:val="000000" w:themeColor="text1"/>
                <w:vertAlign w:val="baseline"/>
              </w:rPr>
            </w:pPr>
            <w:r>
              <w:rPr>
                <w:rFonts w:hint="eastAsia"/>
                <w:color w:val="000000" w:themeColor="text1"/>
                <w:vertAlign w:val="baseline"/>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（2025）退役军人工资</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lang w:eastAsia="zh-CN"/>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（2025）公益广告维护制作费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（2025）国防教育专项经费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（2025）宣传费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石财教【2024】115号提前下达2025年省级国家电影事业发展专项资金预算</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石财教【2024】100号提前下达2025年省级公共文化服务体系建设补助资金</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（2025）新时代文明实践中心运转经费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（2025）新闻出版版权工作经费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（2025）公益广告维护制作费调剂</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（2025）公益广告维护制作费调剂1</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（2025）（市、区）级爱国主义教育基地管护费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石财教【2024】101号（新时代文明实践中心）提前下达2025年中央支持地方公共文化服务体系建设补助资金</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（2025）精神文明建设费用</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（2025）区委理论学习中心组学习费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石财教【2025】11号下达2025年农村公益电影放映经费原乡镇公社电影放映员生活补助资金</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（2025）石家庄日报专版费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（2025）石家庄日报专版费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（2025）扫黄打非工作经费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lang w:eastAsia="zh-CN"/>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（2025）培训费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98</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（2025）文明城市常态化创建经费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（2025）农村公益电影放映经费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（2025）60周岁以上老放映员补助款</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石财教【2025】39号关于下达2025年中央和省级公共文化服务体系建设补助专项资金</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b/>
                <w:bCs/>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（2025）电影放映服务中心场地租赁费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（2025）退役军人工资</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（2025）公益广告维护制作费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000000" w:themeColor="text1"/>
                <w:kern w:val="2"/>
                <w:sz w:val="28"/>
                <w:szCs w:val="28"/>
                <w:vertAlign w:val="baseline"/>
                <w:lang w:val="en-US" w:eastAsia="zh-CN" w:bidi="ar-SA"/>
              </w:rPr>
            </w:pPr>
            <w:r>
              <w:rPr>
                <w:rFonts w:hint="eastAsia" w:ascii="仿宋" w:hAnsi="仿宋" w:eastAsia="仿宋" w:cs="仿宋"/>
                <w:color w:val="000000" w:themeColor="text1"/>
                <w:kern w:val="2"/>
                <w:sz w:val="28"/>
                <w:szCs w:val="28"/>
                <w:vertAlign w:val="baseline"/>
                <w:lang w:val="en-US" w:eastAsia="zh-CN" w:bidi="ar-SA"/>
              </w:rPr>
              <w:t>（2025）国防教育专项经费</w:t>
            </w:r>
          </w:p>
        </w:tc>
        <w:tc>
          <w:tcPr>
            <w:tcW w:w="2415" w:type="dxa"/>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000000" w:themeColor="text1"/>
                <w:kern w:val="2"/>
                <w:sz w:val="32"/>
                <w:szCs w:val="32"/>
                <w:vertAlign w:val="baseline"/>
                <w:lang w:val="en-US" w:eastAsia="zh-CN" w:bidi="ar-SA"/>
              </w:rPr>
            </w:pPr>
            <w:r>
              <w:rPr>
                <w:rFonts w:hint="eastAsia" w:ascii="仿宋" w:hAnsi="仿宋" w:eastAsia="仿宋" w:cs="仿宋"/>
                <w:color w:val="000000" w:themeColor="text1"/>
                <w:kern w:val="2"/>
                <w:sz w:val="32"/>
                <w:szCs w:val="32"/>
                <w:vertAlign w:val="baseline"/>
                <w:lang w:val="en-US" w:eastAsia="zh-CN" w:bidi="ar-SA"/>
              </w:rPr>
              <w:t>100</w:t>
            </w:r>
          </w:p>
        </w:tc>
        <w:tc>
          <w:tcPr>
            <w:tcW w:w="2097" w:type="dxa"/>
            <w:vAlign w:val="center"/>
          </w:tcPr>
          <w:p>
            <w:pPr>
              <w:pStyle w:val="2"/>
              <w:jc w:val="both"/>
              <w:rPr>
                <w:rFonts w:hint="eastAsia" w:ascii="仿宋" w:hAnsi="仿宋" w:eastAsia="仿宋" w:cs="仿宋"/>
                <w:color w:val="000000" w:themeColor="text1"/>
                <w:vertAlign w:val="baseline"/>
              </w:rPr>
            </w:pPr>
            <w:r>
              <w:rPr>
                <w:rFonts w:hint="eastAsia" w:ascii="仿宋" w:hAnsi="仿宋" w:eastAsia="仿宋" w:cs="仿宋"/>
                <w:color w:val="000000" w:themeColor="text1"/>
                <w:vertAlign w:val="baseline"/>
                <w:lang w:eastAsia="zh-CN"/>
              </w:rPr>
              <w:t>优秀</w:t>
            </w:r>
          </w:p>
        </w:tc>
      </w:tr>
    </w:tbl>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jc w:val="both"/>
        <w:rPr>
          <w:rFonts w:hint="eastAsia" w:ascii="楷体" w:hAnsi="楷体" w:eastAsia="楷体"/>
          <w:bCs/>
          <w:color w:val="000000" w:themeColor="text1"/>
          <w:sz w:val="32"/>
          <w:szCs w:val="32"/>
        </w:rPr>
      </w:pPr>
      <w:r>
        <w:rPr>
          <w:rFonts w:hint="eastAsia" w:ascii="楷体" w:hAnsi="楷体" w:eastAsia="楷体"/>
          <w:bCs/>
          <w:color w:val="000000" w:themeColor="text1"/>
          <w:sz w:val="32"/>
          <w:szCs w:val="32"/>
        </w:rPr>
        <w:t>（一）存在的主要问题</w:t>
      </w:r>
    </w:p>
    <w:p>
      <w:pPr>
        <w:widowControl w:val="0"/>
        <w:wordWrap/>
        <w:spacing w:line="560" w:lineRule="exact"/>
        <w:ind w:left="0" w:leftChars="0" w:right="0" w:firstLine="640" w:firstLineChars="200"/>
        <w:jc w:val="both"/>
        <w:textAlignment w:val="auto"/>
        <w:outlineLvl w:val="9"/>
        <w:rPr>
          <w:rFonts w:hint="eastAsia" w:ascii="仿宋" w:hAnsi="仿宋" w:eastAsia="仿宋"/>
          <w:color w:val="000000" w:themeColor="text1"/>
          <w:sz w:val="32"/>
          <w:szCs w:val="32"/>
          <w:lang w:eastAsia="zh-CN"/>
        </w:rPr>
      </w:pPr>
      <w:r>
        <w:rPr>
          <w:rFonts w:hint="eastAsia" w:ascii="仿宋" w:hAnsi="仿宋" w:eastAsia="仿宋"/>
          <w:color w:val="000000" w:themeColor="text1"/>
          <w:sz w:val="32"/>
          <w:szCs w:val="32"/>
          <w:lang w:eastAsia="zh-CN"/>
        </w:rPr>
        <w:t>制度不完善，加强支出管理，加强绩效监控。</w:t>
      </w:r>
    </w:p>
    <w:p>
      <w:pPr>
        <w:widowControl w:val="0"/>
        <w:wordWrap/>
        <w:spacing w:line="560" w:lineRule="exact"/>
        <w:ind w:left="0" w:leftChars="0" w:right="0" w:firstLine="640" w:firstLineChars="200"/>
        <w:jc w:val="both"/>
        <w:textAlignment w:val="auto"/>
        <w:outlineLvl w:val="9"/>
        <w:rPr>
          <w:rFonts w:hint="eastAsia" w:ascii="楷体" w:hAnsi="楷体" w:eastAsia="楷体"/>
          <w:bCs/>
          <w:color w:val="000000" w:themeColor="text1"/>
          <w:sz w:val="32"/>
          <w:szCs w:val="32"/>
        </w:rPr>
      </w:pPr>
      <w:r>
        <w:rPr>
          <w:rFonts w:hint="eastAsia" w:ascii="楷体" w:hAnsi="楷体" w:eastAsia="楷体"/>
          <w:bCs/>
          <w:color w:val="000000" w:themeColor="text1"/>
          <w:sz w:val="32"/>
          <w:szCs w:val="32"/>
          <w:lang w:eastAsia="zh-CN"/>
        </w:rPr>
        <w:t>（二）</w:t>
      </w:r>
      <w:r>
        <w:rPr>
          <w:rFonts w:hint="eastAsia" w:ascii="楷体" w:hAnsi="楷体" w:eastAsia="楷体"/>
          <w:bCs/>
          <w:color w:val="000000" w:themeColor="text1"/>
          <w:sz w:val="32"/>
          <w:szCs w:val="32"/>
        </w:rPr>
        <w:t>针对问题提出具体的改进措施或建议</w:t>
      </w:r>
    </w:p>
    <w:p>
      <w:pPr>
        <w:spacing w:line="560" w:lineRule="exact"/>
        <w:ind w:firstLine="640" w:firstLineChars="200"/>
        <w:rPr>
          <w:rFonts w:ascii="楷体" w:hAnsi="楷体" w:eastAsia="楷体"/>
          <w:bCs/>
          <w:color w:val="000000" w:themeColor="text1"/>
          <w:sz w:val="32"/>
          <w:szCs w:val="32"/>
        </w:rPr>
      </w:pPr>
      <w:r>
        <w:rPr>
          <w:rFonts w:hint="eastAsia" w:ascii="仿宋_GB2312" w:hAnsi="Calibri" w:eastAsia="仿宋_GB2312" w:cs="黑体"/>
          <w:color w:val="000000" w:themeColor="text1"/>
          <w:kern w:val="2"/>
          <w:sz w:val="32"/>
          <w:szCs w:val="32"/>
          <w:lang w:val="en-US" w:eastAsia="zh-CN" w:bidi="ar-SA"/>
        </w:rPr>
        <w:t>加强绩效运行监控，拉出目标清单，细化责任分工，明确时间节点，按要求开展绩效运行监控，</w:t>
      </w:r>
      <w:r>
        <w:rPr>
          <w:rFonts w:hint="eastAsia" w:ascii="仿宋" w:hAnsi="仿宋" w:eastAsia="仿宋"/>
          <w:color w:val="000000" w:themeColor="text1"/>
          <w:sz w:val="32"/>
          <w:szCs w:val="32"/>
          <w:lang w:eastAsia="zh-CN"/>
        </w:rPr>
        <w:t>采取项目跟踪、数据核查和汇总分析等方式，动态了解和掌握项目绩效目标实现程度、资金支出进度和项目实施进度，对评价中发现的问题及时整改，</w:t>
      </w:r>
      <w:r>
        <w:rPr>
          <w:rFonts w:hint="eastAsia" w:ascii="仿宋_GB2312" w:hAnsi="Calibri" w:eastAsia="仿宋_GB2312" w:cs="黑体"/>
          <w:color w:val="000000" w:themeColor="text1"/>
          <w:kern w:val="2"/>
          <w:sz w:val="32"/>
          <w:szCs w:val="32"/>
          <w:lang w:val="en-US" w:eastAsia="zh-CN" w:bidi="ar-SA"/>
        </w:rPr>
        <w:t>确保绩效目标如期保质实现。发现的问题及时整改，调整优化支出结构，提高财政资金使用效益。</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9F18CEA"/>
    <w:multiLevelType w:val="singleLevel"/>
    <w:tmpl w:val="49F18CEA"/>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66976"/>
    <w:rsid w:val="00CE06BA"/>
    <w:rsid w:val="00E00E65"/>
    <w:rsid w:val="00F441CC"/>
    <w:rsid w:val="01B104CA"/>
    <w:rsid w:val="02106AB0"/>
    <w:rsid w:val="02B43A28"/>
    <w:rsid w:val="046F331E"/>
    <w:rsid w:val="07956271"/>
    <w:rsid w:val="09721397"/>
    <w:rsid w:val="0BB63BED"/>
    <w:rsid w:val="0EB97A43"/>
    <w:rsid w:val="0EBD2122"/>
    <w:rsid w:val="0F214EAE"/>
    <w:rsid w:val="0F923A27"/>
    <w:rsid w:val="11B71E6A"/>
    <w:rsid w:val="1AAF0063"/>
    <w:rsid w:val="1BE140DE"/>
    <w:rsid w:val="1E9A3814"/>
    <w:rsid w:val="248C197D"/>
    <w:rsid w:val="252959AF"/>
    <w:rsid w:val="277A6671"/>
    <w:rsid w:val="2784634D"/>
    <w:rsid w:val="292D35B7"/>
    <w:rsid w:val="32817910"/>
    <w:rsid w:val="33EB6CFF"/>
    <w:rsid w:val="35A12947"/>
    <w:rsid w:val="37387040"/>
    <w:rsid w:val="37820D51"/>
    <w:rsid w:val="3B625C0A"/>
    <w:rsid w:val="3CEE1963"/>
    <w:rsid w:val="3D5F5AA3"/>
    <w:rsid w:val="436B78D3"/>
    <w:rsid w:val="4C9C27FE"/>
    <w:rsid w:val="4E88498E"/>
    <w:rsid w:val="512260B4"/>
    <w:rsid w:val="52BD6ACB"/>
    <w:rsid w:val="52F04C29"/>
    <w:rsid w:val="55537534"/>
    <w:rsid w:val="561A74F1"/>
    <w:rsid w:val="58255193"/>
    <w:rsid w:val="597244E8"/>
    <w:rsid w:val="5EB71C30"/>
    <w:rsid w:val="66AF0CE5"/>
    <w:rsid w:val="6A087CF1"/>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3">
    <w:name w:val="font31"/>
    <w:basedOn w:val="8"/>
    <w:qFormat/>
    <w:uiPriority w:val="0"/>
    <w:rPr>
      <w:rFonts w:hint="eastAsia" w:ascii="宋体" w:hAnsi="宋体" w:eastAsia="宋体" w:cs="宋体"/>
      <w:color w:val="000000"/>
      <w:sz w:val="20"/>
      <w:szCs w:val="20"/>
      <w:u w:val="none"/>
    </w:rPr>
  </w:style>
  <w:style w:type="character" w:customStyle="1" w:styleId="14">
    <w:name w:val="font21"/>
    <w:basedOn w:val="8"/>
    <w:qFormat/>
    <w:uiPriority w:val="0"/>
    <w:rPr>
      <w:rFonts w:ascii="Calibri" w:hAnsi="Calibri" w:cs="Calibri"/>
      <w:color w:val="000000"/>
      <w:sz w:val="20"/>
      <w:szCs w:val="20"/>
      <w:u w:val="none"/>
    </w:rPr>
  </w:style>
  <w:style w:type="character" w:customStyle="1" w:styleId="15">
    <w:name w:val="font11"/>
    <w:basedOn w:val="8"/>
    <w:qFormat/>
    <w:uiPriority w:val="0"/>
    <w:rPr>
      <w:rFonts w:ascii="Calibri" w:hAnsi="Calibri" w:cs="Calibri"/>
      <w:color w:val="000000"/>
      <w:sz w:val="20"/>
      <w:szCs w:val="20"/>
      <w:u w:val="none"/>
    </w:rPr>
  </w:style>
  <w:style w:type="paragraph" w:customStyle="1" w:styleId="1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7">
    <w:name w:val="font51"/>
    <w:basedOn w:val="8"/>
    <w:qFormat/>
    <w:uiPriority w:val="0"/>
    <w:rPr>
      <w:rFonts w:ascii="Calibri" w:hAnsi="Calibri" w:cs="Calibri"/>
      <w:color w:val="FF0000"/>
      <w:sz w:val="20"/>
      <w:szCs w:val="20"/>
      <w:u w:val="none"/>
    </w:rPr>
  </w:style>
  <w:style w:type="character" w:customStyle="1" w:styleId="18">
    <w:name w:val="font61"/>
    <w:basedOn w:val="8"/>
    <w:qFormat/>
    <w:uiPriority w:val="0"/>
    <w:rPr>
      <w:rFonts w:hint="eastAsia" w:ascii="宋体" w:hAnsi="宋体" w:eastAsia="宋体" w:cs="宋体"/>
      <w:color w:val="000000"/>
      <w:sz w:val="20"/>
      <w:szCs w:val="20"/>
      <w:u w:val="none"/>
    </w:rPr>
  </w:style>
  <w:style w:type="character" w:customStyle="1" w:styleId="19">
    <w:name w:val="font41"/>
    <w:basedOn w:val="8"/>
    <w:qFormat/>
    <w:uiPriority w:val="0"/>
    <w:rPr>
      <w:rFonts w:hint="default" w:ascii="Calibri" w:hAnsi="Calibri" w:cs="Calibri"/>
      <w:color w:val="000000"/>
      <w:sz w:val="20"/>
      <w:szCs w:val="20"/>
      <w:u w:val="none"/>
    </w:rPr>
  </w:style>
  <w:style w:type="character" w:customStyle="1" w:styleId="20">
    <w:name w:val="font71"/>
    <w:basedOn w:val="8"/>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4705</Words>
  <Characters>5007</Characters>
  <Lines>4</Lines>
  <Paragraphs>1</Paragraphs>
  <TotalTime>0</TotalTime>
  <ScaleCrop>false</ScaleCrop>
  <LinksUpToDate>false</LinksUpToDate>
  <CharactersWithSpaces>5031</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2026-05-27T07:15:46Z</cp:lastPrinted>
  <dcterms:modified xsi:type="dcterms:W3CDTF">2026-05-27T07:15:51Z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96934721B1514D3FBAA28020338CE855_12</vt:lpwstr>
  </property>
  <property fmtid="{D5CDD505-2E9C-101B-9397-08002B2CF9AE}" pid="4" name="KSOTemplateDocerSaveRecord">
    <vt:lpwstr>eyJoZGlkIjoiNDYwYTg2YzZjOTgxYTI5MDNjNmQwYjRiMTRmY2I4OWMiLCJ1c2VySWQiOiIxNzUwMzQ2NjM4In0=</vt:lpwstr>
  </property>
</Properties>
</file>