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EBC88B">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2F060AD">
      <w:pPr>
        <w:spacing w:line="560" w:lineRule="exact"/>
        <w:jc w:val="center"/>
        <w:rPr>
          <w:rFonts w:ascii="宋体" w:hAnsi="宋体" w:cs="宋体"/>
          <w:b/>
          <w:bCs/>
          <w:sz w:val="44"/>
          <w:szCs w:val="44"/>
        </w:rPr>
      </w:pPr>
    </w:p>
    <w:p w14:paraId="416444F9">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鹿泉区政协</w:t>
      </w:r>
    </w:p>
    <w:p w14:paraId="633646B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7209FF07">
      <w:pPr>
        <w:spacing w:line="560" w:lineRule="exact"/>
        <w:jc w:val="center"/>
        <w:rPr>
          <w:rFonts w:ascii="华文楷体" w:eastAsia="华文楷体"/>
          <w:sz w:val="32"/>
          <w:szCs w:val="32"/>
        </w:rPr>
      </w:pPr>
    </w:p>
    <w:p w14:paraId="7A7AE34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鹿泉区政协</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5B7D89D1">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4C370B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137DD16C">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1、政治协商</w:t>
      </w:r>
    </w:p>
    <w:p w14:paraId="13C39A7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14:paraId="5452998C">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2、民主监督</w:t>
      </w:r>
    </w:p>
    <w:p w14:paraId="4C24417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14:paraId="0D6B867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通过参加党委政府组织的调查和检查活动实施监督。对政协委员和参加政协的各党派团体以及各专委会（提案者）的提案进行审查立案，立案后交承办单位办理，适时督办。</w:t>
      </w:r>
    </w:p>
    <w:p w14:paraId="3CBECCEC">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完善民主监督机制，畅通民主监督渠道，建立健全知情、沟通制度，加强工作协调配合，提高民主监督的质量和成效。</w:t>
      </w:r>
    </w:p>
    <w:p w14:paraId="73AA001D">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完善提案审查、办理和反馈机制，做到提案程序更加规范，制度更加完善，提案质量和办理质量不断提高，政协履职作用更加突出。</w:t>
      </w:r>
    </w:p>
    <w:p w14:paraId="504F97C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3、参政议政</w:t>
      </w:r>
    </w:p>
    <w:p w14:paraId="0853135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 通过界别渠道密切联系群众，反映社情民意，努力做到协调关系、化解矛盾、理顺情绪，增进社会各阶层不同利益群体的和谐和稳定。</w:t>
      </w:r>
    </w:p>
    <w:p w14:paraId="6E3BB2C1">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4、政协事务管理</w:t>
      </w:r>
    </w:p>
    <w:p w14:paraId="262D1F14">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加强区政协机关自身建设和宣传工作，扩大政协与区委、区人大常委会、区政府、各民主党派、工商联、人民团体、区直有关部门和市、县（区）政协的联系、协调工作。</w:t>
      </w:r>
    </w:p>
    <w:p w14:paraId="42633031">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14:paraId="1C36EB4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从决算编报单位构成看，纳入202</w:t>
      </w:r>
      <w:r>
        <w:rPr>
          <w:rFonts w:hint="eastAsia" w:ascii="楷体" w:hAnsi="楷体" w:eastAsia="楷体" w:cs="楷体_GB2312"/>
          <w:bCs/>
          <w:sz w:val="32"/>
          <w:szCs w:val="32"/>
          <w:lang w:val="en-US" w:eastAsia="zh-CN"/>
        </w:rPr>
        <w:t>3</w:t>
      </w:r>
      <w:r>
        <w:rPr>
          <w:rFonts w:hint="eastAsia" w:ascii="楷体" w:hAnsi="楷体" w:eastAsia="楷体" w:cs="楷体_GB2312"/>
          <w:bCs/>
          <w:sz w:val="32"/>
          <w:szCs w:val="32"/>
        </w:rPr>
        <w:t>年度本单位决算汇编范围的独立核算单位（以下简称“单位”）共1个，具体情况如下：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ECE8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13A9DC4">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4BDD83BE">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36C32A92">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2F006BAD">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7054B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E5487ED">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6EAE29C6">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鹿泉区政协</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14:paraId="6DB11AE3">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14:paraId="2EF5A271">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全额</w:t>
            </w:r>
          </w:p>
        </w:tc>
      </w:tr>
      <w:tr w14:paraId="7BC96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75E2E78A">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6C375304">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55F39B3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943CEB8">
      <w:pPr>
        <w:pStyle w:val="2"/>
        <w:ind w:firstLine="640" w:firstLineChars="200"/>
        <w:rPr>
          <w:rFonts w:hint="eastAsia"/>
          <w:b w:val="0"/>
          <w:bCs w:val="0"/>
          <w:lang w:val="en-US" w:eastAsia="zh-CN"/>
        </w:rPr>
      </w:pPr>
      <w:r>
        <w:rPr>
          <w:rFonts w:hint="eastAsia" w:ascii="仿宋" w:hAnsi="仿宋" w:eastAsia="仿宋" w:cs="楷体_GB2312"/>
          <w:b w:val="0"/>
          <w:bCs w:val="0"/>
          <w:sz w:val="32"/>
          <w:szCs w:val="32"/>
          <w:lang w:val="en-US" w:eastAsia="zh-CN"/>
        </w:rPr>
        <w:t>1、收入说明</w:t>
      </w:r>
    </w:p>
    <w:p w14:paraId="0603D9DF">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2023年预算收入859.16万元，其中：财政拨款收入859.16万元；事业收入0万元；其他收入0万元。</w:t>
      </w:r>
    </w:p>
    <w:p w14:paraId="370DE3B8">
      <w:pPr>
        <w:widowControl w:val="0"/>
        <w:numPr>
          <w:ilvl w:val="0"/>
          <w:numId w:val="2"/>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支出说明</w:t>
      </w:r>
    </w:p>
    <w:p w14:paraId="5B5E37A8">
      <w:pPr>
        <w:pStyle w:val="2"/>
        <w:ind w:firstLine="640" w:firstLineChars="200"/>
        <w:rPr>
          <w:rFonts w:hint="eastAsia"/>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cs="仿宋_GB2312"/>
          <w:sz w:val="32"/>
          <w:szCs w:val="32"/>
          <w:lang w:val="en-US" w:eastAsia="zh-CN"/>
        </w:rPr>
        <w:t>3</w:t>
      </w:r>
      <w:r>
        <w:rPr>
          <w:rFonts w:hint="eastAsia" w:ascii="仿宋_GB2312" w:hAnsi="Times New Roman" w:eastAsia="仿宋_GB2312" w:cs="仿宋_GB2312"/>
          <w:sz w:val="32"/>
          <w:szCs w:val="32"/>
        </w:rPr>
        <w:t>年度支出合计</w:t>
      </w:r>
      <w:r>
        <w:rPr>
          <w:rFonts w:hint="eastAsia" w:ascii="仿宋_GB2312" w:hAnsi="Times New Roman" w:cs="仿宋_GB2312"/>
          <w:sz w:val="32"/>
          <w:szCs w:val="32"/>
          <w:lang w:val="en-US" w:eastAsia="zh-CN"/>
        </w:rPr>
        <w:t>859.16</w:t>
      </w:r>
      <w:r>
        <w:rPr>
          <w:rFonts w:hint="eastAsia" w:ascii="仿宋_GB2312" w:hAnsi="Times New Roman" w:eastAsia="仿宋_GB2312" w:cs="仿宋_GB2312"/>
          <w:sz w:val="32"/>
          <w:szCs w:val="32"/>
        </w:rPr>
        <w:t>万元，其中：基本支出</w:t>
      </w:r>
      <w:r>
        <w:rPr>
          <w:rFonts w:hint="eastAsia" w:ascii="仿宋_GB2312" w:hAnsi="Times New Roman" w:cs="仿宋_GB2312"/>
          <w:sz w:val="32"/>
          <w:szCs w:val="32"/>
          <w:lang w:val="en-US" w:eastAsia="zh-CN"/>
        </w:rPr>
        <w:t>753.83</w:t>
      </w:r>
      <w:r>
        <w:rPr>
          <w:rFonts w:hint="eastAsia" w:ascii="仿宋_GB2312" w:hAnsi="Times New Roman" w:eastAsia="仿宋_GB2312" w:cs="仿宋_GB2312"/>
          <w:sz w:val="32"/>
          <w:szCs w:val="32"/>
        </w:rPr>
        <w:t>万元；项目支出</w:t>
      </w:r>
      <w:r>
        <w:rPr>
          <w:rFonts w:hint="eastAsia" w:ascii="仿宋_GB2312" w:hAnsi="Times New Roman" w:cs="仿宋_GB2312"/>
          <w:sz w:val="32"/>
          <w:szCs w:val="32"/>
          <w:lang w:val="en-US" w:eastAsia="zh-CN"/>
        </w:rPr>
        <w:t>105.33</w:t>
      </w:r>
      <w:r>
        <w:rPr>
          <w:rFonts w:hint="eastAsia" w:ascii="仿宋_GB2312" w:hAnsi="Times New Roman" w:eastAsia="仿宋_GB2312" w:cs="仿宋_GB2312"/>
          <w:sz w:val="32"/>
          <w:szCs w:val="32"/>
        </w:rPr>
        <w:t>万元；经营支出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14:paraId="0314505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1745A1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预决算公开：202</w:t>
      </w:r>
      <w:r>
        <w:rPr>
          <w:rFonts w:hint="eastAsia" w:ascii="仿宋" w:hAnsi="仿宋" w:eastAsia="仿宋"/>
          <w:sz w:val="32"/>
          <w:szCs w:val="32"/>
          <w:lang w:val="en-US" w:eastAsia="zh-CN"/>
        </w:rPr>
        <w:t>3</w:t>
      </w:r>
      <w:r>
        <w:rPr>
          <w:rFonts w:hint="eastAsia" w:ascii="仿宋" w:hAnsi="仿宋" w:eastAsia="仿宋"/>
          <w:sz w:val="32"/>
          <w:szCs w:val="32"/>
        </w:rPr>
        <w:t>年按照上级要求，我单位在政府网站进行了预决算公开。</w:t>
      </w:r>
    </w:p>
    <w:p w14:paraId="3D91562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资产管理：我部门进一步加强资产的管理，制定了《资产管理内控制度》等制度，明确了具体责任人，完善了固定资产档案，严格报批、销审等手续，做好资产登记工作，单位无资产流失现象。</w:t>
      </w:r>
    </w:p>
    <w:p w14:paraId="26FF78D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内部管理制度建设：健全单位财务管理制度，制订内部控制管理制度，加强合理使用和管理；制定内部监督检查制度，强化内部制度执行的监督管理。</w:t>
      </w:r>
    </w:p>
    <w:p w14:paraId="53A813A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项目绩效总目标完成情况：202</w:t>
      </w:r>
      <w:r>
        <w:rPr>
          <w:rFonts w:hint="eastAsia" w:ascii="仿宋" w:hAnsi="仿宋" w:eastAsia="仿宋"/>
          <w:sz w:val="32"/>
          <w:szCs w:val="32"/>
          <w:lang w:val="en-US" w:eastAsia="zh-CN"/>
        </w:rPr>
        <w:t>3</w:t>
      </w:r>
      <w:r>
        <w:rPr>
          <w:rFonts w:hint="eastAsia" w:ascii="仿宋" w:hAnsi="仿宋" w:eastAsia="仿宋"/>
          <w:sz w:val="32"/>
          <w:szCs w:val="32"/>
        </w:rPr>
        <w:t>年我部门完成各项工作任务。</w:t>
      </w:r>
    </w:p>
    <w:p w14:paraId="63A986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从整体情况来看，严格按照年初预算进行部门整体支出。在支出过程中，能严格遵守各项规章制度。</w:t>
      </w:r>
    </w:p>
    <w:p w14:paraId="57C9837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8E37C6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09ABBE4">
      <w:pPr>
        <w:spacing w:line="560" w:lineRule="exact"/>
        <w:rPr>
          <w:rFonts w:hint="eastAsia" w:ascii="仿宋" w:hAnsi="仿宋" w:eastAsia="仿宋"/>
          <w:sz w:val="32"/>
          <w:szCs w:val="32"/>
        </w:rPr>
      </w:pPr>
      <w:r>
        <w:rPr>
          <w:rFonts w:hint="eastAsia" w:ascii="仿宋" w:hAnsi="仿宋" w:eastAsia="仿宋"/>
          <w:sz w:val="32"/>
          <w:szCs w:val="32"/>
        </w:rPr>
        <w:t xml:space="preserve">     严格落实《</w:t>
      </w:r>
      <w:r>
        <w:rPr>
          <w:rFonts w:hint="eastAsia" w:ascii="仿宋" w:hAnsi="仿宋" w:eastAsia="仿宋"/>
          <w:sz w:val="32"/>
          <w:szCs w:val="32"/>
          <w:lang w:eastAsia="zh-CN"/>
        </w:rPr>
        <w:t>中华人民共和国</w:t>
      </w:r>
      <w:r>
        <w:rPr>
          <w:rFonts w:hint="eastAsia" w:ascii="仿宋" w:hAnsi="仿宋" w:eastAsia="仿宋"/>
          <w:sz w:val="32"/>
          <w:szCs w:val="32"/>
        </w:rPr>
        <w:t>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5A550493">
      <w:pPr>
        <w:spacing w:line="560" w:lineRule="exact"/>
        <w:rPr>
          <w:rFonts w:hint="eastAsia" w:ascii="仿宋" w:hAnsi="仿宋" w:eastAsia="仿宋"/>
          <w:sz w:val="32"/>
          <w:szCs w:val="32"/>
        </w:rPr>
      </w:pPr>
      <w:r>
        <w:rPr>
          <w:rFonts w:hint="eastAsia" w:ascii="仿宋" w:hAnsi="仿宋" w:eastAsia="仿宋"/>
          <w:sz w:val="32"/>
          <w:szCs w:val="32"/>
        </w:rPr>
        <w:t>根据区财政局《关于开展202</w:t>
      </w:r>
      <w:r>
        <w:rPr>
          <w:rFonts w:hint="eastAsia" w:ascii="仿宋" w:hAnsi="仿宋" w:eastAsia="仿宋"/>
          <w:sz w:val="32"/>
          <w:szCs w:val="32"/>
          <w:lang w:val="en-US" w:eastAsia="zh-CN"/>
        </w:rPr>
        <w:t>4</w:t>
      </w:r>
      <w:r>
        <w:rPr>
          <w:rFonts w:hint="eastAsia" w:ascii="仿宋" w:hAnsi="仿宋" w:eastAsia="仿宋"/>
          <w:sz w:val="32"/>
          <w:szCs w:val="32"/>
        </w:rPr>
        <w:t>年绩效自评工作的通知》相关要求，对202</w:t>
      </w:r>
      <w:r>
        <w:rPr>
          <w:rFonts w:hint="eastAsia" w:ascii="仿宋" w:hAnsi="仿宋" w:eastAsia="仿宋"/>
          <w:sz w:val="32"/>
          <w:szCs w:val="32"/>
          <w:lang w:val="en-US" w:eastAsia="zh-CN"/>
        </w:rPr>
        <w:t>3</w:t>
      </w:r>
      <w:r>
        <w:rPr>
          <w:rFonts w:hint="eastAsia" w:ascii="仿宋" w:hAnsi="仿宋" w:eastAsia="仿宋"/>
          <w:sz w:val="32"/>
          <w:szCs w:val="32"/>
        </w:rPr>
        <w:t>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w:t>
      </w:r>
      <w:r>
        <w:rPr>
          <w:rFonts w:hint="eastAsia" w:ascii="仿宋" w:hAnsi="仿宋" w:eastAsia="仿宋"/>
          <w:sz w:val="32"/>
          <w:szCs w:val="32"/>
          <w:lang w:val="en-US" w:eastAsia="zh-CN"/>
        </w:rPr>
        <w:t>3</w:t>
      </w:r>
      <w:r>
        <w:rPr>
          <w:rFonts w:hint="eastAsia" w:ascii="仿宋" w:hAnsi="仿宋" w:eastAsia="仿宋"/>
          <w:sz w:val="32"/>
          <w:szCs w:val="32"/>
        </w:rPr>
        <w:t>年区级预算项目进行自查自评，形成绩效评价报告。</w:t>
      </w:r>
    </w:p>
    <w:p w14:paraId="14CA8E60">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905C4A3">
      <w:pPr>
        <w:pStyle w:val="2"/>
        <w:ind w:firstLine="640" w:firstLineChars="200"/>
        <w:rPr>
          <w:rFonts w:hint="eastAsia"/>
        </w:rPr>
      </w:pPr>
      <w:r>
        <w:rPr>
          <w:rFonts w:hint="eastAsia"/>
        </w:rPr>
        <w:t>本次评价工作坚持“客观、公正、科学、规范”的原则，采</w:t>
      </w:r>
    </w:p>
    <w:p w14:paraId="5BDD7374">
      <w:pPr>
        <w:pStyle w:val="2"/>
        <w:rPr>
          <w:rFonts w:hint="eastAsia"/>
        </w:rPr>
      </w:pPr>
      <w:r>
        <w:rPr>
          <w:rFonts w:hint="eastAsia"/>
        </w:rPr>
        <w:t>用业务处室自评与工作组复评相结合的方式进行。在自评的基础</w:t>
      </w:r>
    </w:p>
    <w:p w14:paraId="7973D30F">
      <w:pPr>
        <w:pStyle w:val="2"/>
        <w:rPr>
          <w:rFonts w:hint="eastAsia"/>
        </w:rPr>
      </w:pPr>
      <w:r>
        <w:rPr>
          <w:rFonts w:hint="eastAsia"/>
        </w:rPr>
        <w:t>上，通过多种方式，搜集并审核相关绩效材料，运用比较分析、</w:t>
      </w:r>
    </w:p>
    <w:p w14:paraId="1E983ECA">
      <w:pPr>
        <w:pStyle w:val="2"/>
      </w:pPr>
      <w:r>
        <w:rPr>
          <w:rFonts w:hint="eastAsia"/>
        </w:rPr>
        <w:t>因素分析、成本效益分析等方法，综合评价该项目绩效。</w:t>
      </w:r>
    </w:p>
    <w:p w14:paraId="7A2280D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7A32418">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40CF127">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本年度专项工作经费管理规范，按计划基本完成，确保了</w:t>
      </w:r>
    </w:p>
    <w:p w14:paraId="4B6B784B">
      <w:pPr>
        <w:spacing w:line="560" w:lineRule="exact"/>
        <w:rPr>
          <w:rFonts w:hint="eastAsia" w:ascii="仿宋" w:hAnsi="仿宋" w:eastAsia="仿宋"/>
          <w:sz w:val="32"/>
          <w:szCs w:val="32"/>
        </w:rPr>
      </w:pPr>
      <w:r>
        <w:rPr>
          <w:rFonts w:hint="eastAsia" w:ascii="仿宋" w:hAnsi="仿宋" w:eastAsia="仿宋"/>
          <w:sz w:val="32"/>
          <w:szCs w:val="32"/>
        </w:rPr>
        <w:t>各项工作正常运转和圆满完成，各科室对该项工作总体较为满意。对各项职能指标完成情况进行了自检自查,各项工作均已</w:t>
      </w:r>
    </w:p>
    <w:p w14:paraId="072839A4">
      <w:pPr>
        <w:spacing w:line="560" w:lineRule="exact"/>
        <w:rPr>
          <w:rFonts w:ascii="仿宋" w:hAnsi="仿宋" w:eastAsia="仿宋"/>
          <w:sz w:val="32"/>
          <w:szCs w:val="32"/>
        </w:rPr>
      </w:pPr>
      <w:r>
        <w:rPr>
          <w:rFonts w:hint="eastAsia" w:ascii="仿宋" w:hAnsi="仿宋" w:eastAsia="仿宋"/>
          <w:sz w:val="32"/>
          <w:szCs w:val="32"/>
        </w:rPr>
        <w:t>基本完成，专项资金绩效评价自评为优秀。</w:t>
      </w:r>
    </w:p>
    <w:p w14:paraId="7BC2AB06">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4EB0CC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14:paraId="58C8F21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落实区委全会精神，助推发展要有新作为。紧紧围绕区委三届二次全会确定的总体要求，强化大局观念，紧紧围绕全区中心工作履行政协职能，做到区委所指、政府所需，即是政协所向、委员所为。深刻领会全会精神。区委三届二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14:paraId="685FEA2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份量、有质量的参谋意见。广大政协委员要在提案撰写、专题协商、社情民意征集等工作中，深入基层掌握第一手情况，从而做到言之有据、言之有理、言之有度。</w:t>
      </w:r>
    </w:p>
    <w:p w14:paraId="30F9389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习近平新时代中国特色社会主义思想，真正将其作为统领工作的总纲、履职尽责的指南，确保政协工作沿着正确的方向前行。充分发挥政协自身优势，引导全区党派团体和各族各界人士，深化对区委、区政府决策部署的认识，切实把区</w:t>
      </w:r>
      <w:bookmarkStart w:id="0" w:name="_GoBack"/>
      <w:bookmarkEnd w:id="0"/>
      <w:r>
        <w:rPr>
          <w:rFonts w:hint="eastAsia" w:ascii="仿宋" w:hAnsi="仿宋" w:eastAsia="仿宋"/>
          <w:sz w:val="32"/>
          <w:szCs w:val="32"/>
        </w:rPr>
        <w:t>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14:paraId="4FFF18E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E020D3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8"/>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14:paraId="3D0E4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7BA4FAF">
            <w:pPr>
              <w:pStyle w:val="2"/>
              <w:jc w:val="center"/>
              <w:rPr>
                <w:vertAlign w:val="baseline"/>
              </w:rPr>
            </w:pPr>
            <w:r>
              <w:rPr>
                <w:rFonts w:hint="eastAsia"/>
                <w:vertAlign w:val="baseline"/>
              </w:rPr>
              <w:t>项目名称</w:t>
            </w:r>
          </w:p>
        </w:tc>
        <w:tc>
          <w:tcPr>
            <w:tcW w:w="1935" w:type="dxa"/>
          </w:tcPr>
          <w:p w14:paraId="15819A87">
            <w:pPr>
              <w:pStyle w:val="2"/>
              <w:jc w:val="center"/>
              <w:rPr>
                <w:vertAlign w:val="baseline"/>
              </w:rPr>
            </w:pPr>
            <w:r>
              <w:rPr>
                <w:rFonts w:hint="eastAsia"/>
                <w:vertAlign w:val="baseline"/>
              </w:rPr>
              <w:t>自评得分</w:t>
            </w:r>
          </w:p>
        </w:tc>
        <w:tc>
          <w:tcPr>
            <w:tcW w:w="2193" w:type="dxa"/>
          </w:tcPr>
          <w:p w14:paraId="043A06A3">
            <w:pPr>
              <w:pStyle w:val="2"/>
              <w:jc w:val="center"/>
              <w:rPr>
                <w:vertAlign w:val="baseline"/>
              </w:rPr>
            </w:pPr>
            <w:r>
              <w:rPr>
                <w:rFonts w:hint="eastAsia"/>
                <w:vertAlign w:val="baseline"/>
              </w:rPr>
              <w:t>评价等级</w:t>
            </w:r>
          </w:p>
        </w:tc>
      </w:tr>
      <w:tr w14:paraId="535E9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14:paraId="79FEA796">
            <w:pPr>
              <w:pStyle w:val="2"/>
              <w:jc w:val="center"/>
              <w:rPr>
                <w:vertAlign w:val="baseline"/>
              </w:rPr>
            </w:pPr>
            <w:r>
              <w:rPr>
                <w:rFonts w:hint="eastAsia"/>
                <w:vertAlign w:val="baseline"/>
              </w:rPr>
              <w:t>政协委员工作站（室）建设活动经费</w:t>
            </w:r>
          </w:p>
        </w:tc>
        <w:tc>
          <w:tcPr>
            <w:tcW w:w="1935" w:type="dxa"/>
          </w:tcPr>
          <w:p w14:paraId="4FE3E4D4">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6021542E">
            <w:pPr>
              <w:pStyle w:val="2"/>
              <w:jc w:val="center"/>
              <w:rPr>
                <w:rFonts w:hint="eastAsia" w:eastAsia="仿宋_GB2312"/>
                <w:vertAlign w:val="baseline"/>
                <w:lang w:val="en-US" w:eastAsia="zh-CN"/>
              </w:rPr>
            </w:pPr>
            <w:r>
              <w:rPr>
                <w:rFonts w:hint="eastAsia"/>
                <w:vertAlign w:val="baseline"/>
                <w:lang w:val="en-US" w:eastAsia="zh-CN"/>
              </w:rPr>
              <w:t>优秀</w:t>
            </w:r>
          </w:p>
        </w:tc>
      </w:tr>
      <w:tr w14:paraId="44940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7A972679">
            <w:pPr>
              <w:pStyle w:val="2"/>
              <w:jc w:val="center"/>
              <w:rPr>
                <w:vertAlign w:val="baseline"/>
              </w:rPr>
            </w:pPr>
            <w:r>
              <w:rPr>
                <w:rFonts w:hint="eastAsia"/>
                <w:vertAlign w:val="baseline"/>
              </w:rPr>
              <w:t>政协委员专项经费</w:t>
            </w:r>
          </w:p>
        </w:tc>
        <w:tc>
          <w:tcPr>
            <w:tcW w:w="1935" w:type="dxa"/>
          </w:tcPr>
          <w:p w14:paraId="1F62F35B">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47797E1D">
            <w:pPr>
              <w:pStyle w:val="2"/>
              <w:jc w:val="center"/>
              <w:rPr>
                <w:vertAlign w:val="baseline"/>
              </w:rPr>
            </w:pPr>
            <w:r>
              <w:rPr>
                <w:rFonts w:hint="eastAsia"/>
                <w:vertAlign w:val="baseline"/>
                <w:lang w:val="en-US" w:eastAsia="zh-CN"/>
              </w:rPr>
              <w:t>优秀</w:t>
            </w:r>
          </w:p>
        </w:tc>
      </w:tr>
      <w:tr w14:paraId="65F50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A80FC44">
            <w:pPr>
              <w:pStyle w:val="2"/>
              <w:jc w:val="center"/>
              <w:rPr>
                <w:vertAlign w:val="baseline"/>
              </w:rPr>
            </w:pPr>
            <w:r>
              <w:rPr>
                <w:rFonts w:hint="eastAsia"/>
                <w:vertAlign w:val="baseline"/>
              </w:rPr>
              <w:t>政协文史资料编印费</w:t>
            </w:r>
          </w:p>
        </w:tc>
        <w:tc>
          <w:tcPr>
            <w:tcW w:w="1935" w:type="dxa"/>
          </w:tcPr>
          <w:p w14:paraId="004275EE">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46F87723">
            <w:pPr>
              <w:pStyle w:val="2"/>
              <w:jc w:val="center"/>
              <w:rPr>
                <w:vertAlign w:val="baseline"/>
              </w:rPr>
            </w:pPr>
            <w:r>
              <w:rPr>
                <w:rFonts w:hint="eastAsia"/>
                <w:vertAlign w:val="baseline"/>
                <w:lang w:val="en-US" w:eastAsia="zh-CN"/>
              </w:rPr>
              <w:t>优秀</w:t>
            </w:r>
          </w:p>
        </w:tc>
      </w:tr>
      <w:tr w14:paraId="2B921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7587518C">
            <w:pPr>
              <w:pStyle w:val="2"/>
              <w:jc w:val="center"/>
              <w:rPr>
                <w:vertAlign w:val="baseline"/>
              </w:rPr>
            </w:pPr>
            <w:r>
              <w:rPr>
                <w:rFonts w:hint="eastAsia"/>
                <w:vertAlign w:val="baseline"/>
              </w:rPr>
              <w:t>政协委员报刊、杂志书籍订阅费</w:t>
            </w:r>
          </w:p>
        </w:tc>
        <w:tc>
          <w:tcPr>
            <w:tcW w:w="1935" w:type="dxa"/>
          </w:tcPr>
          <w:p w14:paraId="262A4EA4">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217943B1">
            <w:pPr>
              <w:pStyle w:val="2"/>
              <w:jc w:val="center"/>
              <w:rPr>
                <w:vertAlign w:val="baseline"/>
              </w:rPr>
            </w:pPr>
            <w:r>
              <w:rPr>
                <w:rFonts w:hint="eastAsia"/>
                <w:vertAlign w:val="baseline"/>
                <w:lang w:val="en-US" w:eastAsia="zh-CN"/>
              </w:rPr>
              <w:t>优秀</w:t>
            </w:r>
          </w:p>
        </w:tc>
      </w:tr>
      <w:tr w14:paraId="498A6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03005143">
            <w:pPr>
              <w:pStyle w:val="2"/>
              <w:jc w:val="center"/>
              <w:rPr>
                <w:vertAlign w:val="baseline"/>
              </w:rPr>
            </w:pPr>
            <w:r>
              <w:rPr>
                <w:rFonts w:hint="eastAsia"/>
                <w:vertAlign w:val="baseline"/>
              </w:rPr>
              <w:t>工商联专项业务费</w:t>
            </w:r>
          </w:p>
        </w:tc>
        <w:tc>
          <w:tcPr>
            <w:tcW w:w="1935" w:type="dxa"/>
          </w:tcPr>
          <w:p w14:paraId="1E8F5538">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64226FA1">
            <w:pPr>
              <w:pStyle w:val="2"/>
              <w:jc w:val="center"/>
              <w:rPr>
                <w:vertAlign w:val="baseline"/>
              </w:rPr>
            </w:pPr>
            <w:r>
              <w:rPr>
                <w:rFonts w:hint="eastAsia"/>
                <w:vertAlign w:val="baseline"/>
                <w:lang w:val="en-US" w:eastAsia="zh-CN"/>
              </w:rPr>
              <w:t>优秀</w:t>
            </w:r>
          </w:p>
        </w:tc>
      </w:tr>
      <w:tr w14:paraId="0DBA1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38CC909A">
            <w:pPr>
              <w:pStyle w:val="2"/>
              <w:jc w:val="center"/>
              <w:rPr>
                <w:vertAlign w:val="baseline"/>
              </w:rPr>
            </w:pPr>
            <w:r>
              <w:rPr>
                <w:rFonts w:hint="eastAsia"/>
                <w:vertAlign w:val="baseline"/>
              </w:rPr>
              <w:t>政协会议政务外网使用费、“智慧政协”移动云服务费</w:t>
            </w:r>
          </w:p>
        </w:tc>
        <w:tc>
          <w:tcPr>
            <w:tcW w:w="1935" w:type="dxa"/>
          </w:tcPr>
          <w:p w14:paraId="061ED39D">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6A575DC6">
            <w:pPr>
              <w:pStyle w:val="2"/>
              <w:jc w:val="center"/>
              <w:rPr>
                <w:vertAlign w:val="baseline"/>
              </w:rPr>
            </w:pPr>
            <w:r>
              <w:rPr>
                <w:rFonts w:hint="eastAsia"/>
                <w:vertAlign w:val="baseline"/>
                <w:lang w:val="en-US" w:eastAsia="zh-CN"/>
              </w:rPr>
              <w:t>优秀</w:t>
            </w:r>
          </w:p>
        </w:tc>
      </w:tr>
      <w:tr w14:paraId="13C44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208DBE20">
            <w:pPr>
              <w:pStyle w:val="2"/>
              <w:jc w:val="center"/>
              <w:rPr>
                <w:vertAlign w:val="baseline"/>
              </w:rPr>
            </w:pPr>
            <w:r>
              <w:rPr>
                <w:rFonts w:hint="eastAsia"/>
                <w:vertAlign w:val="baseline"/>
              </w:rPr>
              <w:t>政协会议费</w:t>
            </w:r>
          </w:p>
        </w:tc>
        <w:tc>
          <w:tcPr>
            <w:tcW w:w="1935" w:type="dxa"/>
          </w:tcPr>
          <w:p w14:paraId="10C3F1C4">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7498F51C">
            <w:pPr>
              <w:pStyle w:val="2"/>
              <w:jc w:val="center"/>
              <w:rPr>
                <w:vertAlign w:val="baseline"/>
              </w:rPr>
            </w:pPr>
            <w:r>
              <w:rPr>
                <w:rFonts w:hint="eastAsia"/>
                <w:vertAlign w:val="baseline"/>
                <w:lang w:val="en-US" w:eastAsia="zh-CN"/>
              </w:rPr>
              <w:t>优秀</w:t>
            </w:r>
          </w:p>
        </w:tc>
      </w:tr>
      <w:tr w14:paraId="45126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0380DE4">
            <w:pPr>
              <w:pStyle w:val="2"/>
              <w:jc w:val="center"/>
              <w:rPr>
                <w:vertAlign w:val="baseline"/>
              </w:rPr>
            </w:pPr>
            <w:r>
              <w:rPr>
                <w:rFonts w:hint="eastAsia"/>
                <w:vertAlign w:val="baseline"/>
              </w:rPr>
              <w:t>涉军公益岗工资</w:t>
            </w:r>
          </w:p>
        </w:tc>
        <w:tc>
          <w:tcPr>
            <w:tcW w:w="1935" w:type="dxa"/>
          </w:tcPr>
          <w:p w14:paraId="369F3D0D">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35C39FF8">
            <w:pPr>
              <w:pStyle w:val="2"/>
              <w:jc w:val="center"/>
              <w:rPr>
                <w:vertAlign w:val="baseline"/>
              </w:rPr>
            </w:pPr>
            <w:r>
              <w:rPr>
                <w:rFonts w:hint="eastAsia"/>
                <w:vertAlign w:val="baseline"/>
                <w:lang w:val="en-US" w:eastAsia="zh-CN"/>
              </w:rPr>
              <w:t>优秀</w:t>
            </w:r>
          </w:p>
        </w:tc>
      </w:tr>
      <w:tr w14:paraId="6A046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49FC83B3">
            <w:pPr>
              <w:pStyle w:val="2"/>
              <w:jc w:val="center"/>
              <w:rPr>
                <w:rFonts w:hint="eastAsia" w:eastAsia="仿宋_GB2312"/>
                <w:vertAlign w:val="baseline"/>
                <w:lang w:val="en-US" w:eastAsia="zh-CN"/>
              </w:rPr>
            </w:pPr>
            <w:r>
              <w:rPr>
                <w:rFonts w:hint="eastAsia"/>
                <w:vertAlign w:val="baseline"/>
                <w:lang w:val="en-US" w:eastAsia="zh-CN"/>
              </w:rPr>
              <w:t>公务接待</w:t>
            </w:r>
          </w:p>
        </w:tc>
        <w:tc>
          <w:tcPr>
            <w:tcW w:w="1935" w:type="dxa"/>
          </w:tcPr>
          <w:p w14:paraId="05E0F5EF">
            <w:pPr>
              <w:pStyle w:val="2"/>
              <w:jc w:val="center"/>
              <w:rPr>
                <w:rFonts w:hint="default"/>
                <w:vertAlign w:val="baseline"/>
                <w:lang w:val="en-US" w:eastAsia="zh-CN"/>
              </w:rPr>
            </w:pPr>
            <w:r>
              <w:rPr>
                <w:rFonts w:hint="eastAsia"/>
                <w:vertAlign w:val="baseline"/>
                <w:lang w:val="en-US" w:eastAsia="zh-CN"/>
              </w:rPr>
              <w:t>100</w:t>
            </w:r>
          </w:p>
        </w:tc>
        <w:tc>
          <w:tcPr>
            <w:tcW w:w="2193" w:type="dxa"/>
          </w:tcPr>
          <w:p w14:paraId="14F2EC8F">
            <w:pPr>
              <w:pStyle w:val="2"/>
              <w:jc w:val="center"/>
              <w:rPr>
                <w:rFonts w:hint="default"/>
                <w:vertAlign w:val="baseline"/>
                <w:lang w:val="en-US" w:eastAsia="zh-CN"/>
              </w:rPr>
            </w:pPr>
            <w:r>
              <w:rPr>
                <w:rFonts w:hint="eastAsia"/>
                <w:vertAlign w:val="baseline"/>
                <w:lang w:val="en-US" w:eastAsia="zh-CN"/>
              </w:rPr>
              <w:t>优秀</w:t>
            </w:r>
          </w:p>
        </w:tc>
      </w:tr>
    </w:tbl>
    <w:p w14:paraId="7A563B2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C2B69A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970FBF4">
      <w:pPr>
        <w:pStyle w:val="2"/>
        <w:ind w:firstLine="640" w:firstLineChars="200"/>
      </w:pPr>
      <w:r>
        <w:rPr>
          <w:rFonts w:hint="eastAsia"/>
        </w:rPr>
        <w:t>预算过程绩效管理制度体系不健全，需进一步完善；全面推进预算绩效管理工作贯彻不到位，需进一步加强；对自身预算绩效管理不到位，需进一步落实。究其原因：一是经办人员业务能力有待提高；二是预算执行和绩效管理的监督管理不到位。</w:t>
      </w:r>
    </w:p>
    <w:p w14:paraId="2D860502">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ABE389B">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1、完善相关制度，推进制度落实。</w:t>
      </w:r>
    </w:p>
    <w:p w14:paraId="69D92918">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2、细化预算编制工作，认真做好预算编制。</w:t>
      </w:r>
    </w:p>
    <w:p w14:paraId="1669CAFF">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3、加强财务管理，严格财务审核。</w:t>
      </w:r>
    </w:p>
    <w:p w14:paraId="6CBEAF05">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pPr>
      <w:r>
        <w:rPr>
          <w:rFonts w:hint="eastAsia"/>
        </w:rPr>
        <w:t>4、加强项目开展进度的跟踪，开展项目事前、事中、事后绩效跟踪评价。</w:t>
      </w:r>
    </w:p>
    <w:p w14:paraId="09D4707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D6568B2">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8"/>
        <w:tblW w:w="7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0"/>
        <w:gridCol w:w="3051"/>
        <w:gridCol w:w="2911"/>
      </w:tblGrid>
      <w:tr w14:paraId="11660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37BD0092">
            <w:pPr>
              <w:pStyle w:val="6"/>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3051" w:type="dxa"/>
            <w:vAlign w:val="center"/>
          </w:tcPr>
          <w:p w14:paraId="34DF417F">
            <w:pPr>
              <w:pStyle w:val="6"/>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911" w:type="dxa"/>
            <w:vAlign w:val="center"/>
          </w:tcPr>
          <w:p w14:paraId="3A9EFA5D">
            <w:pPr>
              <w:pStyle w:val="6"/>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r>
      <w:tr w14:paraId="617D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24BD9622">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王建坤</w:t>
            </w:r>
          </w:p>
        </w:tc>
        <w:tc>
          <w:tcPr>
            <w:tcW w:w="3051" w:type="dxa"/>
            <w:vAlign w:val="center"/>
          </w:tcPr>
          <w:p w14:paraId="4E814D65">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14:paraId="34EDFA7F">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办公室主任</w:t>
            </w:r>
          </w:p>
        </w:tc>
      </w:tr>
      <w:tr w14:paraId="762C4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5475D1AE">
            <w:pPr>
              <w:pStyle w:val="6"/>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刘慧君</w:t>
            </w:r>
          </w:p>
        </w:tc>
        <w:tc>
          <w:tcPr>
            <w:tcW w:w="3051" w:type="dxa"/>
            <w:vAlign w:val="center"/>
          </w:tcPr>
          <w:p w14:paraId="01EDB1EF">
            <w:pPr>
              <w:pStyle w:val="6"/>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sz w:val="21"/>
                <w:szCs w:val="21"/>
                <w:vertAlign w:val="baseline"/>
                <w:lang w:val="en-US" w:eastAsia="zh-CN"/>
              </w:rPr>
              <w:t>鹿泉区政协</w:t>
            </w:r>
          </w:p>
        </w:tc>
        <w:tc>
          <w:tcPr>
            <w:tcW w:w="2911" w:type="dxa"/>
            <w:vAlign w:val="center"/>
          </w:tcPr>
          <w:p w14:paraId="384B28CB">
            <w:pPr>
              <w:pStyle w:val="6"/>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经技委主任</w:t>
            </w:r>
          </w:p>
        </w:tc>
      </w:tr>
      <w:tr w14:paraId="669EC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14:paraId="65212B11">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王爱华</w:t>
            </w:r>
          </w:p>
        </w:tc>
        <w:tc>
          <w:tcPr>
            <w:tcW w:w="3051" w:type="dxa"/>
            <w:vAlign w:val="center"/>
          </w:tcPr>
          <w:p w14:paraId="64643160">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14:paraId="07973070">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财务负责人</w:t>
            </w:r>
          </w:p>
        </w:tc>
      </w:tr>
    </w:tbl>
    <w:p w14:paraId="0A52702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华文楷体">
    <w:altName w:val="方正楷体_GBK"/>
    <w:panose1 w:val="02010600040101010101"/>
    <w:charset w:val="86"/>
    <w:family w:val="auto"/>
    <w:pitch w:val="default"/>
    <w:sig w:usb0="00000000" w:usb1="00000000" w:usb2="00000000" w:usb3="00000000" w:csb0="0004009F" w:csb1="DFD7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2673D">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611B85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CA9347"/>
    <w:multiLevelType w:val="singleLevel"/>
    <w:tmpl w:val="F7CA9347"/>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52D033E"/>
    <w:multiLevelType w:val="singleLevel"/>
    <w:tmpl w:val="652D033E"/>
    <w:lvl w:ilvl="0" w:tentative="0">
      <w:start w:val="2"/>
      <w:numFmt w:val="decimal"/>
      <w:suff w:val="nothing"/>
      <w:lvlText w:val="%1、"/>
      <w:lvlJc w:val="left"/>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3EB6CFF"/>
    <w:rsid w:val="35A12947"/>
    <w:rsid w:val="36AD3CF8"/>
    <w:rsid w:val="37387040"/>
    <w:rsid w:val="3B0461E5"/>
    <w:rsid w:val="3B625C0A"/>
    <w:rsid w:val="3CEE1963"/>
    <w:rsid w:val="436B78D3"/>
    <w:rsid w:val="4C9C27FE"/>
    <w:rsid w:val="512260B4"/>
    <w:rsid w:val="52BD6ACB"/>
    <w:rsid w:val="55537534"/>
    <w:rsid w:val="561A74F1"/>
    <w:rsid w:val="597244E8"/>
    <w:rsid w:val="5EB71C30"/>
    <w:rsid w:val="647123CE"/>
    <w:rsid w:val="66AF0CE5"/>
    <w:rsid w:val="6AC537CF"/>
    <w:rsid w:val="6E5B14A6"/>
    <w:rsid w:val="711B255E"/>
    <w:rsid w:val="76267A41"/>
    <w:rsid w:val="7BB51E06"/>
    <w:rsid w:val="7C387F7C"/>
    <w:rsid w:val="7E7F3E0F"/>
    <w:rsid w:val="7FE83423"/>
    <w:rsid w:val="FFB7071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qFormat/>
    <w:uiPriority w:val="0"/>
    <w:pPr>
      <w:ind w:firstLine="420"/>
    </w:pPr>
    <w:rPr>
      <w:rFonts w:ascii="Times New Roman" w:hAnsi="Times New Roman" w:eastAsia="宋体" w:cs="Times New Roman"/>
    </w:rPr>
  </w:style>
  <w:style w:type="table" w:styleId="8">
    <w:name w:val="Table Grid"/>
    <w:basedOn w:val="7"/>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100</Words>
  <Characters>570</Characters>
  <Lines>4</Lines>
  <Paragraphs>1</Paragraphs>
  <TotalTime>1</TotalTime>
  <ScaleCrop>false</ScaleCrop>
  <LinksUpToDate>false</LinksUpToDate>
  <CharactersWithSpaces>669</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uos</cp:lastModifiedBy>
  <cp:lastPrinted>2024-03-06T23:40:00Z</cp:lastPrinted>
  <dcterms:modified xsi:type="dcterms:W3CDTF">2026-05-25T14:39:21Z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96934721B1514D3FBAA28020338CE855_12</vt:lpwstr>
  </property>
</Properties>
</file>