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DCE5EC">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14:paraId="0ADB93E5">
      <w:pPr>
        <w:widowControl w:val="0"/>
        <w:wordWrap/>
        <w:spacing w:line="560" w:lineRule="exact"/>
        <w:ind w:left="0" w:leftChars="0" w:right="0"/>
        <w:jc w:val="center"/>
        <w:textAlignment w:val="auto"/>
        <w:outlineLvl w:val="9"/>
        <w:rPr>
          <w:rFonts w:hint="eastAsia" w:ascii="宋体" w:hAnsi="宋体" w:cs="宋体"/>
          <w:b/>
          <w:bCs/>
          <w:sz w:val="44"/>
          <w:szCs w:val="44"/>
        </w:rPr>
      </w:pPr>
    </w:p>
    <w:p w14:paraId="0A31AD04">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eastAsia="zh-CN"/>
        </w:rPr>
        <w:t>石家庄市鹿泉区</w:t>
      </w:r>
      <w:r>
        <w:rPr>
          <w:rFonts w:hint="eastAsia" w:ascii="宋体" w:hAnsi="宋体" w:cs="宋体"/>
          <w:b/>
          <w:bCs/>
          <w:sz w:val="44"/>
          <w:szCs w:val="44"/>
          <w:lang w:val="en-US" w:eastAsia="zh-CN"/>
        </w:rPr>
        <w:t>政协</w:t>
      </w:r>
    </w:p>
    <w:p w14:paraId="4A4B92A5">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14:paraId="3A2A5BE5">
      <w:pPr>
        <w:widowControl w:val="0"/>
        <w:wordWrap/>
        <w:spacing w:line="560" w:lineRule="exact"/>
        <w:ind w:left="0" w:leftChars="0" w:right="0"/>
        <w:jc w:val="center"/>
        <w:textAlignment w:val="auto"/>
        <w:outlineLvl w:val="9"/>
        <w:rPr>
          <w:rFonts w:ascii="华文楷体" w:eastAsia="华文楷体"/>
          <w:sz w:val="32"/>
          <w:szCs w:val="32"/>
        </w:rPr>
      </w:pPr>
    </w:p>
    <w:p w14:paraId="783EBD47">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鹿泉区</w:t>
      </w:r>
      <w:r>
        <w:rPr>
          <w:rFonts w:hint="eastAsia" w:ascii="仿宋" w:hAnsi="仿宋" w:eastAsia="仿宋"/>
          <w:sz w:val="32"/>
          <w:szCs w:val="32"/>
          <w:lang w:val="en-US" w:eastAsia="zh-CN"/>
        </w:rPr>
        <w:t>政协</w:t>
      </w:r>
      <w:r>
        <w:rPr>
          <w:rFonts w:hint="eastAsia" w:ascii="仿宋" w:hAnsi="仿宋" w:eastAsia="仿宋"/>
          <w:sz w:val="32"/>
          <w:szCs w:val="32"/>
          <w:lang w:eastAsia="zh-CN"/>
        </w:rPr>
        <w:t>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14:paraId="49182515">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00F26782">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6B1256C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1、政治协商</w:t>
      </w:r>
    </w:p>
    <w:p w14:paraId="094CD91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14:paraId="0CE257A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2、民主监督</w:t>
      </w:r>
    </w:p>
    <w:p w14:paraId="05E06FB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14:paraId="6D0F5EA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通过参加党委政府组织的调查和检查活动实施监督。对政协委员和参加政协的各党派团体以及各专委会（提案者）的提案进行审查立案，立案后交承办单位办理，适时督办。</w:t>
      </w:r>
    </w:p>
    <w:p w14:paraId="76EFB0A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完善民主监督机制，畅通民主监督渠道，建立健全知情、沟通制度，加强工作协调配合，提高民主监督的质量和成效。</w:t>
      </w:r>
    </w:p>
    <w:p w14:paraId="5C705A0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完善提案审查、办理和反馈机制，做到提案程序更加规范，制度更加完善，提案质量和办理质量不断提高，政协履职作用更加突出。</w:t>
      </w:r>
    </w:p>
    <w:p w14:paraId="52C3E507">
      <w:pPr>
        <w:keepNext w:val="0"/>
        <w:keepLines w:val="0"/>
        <w:pageBreakBefore w:val="0"/>
        <w:widowControl w:val="0"/>
        <w:numPr>
          <w:ilvl w:val="0"/>
          <w:numId w:val="1"/>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参政议政</w:t>
      </w:r>
    </w:p>
    <w:p w14:paraId="3D16B77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 通过界别渠道密切联系群众，反映社情民意，努力做到协调关系、化解矛盾、理顺情绪，增进社会各阶层不同利益群体的和谐和稳定。</w:t>
      </w:r>
    </w:p>
    <w:p w14:paraId="7E54C69E">
      <w:pPr>
        <w:keepNext w:val="0"/>
        <w:keepLines w:val="0"/>
        <w:pageBreakBefore w:val="0"/>
        <w:widowControl w:val="0"/>
        <w:numPr>
          <w:ilvl w:val="0"/>
          <w:numId w:val="1"/>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政协事务管理</w:t>
      </w:r>
    </w:p>
    <w:p w14:paraId="2D1CFC7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加强区政协机关自身建设和宣传工作，扩大政协与区委、区人大常委会、区政府、各民主党派、工商联、人民团体、区直有关部门和市、县（区）政协的联系、协调工作。</w:t>
      </w:r>
    </w:p>
    <w:p w14:paraId="56789F05">
      <w:pPr>
        <w:keepNext/>
        <w:keepLines/>
        <w:spacing w:line="580" w:lineRule="exact"/>
        <w:ind w:firstLine="640" w:firstLineChars="200"/>
        <w:jc w:val="left"/>
        <w:outlineLvl w:val="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14:paraId="652A99E1">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5263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B6D5DE4">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14:paraId="4AB4AE7D">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14:paraId="725E4F04">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14:paraId="3D85B7B7">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42B0F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F943107">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14:paraId="505450B5">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rPr>
              <w:t>鹿泉区政协</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14:paraId="6D578409">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w:t>
            </w:r>
          </w:p>
        </w:tc>
        <w:tc>
          <w:tcPr>
            <w:tcW w:w="2665" w:type="dxa"/>
          </w:tcPr>
          <w:p w14:paraId="71B61CC2">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全额</w:t>
            </w:r>
          </w:p>
        </w:tc>
      </w:tr>
      <w:tr w14:paraId="7461C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7F70B2B1">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22637182">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14F1C9C9">
      <w:pPr>
        <w:widowControl w:val="0"/>
        <w:numPr>
          <w:ilvl w:val="0"/>
          <w:numId w:val="2"/>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部门</w:t>
      </w:r>
      <w:r>
        <w:rPr>
          <w:rFonts w:hint="eastAsia" w:ascii="仿宋" w:hAnsi="仿宋" w:eastAsia="仿宋" w:cs="楷体_GB2312"/>
          <w:b/>
          <w:bCs/>
          <w:sz w:val="32"/>
          <w:szCs w:val="32"/>
          <w:lang w:eastAsia="zh-CN"/>
        </w:rPr>
        <w:t>收支预决算情况</w:t>
      </w:r>
    </w:p>
    <w:p w14:paraId="533C2255">
      <w:pPr>
        <w:pStyle w:val="2"/>
        <w:ind w:firstLine="640" w:firstLineChars="200"/>
        <w:rPr>
          <w:rFonts w:hint="eastAsia"/>
          <w:b w:val="0"/>
          <w:bCs w:val="0"/>
          <w:lang w:val="en-US" w:eastAsia="zh-CN"/>
        </w:rPr>
      </w:pPr>
      <w:r>
        <w:rPr>
          <w:rFonts w:hint="eastAsia" w:ascii="仿宋" w:hAnsi="仿宋" w:eastAsia="仿宋" w:cs="楷体_GB2312"/>
          <w:b w:val="0"/>
          <w:bCs w:val="0"/>
          <w:sz w:val="32"/>
          <w:szCs w:val="32"/>
          <w:lang w:val="en-US" w:eastAsia="zh-CN"/>
        </w:rPr>
        <w:t>1、收入说明</w:t>
      </w:r>
    </w:p>
    <w:p w14:paraId="5D3D7079">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2022年预算收入1004.8万元，其中：财政拨款收入1004.8万元；事业收入0万元；其他收入0万元。</w:t>
      </w:r>
    </w:p>
    <w:p w14:paraId="60F81456">
      <w:pPr>
        <w:widowControl w:val="0"/>
        <w:numPr>
          <w:ilvl w:val="0"/>
          <w:numId w:val="3"/>
        </w:numPr>
        <w:wordWrap/>
        <w:adjustRightInd w:val="0"/>
        <w:snapToGrid w:val="0"/>
        <w:spacing w:line="560" w:lineRule="exact"/>
        <w:ind w:right="0" w:rightChars="0" w:firstLine="640" w:firstLineChars="20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支出说明</w:t>
      </w:r>
    </w:p>
    <w:p w14:paraId="60DDE302">
      <w:pPr>
        <w:pStyle w:val="2"/>
        <w:ind w:firstLine="640" w:firstLineChars="200"/>
        <w:rPr>
          <w:rFonts w:hint="eastAsia"/>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932.71</w:t>
      </w:r>
      <w:r>
        <w:rPr>
          <w:rFonts w:hint="eastAsia" w:ascii="仿宋_GB2312" w:hAnsi="Times New Roman" w:eastAsia="仿宋_GB2312" w:cs="仿宋_GB2312"/>
          <w:sz w:val="32"/>
          <w:szCs w:val="32"/>
        </w:rPr>
        <w:t>万元；项目支出</w:t>
      </w:r>
      <w:r>
        <w:rPr>
          <w:rFonts w:hint="eastAsia" w:ascii="仿宋_GB2312" w:hAnsi="Times New Roman" w:eastAsia="仿宋_GB2312" w:cs="仿宋_GB2312"/>
          <w:sz w:val="32"/>
          <w:szCs w:val="32"/>
          <w:lang w:val="en-US" w:eastAsia="zh-CN"/>
        </w:rPr>
        <w:t>72.09</w:t>
      </w:r>
      <w:r>
        <w:rPr>
          <w:rFonts w:hint="eastAsia" w:ascii="仿宋_GB2312" w:hAnsi="Times New Roman" w:eastAsia="仿宋_GB2312" w:cs="仿宋_GB2312"/>
          <w:sz w:val="32"/>
          <w:szCs w:val="32"/>
        </w:rPr>
        <w:t>万元；经营支出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p>
    <w:p w14:paraId="3E687313">
      <w:pPr>
        <w:widowControl w:val="0"/>
        <w:numPr>
          <w:ilvl w:val="0"/>
          <w:numId w:val="0"/>
        </w:numPr>
        <w:wordWrap/>
        <w:adjustRightInd w:val="0"/>
        <w:snapToGrid w:val="0"/>
        <w:spacing w:line="560" w:lineRule="exact"/>
        <w:ind w:right="0" w:rightChars="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w:t>
      </w:r>
      <w:r>
        <w:rPr>
          <w:rFonts w:hint="eastAsia" w:ascii="仿宋" w:hAnsi="仿宋" w:eastAsia="仿宋" w:cs="楷体_GB2312"/>
          <w:b/>
          <w:bCs/>
          <w:sz w:val="32"/>
          <w:szCs w:val="32"/>
          <w:lang w:val="en-US" w:eastAsia="zh-CN"/>
        </w:rPr>
        <w:t>部门</w:t>
      </w:r>
      <w:r>
        <w:rPr>
          <w:rFonts w:hint="eastAsia" w:ascii="仿宋" w:hAnsi="仿宋" w:eastAsia="仿宋" w:cs="楷体_GB2312"/>
          <w:b/>
          <w:bCs/>
          <w:sz w:val="32"/>
          <w:szCs w:val="32"/>
          <w:lang w:eastAsia="zh-CN"/>
        </w:rPr>
        <w:t>整体支出绩效目标、指标</w:t>
      </w:r>
    </w:p>
    <w:p w14:paraId="0524A047">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预决算公开：2022年按照上级要求，我单位在政府网站进行了预决算公开。</w:t>
      </w:r>
    </w:p>
    <w:p w14:paraId="37760EBA">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资产管理：我部门进一步加强资产的管理，制定了《资产管理内控制度》等制度，明确了具体责任人，完善了固定资产档案，严格报批、销审等手续，做好资产登记工作，单位无资产流失现象。</w:t>
      </w:r>
    </w:p>
    <w:p w14:paraId="4C0130C2">
      <w:pPr>
        <w:pStyle w:val="7"/>
        <w:pageBreakBefore w:val="0"/>
        <w:widowControl w:val="0"/>
        <w:kinsoku/>
        <w:wordWrap/>
        <w:overflowPunct/>
        <w:topLinePunct w:val="0"/>
        <w:autoSpaceDE/>
        <w:autoSpaceDN/>
        <w:bidi w:val="0"/>
        <w:spacing w:line="540" w:lineRule="exact"/>
        <w:ind w:left="0" w:leftChars="0" w:right="0" w:rightChars="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内部管理制度建设：健全单位财务管理制度，制订内部控制管理制度，加强合理使用和管理；制定内部监督检查制度，强化内部制度执行的监督管理。</w:t>
      </w:r>
    </w:p>
    <w:p w14:paraId="19E02E11">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项目绩效总目标完成情况：2022年我部门完成各项工作任务。</w:t>
      </w:r>
    </w:p>
    <w:p w14:paraId="7C3C10D8">
      <w:pPr>
        <w:pStyle w:val="7"/>
        <w:pageBreakBefore w:val="0"/>
        <w:widowControl w:val="0"/>
        <w:kinsoku/>
        <w:wordWrap/>
        <w:overflowPunct/>
        <w:topLinePunct w:val="0"/>
        <w:autoSpaceDE/>
        <w:autoSpaceDN/>
        <w:bidi w:val="0"/>
        <w:spacing w:line="540" w:lineRule="exact"/>
        <w:ind w:right="0" w:rightChars="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从整体情况来看，严格按照年初预算进行部门整体支出。在支出过程中，能严格遵守各项规章制度。</w:t>
      </w:r>
    </w:p>
    <w:p w14:paraId="646D6E94">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6B9A6BCF">
      <w:pPr>
        <w:pageBreakBefore w:val="0"/>
        <w:widowControl w:val="0"/>
        <w:kinsoku/>
        <w:wordWrap/>
        <w:overflowPunct/>
        <w:topLinePunct w:val="0"/>
        <w:autoSpaceDE/>
        <w:autoSpaceDN/>
        <w:bidi w:val="0"/>
        <w:spacing w:line="540" w:lineRule="exact"/>
        <w:ind w:left="0" w:leftChars="0" w:right="0" w:rightChars="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6E53D633">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严格落实《中华人民共和国预算法预算法》及省、市、区绩效管理工作的有关规定，通过开展部门整体支出绩效评价，促进部门整体预算绩效管理工作水平的提升，强化部门支出责任，规范资金管理行为，提高财政资金使用效益，保障部门更好地履行职责。</w:t>
      </w:r>
    </w:p>
    <w:p w14:paraId="44743FDF">
      <w:pPr>
        <w:pStyle w:val="7"/>
        <w:pageBreakBefore w:val="0"/>
        <w:widowControl w:val="0"/>
        <w:kinsoku/>
        <w:wordWrap/>
        <w:overflowPunct/>
        <w:topLinePunct w:val="0"/>
        <w:autoSpaceDE/>
        <w:autoSpaceDN/>
        <w:bidi w:val="0"/>
        <w:spacing w:line="540" w:lineRule="exact"/>
        <w:ind w:right="0" w:rightChars="0"/>
        <w:rPr>
          <w:rFonts w:ascii="仿宋" w:hAnsi="仿宋" w:eastAsia="仿宋"/>
          <w:sz w:val="32"/>
          <w:szCs w:val="32"/>
        </w:rPr>
      </w:pPr>
      <w:r>
        <w:rPr>
          <w:rFonts w:hint="eastAsia" w:ascii="仿宋" w:hAnsi="仿宋" w:eastAsia="仿宋"/>
          <w:sz w:val="32"/>
          <w:szCs w:val="32"/>
          <w:lang w:val="en-US" w:eastAsia="zh-CN"/>
        </w:rPr>
        <w:t>根据区财政局《关于开展2023年绩效自评工作的通知》相关要求，对2022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2022年区级预算项目进行自查自评，形成绩效评价报告。</w:t>
      </w:r>
    </w:p>
    <w:p w14:paraId="2BE1063C">
      <w:pPr>
        <w:pageBreakBefore w:val="0"/>
        <w:widowControl w:val="0"/>
        <w:numPr>
          <w:ilvl w:val="0"/>
          <w:numId w:val="4"/>
        </w:numPr>
        <w:kinsoku/>
        <w:wordWrap/>
        <w:overflowPunct/>
        <w:topLinePunct w:val="0"/>
        <w:autoSpaceDE/>
        <w:autoSpaceDN/>
        <w:bidi w:val="0"/>
        <w:spacing w:line="540" w:lineRule="exact"/>
        <w:ind w:left="642" w:leftChars="0" w:right="0" w:rightChars="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61EAD47E">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本次评价工作坚持“客观、公正、科学、规范”的原则，采</w:t>
      </w:r>
    </w:p>
    <w:p w14:paraId="1FF37DD2">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用业务处室自评与工作组复评相结合的方式进行。在自评的基础</w:t>
      </w:r>
    </w:p>
    <w:p w14:paraId="7F70CECF">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上，通过多种方式，搜集并审核相关绩效材料，运用比较分析、</w:t>
      </w:r>
    </w:p>
    <w:p w14:paraId="53EBECF1">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因素分析、成本效益分析等方法，综合评价该项目绩效。</w:t>
      </w:r>
    </w:p>
    <w:p w14:paraId="5B1E421C">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4C06E67E">
      <w:pPr>
        <w:pageBreakBefore w:val="0"/>
        <w:widowControl w:val="0"/>
        <w:numPr>
          <w:ilvl w:val="0"/>
          <w:numId w:val="5"/>
        </w:numPr>
        <w:kinsoku/>
        <w:wordWrap/>
        <w:overflowPunct/>
        <w:topLinePunct w:val="0"/>
        <w:autoSpaceDE/>
        <w:autoSpaceDN/>
        <w:bidi w:val="0"/>
        <w:spacing w:line="54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72528AD8">
      <w:pPr>
        <w:widowControl w:val="0"/>
        <w:wordWrap/>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本年度专项工作经费管理规范，按计划基本完成，确保了</w:t>
      </w:r>
    </w:p>
    <w:p w14:paraId="338D63D9">
      <w:pPr>
        <w:widowControl w:val="0"/>
        <w:wordWrap/>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各项工作正常运转和圆满完成，各科室对该项工作总体较为满意。对各项职能指标完成情况进行了自检自查,各项工作均已</w:t>
      </w:r>
    </w:p>
    <w:p w14:paraId="6F90D274">
      <w:pPr>
        <w:widowControl w:val="0"/>
        <w:wordWrap/>
        <w:spacing w:line="560" w:lineRule="exact"/>
        <w:ind w:right="0"/>
        <w:textAlignment w:val="auto"/>
        <w:outlineLvl w:val="9"/>
        <w:rPr>
          <w:rFonts w:hint="eastAsia" w:ascii="仿宋" w:hAnsi="仿宋" w:eastAsia="仿宋" w:cs="仿宋"/>
          <w:sz w:val="32"/>
          <w:szCs w:val="32"/>
        </w:rPr>
      </w:pPr>
      <w:r>
        <w:rPr>
          <w:rFonts w:hint="eastAsia" w:ascii="仿宋" w:hAnsi="仿宋" w:eastAsia="仿宋" w:cs="仿宋"/>
          <w:sz w:val="32"/>
          <w:szCs w:val="32"/>
        </w:rPr>
        <w:t>基本完成，专项资金绩效评价自评为优秀。</w:t>
      </w:r>
    </w:p>
    <w:p w14:paraId="42CBEBFD">
      <w:pPr>
        <w:widowControl w:val="0"/>
        <w:wordWrap/>
        <w:spacing w:line="560" w:lineRule="exact"/>
        <w:ind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lang w:eastAsia="zh-CN"/>
        </w:rPr>
        <w:t>分项绩效目标实现情况及指标分析</w:t>
      </w:r>
    </w:p>
    <w:p w14:paraId="2F8D616F">
      <w:pPr>
        <w:pStyle w:val="13"/>
        <w:ind w:left="0" w:leftChars="0"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加强思想政治引领，党建质量要有新提高。坚持以习近平新时代中国特色社会主义思想为指导，认真贯彻新时代党的建设总要求和全国政协系统党的建设工作座谈会精神，全面加强党的建设，进一步强化核心意识，将党的领导贯穿政协履职全过程，推动政协系统党的组织和党的工作有效覆盖，实施党员委员参加双重组织生活的办法，组织引导党员委员自觉接受政协党组织教育管理，充分发挥政协组织中的中共党员模范表率作用，实施党组成员联系党员委员、党员委员联系党外委员制度，支持委员深入界别群众，正面发声、宣传政策、理顺情绪、增进团结。</w:t>
      </w:r>
    </w:p>
    <w:p w14:paraId="3EF30B23">
      <w:pPr>
        <w:pStyle w:val="13"/>
        <w:ind w:left="0" w:leftChars="0"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落实区委全会精神，助推发展要有新作为。紧紧围绕区委三届二次全会确定的总体要求，强化大局观念，紧紧围绕全区中心工作履行政协职能，做到区委所指、政府所需，即是政协所向、委员所为。深刻领会全会精神。区委三届二次全会指出，新的一年我们面临的挑战依然严峻复杂，我们已经啃下了不少硬骨头，但还有更硬的骨头需要啃，我们已经攻克了不少难关，但还有更大的难关需要过，我们要保持清醒头脑、保持战略定力。我们面临的机遇更加弥足珍贵，党中央将在坚持和完善中国特色社会主义制度、推进国家治理体系和治理能力现代化方面出台更多措施，我们要固根基、扬优势、补短板，要抢抓机遇、顺势而为、乘势而上，轻装上阵、阔步前行。全面把握总体要求。紧扣全面建成小康社会目标任务，坚持稳中求进工作基调，坚持新发展理念，加快推动高质量发展，坚决打赢北部振兴、全域旅游、城市建设三大攻坚战，推进乡村振兴，凝聚智慧、凝聚力量、建功立业。全力落实全会目标。围绕繁荣城市经济、培育区域经济、壮大园区经济、厚植生态经济“四种类型经济”，围绕北部振兴提速、城市建设提档、生态环境提标、民生事业提效、社会治理提升“五提工程”，围绕乡村振兴，调研视察、建言献策，全力助推区委、区政府重点工作贯彻落实，真正让全区改革发展的成果惠及鹿泉百姓。</w:t>
      </w:r>
    </w:p>
    <w:p w14:paraId="55B2DDD8">
      <w:pPr>
        <w:pStyle w:val="13"/>
        <w:ind w:left="0" w:leftChars="0"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聚焦热点难点问题，议政建言要有新水平。发挥政协人才智力优势，从形势所需、政协所能的角度，积极献策建言，切实发挥参谋资政作用。积极开展协商督办。围绕壮大实体经济、完善创新体系、优化营商环境、加快城市建设、民生十件实事等重大工作，以专题协商、会议座谈、提案督办、社情民意等多种方式，助推区委、区政府决策部署的贯彻落实。集中开展专题视察。围绕重点项目建设、打好蓝天保卫战、强化生态环境监管、推动教育均衡发展、提升健康服务质量、繁荣文体事业、完善保障体系等问题深入开展专题视察活动。扎实开展调查研究。围绕全面建成小康社会，在促进农业增效、农民增收、建设幸福美丽新乡村上，以全局眼光、系统思维、创新理念建诤言、谋良策，为区委、区政府提供有分量、有质量的参谋意见。广大政协委员要在提案撰写、专题协商、社情民意征集等工作中，深入基层掌握第一手情况，从而做到言之有据、言之有理、言之有度。</w:t>
      </w:r>
    </w:p>
    <w:p w14:paraId="27F09B53">
      <w:pPr>
        <w:pStyle w:val="13"/>
        <w:ind w:left="0" w:leftChars="0"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注重政协自身建设，履职尽责要有新成效。不断加强政协队伍建设，切实发挥政协委员在工作中的带头作用、在群众中的代表作用，增强责任意识，努力提升自身工作能力和水平。继续加强队伍建设。充分发挥党组理论学习的引领作用，运用好主席会议集体学习、常委会议集体学习、专题培训、学习强国、微信等学习平台，进一步深学细悟</w:t>
      </w:r>
      <w:bookmarkStart w:id="0" w:name="_GoBack"/>
      <w:r>
        <w:rPr>
          <w:rFonts w:hint="eastAsia" w:ascii="仿宋" w:hAnsi="仿宋" w:eastAsia="仿宋" w:cs="仿宋"/>
          <w:kern w:val="2"/>
          <w:sz w:val="32"/>
          <w:szCs w:val="32"/>
          <w:lang w:val="en-US" w:eastAsia="zh-CN" w:bidi="ar-SA"/>
        </w:rPr>
        <w:t>习近平新时代中国特色社会主义思想新思想</w:t>
      </w:r>
      <w:bookmarkEnd w:id="0"/>
      <w:r>
        <w:rPr>
          <w:rFonts w:hint="eastAsia" w:ascii="仿宋" w:hAnsi="仿宋" w:eastAsia="仿宋" w:cs="仿宋"/>
          <w:kern w:val="2"/>
          <w:sz w:val="32"/>
          <w:szCs w:val="32"/>
          <w:lang w:val="en-US" w:eastAsia="zh-CN" w:bidi="ar-SA"/>
        </w:rPr>
        <w:t>，真正将其作为统领工作的总纲、履职尽责的指南，确保政协工作沿着正确的方向前行。充分发挥政协自身优势，引导全区党派团体和各族各界人士，深化对区委、区政府决策部署的认识，切实把区委全会精神转化为谋划履职的具体思路、推动工作的务实举措，在思想上形成共识、行动上保持自觉、工作上加强协调。不断强化机关队伍建设，提高政治把握能力、学习创新能力、服务保障能力，不断深化作风建设，巩固主题教育成果，健全工作机构和制度，探索工作新思路，努力提高政协机关协调事项、服务委员的能力，打造高素质的政协队伍。扎实做好提案工作。充分把握当前全区工作主题，紧扣中心工作、贴近民生民意，深入调查研究，按照党政所需、群众所盼的要求，提出情况客观、分析准确、建议明确可行的提案，通过鼓励委员撰写优质提案，联合提出重点提案，以点带面，进一步提升提案办理工作实效，提高民主监督的透明度。积极鼓励委员回报社会。引导广大政协委员，特别是有经济实力的委员投身社会公益和慈善事业，通过多种形式捐资捐物献爱心，资助贫困家庭、贫困学生，扶危济困；积极参与国家卫生城市创建、人居环境改善、生态环境治理等社会事业；发挥企业家委员“以商引商”优势,为招商引资牵线搭桥。</w:t>
      </w:r>
    </w:p>
    <w:p w14:paraId="3E975032">
      <w:pPr>
        <w:pageBreakBefore w:val="0"/>
        <w:widowControl w:val="0"/>
        <w:kinsoku/>
        <w:wordWrap/>
        <w:overflowPunct/>
        <w:topLinePunct w:val="0"/>
        <w:autoSpaceDE/>
        <w:autoSpaceDN/>
        <w:bidi w:val="0"/>
        <w:spacing w:line="540" w:lineRule="exact"/>
        <w:ind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1BE31E3F">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val="en-US" w:eastAsia="zh-CN"/>
        </w:rPr>
        <w:t>部门</w:t>
      </w:r>
      <w:r>
        <w:rPr>
          <w:rFonts w:hint="eastAsia" w:ascii="仿宋" w:hAnsi="仿宋" w:eastAsia="仿宋"/>
          <w:sz w:val="32"/>
          <w:szCs w:val="32"/>
          <w:lang w:eastAsia="zh-CN"/>
        </w:rPr>
        <w:t>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val="en-US" w:eastAsia="zh-CN"/>
        </w:rPr>
        <w:t>部门</w:t>
      </w:r>
      <w:r>
        <w:rPr>
          <w:rFonts w:hint="eastAsia" w:ascii="仿宋" w:hAnsi="仿宋" w:eastAsia="仿宋"/>
          <w:sz w:val="32"/>
          <w:szCs w:val="32"/>
          <w:lang w:eastAsia="zh-CN"/>
        </w:rPr>
        <w:t>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9"/>
        <w:tblW w:w="10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92"/>
        <w:gridCol w:w="1935"/>
        <w:gridCol w:w="2193"/>
      </w:tblGrid>
      <w:tr w14:paraId="11FB2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70B901B3">
            <w:pPr>
              <w:pStyle w:val="2"/>
              <w:jc w:val="center"/>
              <w:rPr>
                <w:vertAlign w:val="baseline"/>
              </w:rPr>
            </w:pPr>
            <w:r>
              <w:rPr>
                <w:rFonts w:hint="eastAsia"/>
                <w:vertAlign w:val="baseline"/>
              </w:rPr>
              <w:t>项目名称</w:t>
            </w:r>
          </w:p>
        </w:tc>
        <w:tc>
          <w:tcPr>
            <w:tcW w:w="1935" w:type="dxa"/>
          </w:tcPr>
          <w:p w14:paraId="7092816E">
            <w:pPr>
              <w:pStyle w:val="2"/>
              <w:jc w:val="center"/>
              <w:rPr>
                <w:vertAlign w:val="baseline"/>
              </w:rPr>
            </w:pPr>
            <w:r>
              <w:rPr>
                <w:rFonts w:hint="eastAsia"/>
                <w:vertAlign w:val="baseline"/>
              </w:rPr>
              <w:t>自评得分</w:t>
            </w:r>
          </w:p>
        </w:tc>
        <w:tc>
          <w:tcPr>
            <w:tcW w:w="2193" w:type="dxa"/>
          </w:tcPr>
          <w:p w14:paraId="6572AC82">
            <w:pPr>
              <w:pStyle w:val="2"/>
              <w:jc w:val="center"/>
              <w:rPr>
                <w:vertAlign w:val="baseline"/>
              </w:rPr>
            </w:pPr>
            <w:r>
              <w:rPr>
                <w:rFonts w:hint="eastAsia"/>
                <w:vertAlign w:val="baseline"/>
              </w:rPr>
              <w:t>评价等级</w:t>
            </w:r>
          </w:p>
        </w:tc>
      </w:tr>
      <w:tr w14:paraId="006C0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6092" w:type="dxa"/>
          </w:tcPr>
          <w:p w14:paraId="16445AFE">
            <w:pPr>
              <w:pStyle w:val="2"/>
              <w:jc w:val="center"/>
              <w:rPr>
                <w:vertAlign w:val="baseline"/>
              </w:rPr>
            </w:pPr>
            <w:r>
              <w:rPr>
                <w:rFonts w:hint="eastAsia"/>
                <w:vertAlign w:val="baseline"/>
              </w:rPr>
              <w:t>政协委员工作站（室）建设活动经费</w:t>
            </w:r>
          </w:p>
        </w:tc>
        <w:tc>
          <w:tcPr>
            <w:tcW w:w="1935" w:type="dxa"/>
          </w:tcPr>
          <w:p w14:paraId="249D3B4D">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0E516DB9">
            <w:pPr>
              <w:pStyle w:val="2"/>
              <w:jc w:val="center"/>
              <w:rPr>
                <w:rFonts w:hint="eastAsia" w:eastAsia="仿宋_GB2312"/>
                <w:vertAlign w:val="baseline"/>
                <w:lang w:val="en-US" w:eastAsia="zh-CN"/>
              </w:rPr>
            </w:pPr>
            <w:r>
              <w:rPr>
                <w:rFonts w:hint="eastAsia"/>
                <w:vertAlign w:val="baseline"/>
                <w:lang w:val="en-US" w:eastAsia="zh-CN"/>
              </w:rPr>
              <w:t>优秀</w:t>
            </w:r>
          </w:p>
        </w:tc>
      </w:tr>
      <w:tr w14:paraId="0936B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0F189718">
            <w:pPr>
              <w:pStyle w:val="2"/>
              <w:jc w:val="center"/>
              <w:rPr>
                <w:vertAlign w:val="baseline"/>
              </w:rPr>
            </w:pPr>
            <w:r>
              <w:rPr>
                <w:rFonts w:hint="eastAsia"/>
                <w:vertAlign w:val="baseline"/>
              </w:rPr>
              <w:t>政协委员专项经费</w:t>
            </w:r>
          </w:p>
        </w:tc>
        <w:tc>
          <w:tcPr>
            <w:tcW w:w="1935" w:type="dxa"/>
          </w:tcPr>
          <w:p w14:paraId="0CD0B8D4">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411B6AC0">
            <w:pPr>
              <w:pStyle w:val="2"/>
              <w:jc w:val="center"/>
              <w:rPr>
                <w:vertAlign w:val="baseline"/>
              </w:rPr>
            </w:pPr>
            <w:r>
              <w:rPr>
                <w:rFonts w:hint="eastAsia"/>
                <w:vertAlign w:val="baseline"/>
                <w:lang w:val="en-US" w:eastAsia="zh-CN"/>
              </w:rPr>
              <w:t>优秀</w:t>
            </w:r>
          </w:p>
        </w:tc>
      </w:tr>
      <w:tr w14:paraId="473DC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70073E4E">
            <w:pPr>
              <w:pStyle w:val="2"/>
              <w:jc w:val="center"/>
              <w:rPr>
                <w:vertAlign w:val="baseline"/>
              </w:rPr>
            </w:pPr>
            <w:r>
              <w:rPr>
                <w:rFonts w:hint="eastAsia"/>
                <w:vertAlign w:val="baseline"/>
              </w:rPr>
              <w:t>政协文史资料编印费</w:t>
            </w:r>
          </w:p>
        </w:tc>
        <w:tc>
          <w:tcPr>
            <w:tcW w:w="1935" w:type="dxa"/>
          </w:tcPr>
          <w:p w14:paraId="73D87B66">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6AE44CF5">
            <w:pPr>
              <w:pStyle w:val="2"/>
              <w:jc w:val="center"/>
              <w:rPr>
                <w:vertAlign w:val="baseline"/>
              </w:rPr>
            </w:pPr>
            <w:r>
              <w:rPr>
                <w:rFonts w:hint="eastAsia"/>
                <w:vertAlign w:val="baseline"/>
                <w:lang w:val="en-US" w:eastAsia="zh-CN"/>
              </w:rPr>
              <w:t>优秀</w:t>
            </w:r>
          </w:p>
        </w:tc>
      </w:tr>
      <w:tr w14:paraId="1CA28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21B84B39">
            <w:pPr>
              <w:pStyle w:val="2"/>
              <w:jc w:val="center"/>
              <w:rPr>
                <w:vertAlign w:val="baseline"/>
              </w:rPr>
            </w:pPr>
            <w:r>
              <w:rPr>
                <w:rFonts w:hint="eastAsia"/>
                <w:vertAlign w:val="baseline"/>
              </w:rPr>
              <w:t>政协委员报刊、杂志书籍订阅费</w:t>
            </w:r>
          </w:p>
        </w:tc>
        <w:tc>
          <w:tcPr>
            <w:tcW w:w="1935" w:type="dxa"/>
          </w:tcPr>
          <w:p w14:paraId="2DFA6A5E">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5091D40C">
            <w:pPr>
              <w:pStyle w:val="2"/>
              <w:jc w:val="center"/>
              <w:rPr>
                <w:vertAlign w:val="baseline"/>
              </w:rPr>
            </w:pPr>
            <w:r>
              <w:rPr>
                <w:rFonts w:hint="eastAsia"/>
                <w:vertAlign w:val="baseline"/>
                <w:lang w:val="en-US" w:eastAsia="zh-CN"/>
              </w:rPr>
              <w:t>优秀</w:t>
            </w:r>
          </w:p>
        </w:tc>
      </w:tr>
      <w:tr w14:paraId="10524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417FB6DA">
            <w:pPr>
              <w:pStyle w:val="2"/>
              <w:jc w:val="center"/>
              <w:rPr>
                <w:vertAlign w:val="baseline"/>
              </w:rPr>
            </w:pPr>
            <w:r>
              <w:rPr>
                <w:rFonts w:hint="eastAsia"/>
                <w:vertAlign w:val="baseline"/>
              </w:rPr>
              <w:t>工商联专项业务费</w:t>
            </w:r>
          </w:p>
        </w:tc>
        <w:tc>
          <w:tcPr>
            <w:tcW w:w="1935" w:type="dxa"/>
          </w:tcPr>
          <w:p w14:paraId="521EA2AA">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503F90A0">
            <w:pPr>
              <w:pStyle w:val="2"/>
              <w:jc w:val="center"/>
              <w:rPr>
                <w:vertAlign w:val="baseline"/>
              </w:rPr>
            </w:pPr>
            <w:r>
              <w:rPr>
                <w:rFonts w:hint="eastAsia"/>
                <w:vertAlign w:val="baseline"/>
                <w:lang w:val="en-US" w:eastAsia="zh-CN"/>
              </w:rPr>
              <w:t>优秀</w:t>
            </w:r>
          </w:p>
        </w:tc>
      </w:tr>
      <w:tr w14:paraId="6B545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07F564D6">
            <w:pPr>
              <w:pStyle w:val="2"/>
              <w:jc w:val="center"/>
              <w:rPr>
                <w:vertAlign w:val="baseline"/>
              </w:rPr>
            </w:pPr>
            <w:r>
              <w:rPr>
                <w:rFonts w:hint="eastAsia"/>
                <w:vertAlign w:val="baseline"/>
              </w:rPr>
              <w:t>政协会议政务外网使用费、“智慧政协”移动云服务费</w:t>
            </w:r>
          </w:p>
        </w:tc>
        <w:tc>
          <w:tcPr>
            <w:tcW w:w="1935" w:type="dxa"/>
          </w:tcPr>
          <w:p w14:paraId="759282B6">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53CAD257">
            <w:pPr>
              <w:pStyle w:val="2"/>
              <w:jc w:val="center"/>
              <w:rPr>
                <w:vertAlign w:val="baseline"/>
              </w:rPr>
            </w:pPr>
            <w:r>
              <w:rPr>
                <w:rFonts w:hint="eastAsia"/>
                <w:vertAlign w:val="baseline"/>
                <w:lang w:val="en-US" w:eastAsia="zh-CN"/>
              </w:rPr>
              <w:t>优秀</w:t>
            </w:r>
          </w:p>
        </w:tc>
      </w:tr>
      <w:tr w14:paraId="509AF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257D5891">
            <w:pPr>
              <w:pStyle w:val="2"/>
              <w:jc w:val="center"/>
              <w:rPr>
                <w:vertAlign w:val="baseline"/>
              </w:rPr>
            </w:pPr>
            <w:r>
              <w:rPr>
                <w:rFonts w:hint="eastAsia"/>
                <w:vertAlign w:val="baseline"/>
              </w:rPr>
              <w:t>政协会议费</w:t>
            </w:r>
          </w:p>
        </w:tc>
        <w:tc>
          <w:tcPr>
            <w:tcW w:w="1935" w:type="dxa"/>
          </w:tcPr>
          <w:p w14:paraId="68F3C592">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30AD9F95">
            <w:pPr>
              <w:pStyle w:val="2"/>
              <w:jc w:val="center"/>
              <w:rPr>
                <w:vertAlign w:val="baseline"/>
              </w:rPr>
            </w:pPr>
            <w:r>
              <w:rPr>
                <w:rFonts w:hint="eastAsia"/>
                <w:vertAlign w:val="baseline"/>
                <w:lang w:val="en-US" w:eastAsia="zh-CN"/>
              </w:rPr>
              <w:t>优秀</w:t>
            </w:r>
          </w:p>
        </w:tc>
      </w:tr>
      <w:tr w14:paraId="1A0AE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756E7895">
            <w:pPr>
              <w:pStyle w:val="2"/>
              <w:jc w:val="center"/>
              <w:rPr>
                <w:vertAlign w:val="baseline"/>
              </w:rPr>
            </w:pPr>
            <w:r>
              <w:rPr>
                <w:rFonts w:hint="eastAsia"/>
                <w:vertAlign w:val="baseline"/>
              </w:rPr>
              <w:t>涉军公益岗工资</w:t>
            </w:r>
          </w:p>
        </w:tc>
        <w:tc>
          <w:tcPr>
            <w:tcW w:w="1935" w:type="dxa"/>
          </w:tcPr>
          <w:p w14:paraId="3175B967">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20D1CCC6">
            <w:pPr>
              <w:pStyle w:val="2"/>
              <w:jc w:val="center"/>
              <w:rPr>
                <w:vertAlign w:val="baseline"/>
              </w:rPr>
            </w:pPr>
            <w:r>
              <w:rPr>
                <w:rFonts w:hint="eastAsia"/>
                <w:vertAlign w:val="baseline"/>
                <w:lang w:val="en-US" w:eastAsia="zh-CN"/>
              </w:rPr>
              <w:t>优秀</w:t>
            </w:r>
          </w:p>
        </w:tc>
      </w:tr>
    </w:tbl>
    <w:p w14:paraId="66ADE4D0">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3DDB5631">
      <w:pPr>
        <w:pageBreakBefore w:val="0"/>
        <w:widowControl w:val="0"/>
        <w:kinsoku/>
        <w:wordWrap/>
        <w:overflowPunct/>
        <w:topLinePunct w:val="0"/>
        <w:autoSpaceDE/>
        <w:autoSpaceDN/>
        <w:bidi w:val="0"/>
        <w:spacing w:line="540" w:lineRule="exact"/>
        <w:ind w:left="0" w:leftChars="0" w:right="0" w:rightChars="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69A58DE7">
      <w:pPr>
        <w:pStyle w:val="7"/>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eastAsia="仿宋"/>
          <w:b w:val="0"/>
          <w:bCs w:val="0"/>
          <w:sz w:val="32"/>
          <w:szCs w:val="32"/>
          <w:lang w:val="en-US" w:eastAsia="zh-CN"/>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究其原因：一是经办人员业务能力有待提高；二是预算执行和绩效管理的监督管理不到位。</w:t>
      </w:r>
    </w:p>
    <w:p w14:paraId="58B8D16D">
      <w:pPr>
        <w:pageBreakBefore w:val="0"/>
        <w:widowControl w:val="0"/>
        <w:numPr>
          <w:ilvl w:val="0"/>
          <w:numId w:val="5"/>
        </w:numPr>
        <w:kinsoku/>
        <w:wordWrap/>
        <w:overflowPunct/>
        <w:topLinePunct w:val="0"/>
        <w:autoSpaceDE/>
        <w:autoSpaceDN/>
        <w:bidi w:val="0"/>
        <w:spacing w:line="540" w:lineRule="exact"/>
        <w:ind w:left="0" w:leftChars="0" w:right="0" w:rightChars="0" w:firstLine="643" w:firstLineChars="200"/>
        <w:textAlignment w:val="auto"/>
        <w:outlineLvl w:val="9"/>
        <w:rPr>
          <w:b/>
          <w:bCs/>
        </w:rPr>
      </w:pPr>
      <w:r>
        <w:rPr>
          <w:rFonts w:hint="eastAsia" w:ascii="仿宋" w:hAnsi="仿宋" w:eastAsia="仿宋"/>
          <w:b/>
          <w:bCs/>
          <w:sz w:val="32"/>
          <w:szCs w:val="32"/>
        </w:rPr>
        <w:t>针对问题提出具体的改进措施或建议</w:t>
      </w:r>
    </w:p>
    <w:p w14:paraId="3183E346">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1、完善相关制度，推进制度落实。</w:t>
      </w:r>
    </w:p>
    <w:p w14:paraId="552E550D">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2、细化预算编制工作，认真做好预算编制。</w:t>
      </w:r>
    </w:p>
    <w:p w14:paraId="781B69E8">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3、加强财务管理，严格财务审核。</w:t>
      </w:r>
    </w:p>
    <w:p w14:paraId="2AB8AFD6">
      <w:pPr>
        <w:pStyle w:val="7"/>
        <w:pageBreakBefore w:val="0"/>
        <w:widowControl w:val="0"/>
        <w:kinsoku/>
        <w:wordWrap/>
        <w:overflowPunct/>
        <w:topLinePunct w:val="0"/>
        <w:autoSpaceDE/>
        <w:autoSpaceDN/>
        <w:bidi w:val="0"/>
        <w:spacing w:line="540" w:lineRule="exact"/>
        <w:ind w:right="0" w:rightChars="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4、加强项目开展进度的跟踪，开展项目事前、事中、事后绩效跟踪评价。</w:t>
      </w:r>
    </w:p>
    <w:p w14:paraId="3D236741">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hint="eastAsia" w:ascii="仿宋" w:hAnsi="仿宋" w:eastAsia="仿宋"/>
          <w:b/>
          <w:bCs/>
          <w:sz w:val="32"/>
          <w:szCs w:val="32"/>
          <w:lang w:val="en-US" w:eastAsia="zh-CN"/>
        </w:rPr>
      </w:pPr>
      <w:r>
        <w:rPr>
          <w:rFonts w:hint="eastAsia" w:ascii="黑体" w:hAnsi="黑体" w:eastAsia="黑体" w:cs="黑体"/>
          <w:sz w:val="32"/>
          <w:szCs w:val="32"/>
        </w:rPr>
        <w:t>六、评价工作组人员名单及签字（姓名、工作单位、职务、职称）</w:t>
      </w:r>
    </w:p>
    <w:p w14:paraId="534F0822">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tbl>
      <w:tblPr>
        <w:tblStyle w:val="9"/>
        <w:tblW w:w="73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0"/>
        <w:gridCol w:w="3051"/>
        <w:gridCol w:w="2911"/>
      </w:tblGrid>
      <w:tr w14:paraId="429C0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14:paraId="21B126A4">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姓  名</w:t>
            </w:r>
          </w:p>
        </w:tc>
        <w:tc>
          <w:tcPr>
            <w:tcW w:w="3051" w:type="dxa"/>
            <w:vAlign w:val="center"/>
          </w:tcPr>
          <w:p w14:paraId="7077BD02">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工作单位</w:t>
            </w:r>
          </w:p>
        </w:tc>
        <w:tc>
          <w:tcPr>
            <w:tcW w:w="2911" w:type="dxa"/>
            <w:vAlign w:val="center"/>
          </w:tcPr>
          <w:p w14:paraId="309E9C12">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职    务</w:t>
            </w:r>
          </w:p>
        </w:tc>
      </w:tr>
      <w:tr w14:paraId="1C62C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14:paraId="6110A552">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梁宝昆</w:t>
            </w:r>
          </w:p>
        </w:tc>
        <w:tc>
          <w:tcPr>
            <w:tcW w:w="3051" w:type="dxa"/>
            <w:vAlign w:val="center"/>
          </w:tcPr>
          <w:p w14:paraId="659DC2D8">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鹿泉区政协</w:t>
            </w:r>
          </w:p>
        </w:tc>
        <w:tc>
          <w:tcPr>
            <w:tcW w:w="2911" w:type="dxa"/>
            <w:vAlign w:val="center"/>
          </w:tcPr>
          <w:p w14:paraId="69C6A74F">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办公室主任</w:t>
            </w:r>
          </w:p>
        </w:tc>
      </w:tr>
      <w:tr w14:paraId="66E23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14:paraId="619BAC28">
            <w:pPr>
              <w:pStyle w:val="7"/>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cs="Times New Roman"/>
                <w:kern w:val="2"/>
                <w:sz w:val="21"/>
                <w:szCs w:val="21"/>
                <w:vertAlign w:val="baseline"/>
                <w:lang w:val="en-US" w:eastAsia="zh-CN" w:bidi="ar-SA"/>
              </w:rPr>
              <w:t>刘慧君</w:t>
            </w:r>
          </w:p>
        </w:tc>
        <w:tc>
          <w:tcPr>
            <w:tcW w:w="3051" w:type="dxa"/>
            <w:vAlign w:val="center"/>
          </w:tcPr>
          <w:p w14:paraId="6905A789">
            <w:pPr>
              <w:pStyle w:val="7"/>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sz w:val="21"/>
                <w:szCs w:val="21"/>
                <w:vertAlign w:val="baseline"/>
                <w:lang w:val="en-US" w:eastAsia="zh-CN"/>
              </w:rPr>
              <w:t>鹿泉区政协</w:t>
            </w:r>
          </w:p>
        </w:tc>
        <w:tc>
          <w:tcPr>
            <w:tcW w:w="2911" w:type="dxa"/>
            <w:vAlign w:val="center"/>
          </w:tcPr>
          <w:p w14:paraId="532A4A97">
            <w:pPr>
              <w:pStyle w:val="7"/>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cs="Times New Roman"/>
                <w:kern w:val="2"/>
                <w:sz w:val="21"/>
                <w:szCs w:val="21"/>
                <w:vertAlign w:val="baseline"/>
                <w:lang w:val="en-US" w:eastAsia="zh-CN" w:bidi="ar-SA"/>
              </w:rPr>
              <w:t>经技委主任</w:t>
            </w:r>
          </w:p>
        </w:tc>
      </w:tr>
      <w:tr w14:paraId="21B77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14:paraId="07640F5C">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王爱华</w:t>
            </w:r>
          </w:p>
        </w:tc>
        <w:tc>
          <w:tcPr>
            <w:tcW w:w="3051" w:type="dxa"/>
            <w:vAlign w:val="center"/>
          </w:tcPr>
          <w:p w14:paraId="56F27BCD">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鹿泉区政协</w:t>
            </w:r>
          </w:p>
        </w:tc>
        <w:tc>
          <w:tcPr>
            <w:tcW w:w="2911" w:type="dxa"/>
            <w:vAlign w:val="center"/>
          </w:tcPr>
          <w:p w14:paraId="3EB83A55">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财务负责人</w:t>
            </w:r>
          </w:p>
        </w:tc>
      </w:tr>
    </w:tbl>
    <w:p w14:paraId="63AFC170">
      <w:pPr>
        <w:pStyle w:val="7"/>
        <w:pageBreakBefore w:val="0"/>
        <w:kinsoku/>
        <w:wordWrap/>
        <w:overflowPunct/>
        <w:topLinePunct w:val="0"/>
        <w:autoSpaceDE/>
        <w:autoSpaceDN/>
        <w:bidi w:val="0"/>
        <w:spacing w:line="312" w:lineRule="auto"/>
        <w:rPr>
          <w:rFonts w:hint="default"/>
          <w:lang w:val="en-US" w:eastAsia="zh-CN"/>
        </w:rPr>
      </w:pPr>
    </w:p>
    <w:p w14:paraId="0F905399">
      <w:pPr>
        <w:pStyle w:val="7"/>
        <w:pageBreakBefore w:val="0"/>
        <w:kinsoku/>
        <w:wordWrap/>
        <w:overflowPunct/>
        <w:topLinePunct w:val="0"/>
        <w:autoSpaceDE/>
        <w:autoSpaceDN/>
        <w:bidi w:val="0"/>
        <w:spacing w:line="312" w:lineRule="auto"/>
        <w:rPr>
          <w:rFonts w:hint="default"/>
          <w:lang w:val="en-US" w:eastAsia="zh-CN"/>
        </w:rPr>
      </w:pPr>
    </w:p>
    <w:p w14:paraId="66ECB326">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华文楷体">
    <w:altName w:val="方正楷体_GBK"/>
    <w:panose1 w:val="02010600040101010101"/>
    <w:charset w:val="86"/>
    <w:family w:val="auto"/>
    <w:pitch w:val="default"/>
    <w:sig w:usb0="00000000" w:usb1="00000000" w:usb2="00000000" w:usb3="00000000" w:csb0="0004009F" w:csb1="DFD7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8331F7">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87C386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87C386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37D3D6"/>
    <w:multiLevelType w:val="singleLevel"/>
    <w:tmpl w:val="9437D3D6"/>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652D033E"/>
    <w:multiLevelType w:val="singleLevel"/>
    <w:tmpl w:val="652D033E"/>
    <w:lvl w:ilvl="0" w:tentative="0">
      <w:start w:val="2"/>
      <w:numFmt w:val="decimal"/>
      <w:suff w:val="nothing"/>
      <w:lvlText w:val="%1、"/>
      <w:lvlJc w:val="left"/>
    </w:lvl>
  </w:abstractNum>
  <w:abstractNum w:abstractNumId="4">
    <w:nsid w:val="652D049B"/>
    <w:multiLevelType w:val="singleLevel"/>
    <w:tmpl w:val="652D049B"/>
    <w:lvl w:ilvl="0" w:tentative="0">
      <w:start w:val="3"/>
      <w:numFmt w:val="decimal"/>
      <w:suff w:val="nothing"/>
      <w:lvlText w:val="%1、"/>
      <w:lvlJc w:val="left"/>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0NTQzMjg3ZmRiZDRkNzEwZDM5NWJjZmUzNDMwNDIifQ=="/>
  </w:docVars>
  <w:rsids>
    <w:rsidRoot w:val="0EBD2122"/>
    <w:rsid w:val="007E6C1F"/>
    <w:rsid w:val="00AF566A"/>
    <w:rsid w:val="00B6553A"/>
    <w:rsid w:val="01B104CA"/>
    <w:rsid w:val="02106AB0"/>
    <w:rsid w:val="02B43A28"/>
    <w:rsid w:val="03E27A5C"/>
    <w:rsid w:val="046F331E"/>
    <w:rsid w:val="067833C6"/>
    <w:rsid w:val="07811EAA"/>
    <w:rsid w:val="07956271"/>
    <w:rsid w:val="09721397"/>
    <w:rsid w:val="0BB63BED"/>
    <w:rsid w:val="0E7F750B"/>
    <w:rsid w:val="0EB97A43"/>
    <w:rsid w:val="0EBD2122"/>
    <w:rsid w:val="0F214EAE"/>
    <w:rsid w:val="11B71E6A"/>
    <w:rsid w:val="1AAF0063"/>
    <w:rsid w:val="1BE140DE"/>
    <w:rsid w:val="1C181228"/>
    <w:rsid w:val="1E2E30C5"/>
    <w:rsid w:val="235D5EFA"/>
    <w:rsid w:val="248C197D"/>
    <w:rsid w:val="252959AF"/>
    <w:rsid w:val="277A6671"/>
    <w:rsid w:val="27E43164"/>
    <w:rsid w:val="292D35B7"/>
    <w:rsid w:val="2A594280"/>
    <w:rsid w:val="2C5B5923"/>
    <w:rsid w:val="2D7C0ACE"/>
    <w:rsid w:val="319A21F9"/>
    <w:rsid w:val="33EB6CFF"/>
    <w:rsid w:val="34631C06"/>
    <w:rsid w:val="35A12947"/>
    <w:rsid w:val="37387040"/>
    <w:rsid w:val="386322AD"/>
    <w:rsid w:val="3B625C0A"/>
    <w:rsid w:val="3CEE1963"/>
    <w:rsid w:val="3D4A490C"/>
    <w:rsid w:val="3DD02567"/>
    <w:rsid w:val="3F960755"/>
    <w:rsid w:val="40D35985"/>
    <w:rsid w:val="43B97F20"/>
    <w:rsid w:val="456521BC"/>
    <w:rsid w:val="4B6C19E7"/>
    <w:rsid w:val="4C9C27FE"/>
    <w:rsid w:val="4F2459E3"/>
    <w:rsid w:val="503B4723"/>
    <w:rsid w:val="512260B4"/>
    <w:rsid w:val="52BD6ACB"/>
    <w:rsid w:val="532C5C05"/>
    <w:rsid w:val="54BE6D44"/>
    <w:rsid w:val="55537534"/>
    <w:rsid w:val="561A74F1"/>
    <w:rsid w:val="58495619"/>
    <w:rsid w:val="597244E8"/>
    <w:rsid w:val="5C261254"/>
    <w:rsid w:val="5DEC05B4"/>
    <w:rsid w:val="5EB71C30"/>
    <w:rsid w:val="66AF0CE5"/>
    <w:rsid w:val="6A9C07BC"/>
    <w:rsid w:val="6AC537CF"/>
    <w:rsid w:val="6CB57293"/>
    <w:rsid w:val="6D2909E1"/>
    <w:rsid w:val="6E5B14A6"/>
    <w:rsid w:val="711B255E"/>
    <w:rsid w:val="7317199D"/>
    <w:rsid w:val="770F2EEA"/>
    <w:rsid w:val="7BB51E06"/>
    <w:rsid w:val="7C387F7C"/>
    <w:rsid w:val="7C3E2C2A"/>
    <w:rsid w:val="7D840B36"/>
    <w:rsid w:val="7F384390"/>
    <w:rsid w:val="7FE83423"/>
    <w:rsid w:val="D37CD3D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4">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Body Text First Indent 2"/>
    <w:basedOn w:val="4"/>
    <w:qFormat/>
    <w:uiPriority w:val="0"/>
    <w:pPr>
      <w:ind w:firstLine="420"/>
    </w:pPr>
    <w:rPr>
      <w:rFonts w:ascii="Times New Roman" w:hAnsi="Times New Roman" w:eastAsia="宋体" w:cs="Times New Roman"/>
    </w:rPr>
  </w:style>
  <w:style w:type="table" w:styleId="9">
    <w:name w:val="Table Grid"/>
    <w:basedOn w:val="8"/>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160</Words>
  <Characters>916</Characters>
  <Lines>7</Lines>
  <Paragraphs>2</Paragraphs>
  <TotalTime>7</TotalTime>
  <ScaleCrop>false</ScaleCrop>
  <LinksUpToDate>false</LinksUpToDate>
  <CharactersWithSpaces>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uos</cp:lastModifiedBy>
  <cp:lastPrinted>2023-10-18T14:08:00Z</cp:lastPrinted>
  <dcterms:modified xsi:type="dcterms:W3CDTF">2026-05-25T12:54:55Z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B5E2118241F840D2BBE2F2A2D9CDF494_12</vt:lpwstr>
  </property>
</Properties>
</file>