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829D76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1B398FAF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64E4A1DF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鹿泉区委网信办</w:t>
      </w:r>
    </w:p>
    <w:p w14:paraId="5F38AEEC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791A6E79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0E6E2BA6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石家庄市鹿泉区人民政府《关于全面实施预算绩效管理的实施意见》（鹿发</w:t>
      </w:r>
      <w:r>
        <w:rPr>
          <w:rFonts w:hint="eastAsia" w:ascii="仿宋_GB2312" w:hAnsi="仿宋_GB2312" w:eastAsia="仿宋_GB2312" w:cs="仿宋_GB2312"/>
          <w:sz w:val="32"/>
          <w:szCs w:val="32"/>
        </w:rPr>
        <w:t>〔20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鹿泉区委网信办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35BEDCC3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40570CC3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7299A34D"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1．主要职能。</w:t>
      </w:r>
    </w:p>
    <w:p w14:paraId="5322E927"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（一）</w:t>
      </w:r>
      <w:r>
        <w:rPr>
          <w:rFonts w:hint="eastAsia" w:ascii="仿宋_GB2312" w:eastAsia="仿宋_GB2312"/>
          <w:sz w:val="32"/>
          <w:szCs w:val="32"/>
        </w:rPr>
        <w:t>负责处理区委网络安全和信息化委员会日常事务工作。</w:t>
      </w:r>
    </w:p>
    <w:p w14:paraId="70D14459"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（二）</w:t>
      </w:r>
      <w:r>
        <w:rPr>
          <w:rFonts w:hint="eastAsia" w:ascii="仿宋_GB2312" w:eastAsia="仿宋_GB2312"/>
          <w:sz w:val="32"/>
          <w:szCs w:val="32"/>
          <w:lang w:eastAsia="zh-CN"/>
        </w:rPr>
        <w:t>贯彻落实网络安全和信息化发展战略、宏观规划和重大政策。</w:t>
      </w:r>
    </w:p>
    <w:p w14:paraId="4F842F7D"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（三）</w:t>
      </w:r>
      <w:r>
        <w:rPr>
          <w:rFonts w:hint="eastAsia" w:ascii="仿宋_GB2312" w:eastAsia="仿宋_GB2312"/>
          <w:sz w:val="32"/>
          <w:szCs w:val="32"/>
          <w:lang w:eastAsia="zh-CN"/>
        </w:rPr>
        <w:t>统筹协调全区网络安全保障体系和可信体系建设。</w:t>
      </w:r>
    </w:p>
    <w:p w14:paraId="4FCCA132">
      <w:pPr>
        <w:widowControl/>
        <w:spacing w:line="580" w:lineRule="exact"/>
        <w:ind w:firstLine="640" w:firstLineChars="200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（四）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统筹协调组织互联网宣传管理</w:t>
      </w:r>
      <w:bookmarkStart w:id="0" w:name="_GoBack"/>
      <w:bookmarkEnd w:id="0"/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工作，维护互联网意识形态安全工作。</w:t>
      </w:r>
    </w:p>
    <w:p w14:paraId="56E1C466"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（五）</w:t>
      </w:r>
      <w:r>
        <w:rPr>
          <w:rFonts w:hint="eastAsia" w:ascii="仿宋_GB2312" w:eastAsia="仿宋_GB2312"/>
          <w:b w:val="0"/>
          <w:bCs w:val="0"/>
          <w:sz w:val="32"/>
          <w:szCs w:val="32"/>
        </w:rPr>
        <w:t>督促落实涉及政治、经济、文化、社会、生态及军事</w:t>
      </w:r>
      <w:r>
        <w:rPr>
          <w:rFonts w:hint="eastAsia" w:ascii="仿宋_GB2312" w:eastAsia="仿宋_GB2312"/>
          <w:sz w:val="32"/>
          <w:szCs w:val="32"/>
        </w:rPr>
        <w:t>等各个领域的网络安全和信息化重大事项；负责协调处理网络安全和信息化重大突发事</w:t>
      </w:r>
      <w:r>
        <w:rPr>
          <w:rFonts w:hint="eastAsia" w:ascii="仿宋_GB2312" w:eastAsia="仿宋_GB2312"/>
          <w:sz w:val="32"/>
          <w:szCs w:val="32"/>
          <w:lang w:eastAsia="zh-CN"/>
        </w:rPr>
        <w:t>件</w:t>
      </w:r>
      <w:r>
        <w:rPr>
          <w:rFonts w:hint="eastAsia" w:ascii="仿宋_GB2312" w:eastAsia="仿宋_GB2312"/>
          <w:sz w:val="32"/>
          <w:szCs w:val="32"/>
        </w:rPr>
        <w:t>与有关应急工作。</w:t>
      </w:r>
    </w:p>
    <w:p w14:paraId="2EB3C918">
      <w:pPr>
        <w:pStyle w:val="11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六</w:t>
      </w:r>
      <w:r>
        <w:rPr>
          <w:rFonts w:hint="eastAsia" w:ascii="仿宋_GB2312" w:eastAsia="仿宋_GB2312" w:cs="Arial Black"/>
          <w:kern w:val="0"/>
          <w:sz w:val="32"/>
          <w:szCs w:val="32"/>
        </w:rPr>
        <w:t>）</w:t>
      </w:r>
      <w:r>
        <w:rPr>
          <w:rFonts w:hint="eastAsia" w:ascii="仿宋_GB2312" w:eastAsia="仿宋_GB2312"/>
          <w:sz w:val="32"/>
          <w:szCs w:val="32"/>
        </w:rPr>
        <w:t>负责指导协调全区网络舆情信息工作。</w:t>
      </w:r>
    </w:p>
    <w:p w14:paraId="7BB37A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七</w:t>
      </w:r>
      <w:r>
        <w:rPr>
          <w:rFonts w:hint="eastAsia" w:ascii="仿宋_GB2312" w:eastAsia="仿宋_GB2312" w:cs="Arial Black"/>
          <w:kern w:val="0"/>
          <w:sz w:val="32"/>
          <w:szCs w:val="32"/>
        </w:rPr>
        <w:t>）</w:t>
      </w:r>
      <w:r>
        <w:rPr>
          <w:rFonts w:hint="eastAsia" w:ascii="仿宋_GB2312" w:eastAsia="仿宋_GB2312"/>
          <w:sz w:val="32"/>
          <w:szCs w:val="32"/>
          <w:lang w:eastAsia="zh-CN"/>
        </w:rPr>
        <w:t>指导全区</w:t>
      </w:r>
      <w:r>
        <w:rPr>
          <w:rFonts w:hint="eastAsia" w:ascii="仿宋_GB2312" w:eastAsia="仿宋_GB2312"/>
          <w:sz w:val="32"/>
          <w:szCs w:val="32"/>
        </w:rPr>
        <w:t>有关部门</w:t>
      </w:r>
      <w:r>
        <w:rPr>
          <w:rFonts w:hint="eastAsia" w:ascii="仿宋_GB2312" w:eastAsia="仿宋_GB2312"/>
          <w:sz w:val="32"/>
          <w:szCs w:val="32"/>
          <w:lang w:eastAsia="zh-CN"/>
        </w:rPr>
        <w:t>及单位</w:t>
      </w:r>
      <w:r>
        <w:rPr>
          <w:rFonts w:hint="eastAsia" w:ascii="仿宋_GB2312" w:eastAsia="仿宋_GB2312"/>
          <w:sz w:val="32"/>
          <w:szCs w:val="32"/>
        </w:rPr>
        <w:t>网络安全</w:t>
      </w:r>
      <w:r>
        <w:rPr>
          <w:rFonts w:hint="eastAsia" w:ascii="仿宋_GB2312" w:eastAsia="仿宋_GB2312"/>
          <w:sz w:val="32"/>
          <w:szCs w:val="32"/>
          <w:lang w:eastAsia="zh-CN"/>
        </w:rPr>
        <w:t>和</w:t>
      </w:r>
      <w:r>
        <w:rPr>
          <w:rFonts w:hint="eastAsia" w:ascii="仿宋_GB2312" w:eastAsia="仿宋_GB2312"/>
          <w:sz w:val="32"/>
          <w:szCs w:val="32"/>
        </w:rPr>
        <w:t>信息化工作。完成市委网络安全和信息化委员会办公室（市互联网信息办公室）和区委、区政府及区委网络安全和信息化委员会</w:t>
      </w:r>
      <w:r>
        <w:rPr>
          <w:rFonts w:hint="eastAsia" w:ascii="仿宋_GB2312" w:eastAsia="仿宋_GB2312"/>
          <w:sz w:val="32"/>
          <w:szCs w:val="32"/>
          <w:lang w:eastAsia="zh-CN"/>
        </w:rPr>
        <w:t>、区委宣传部</w:t>
      </w:r>
      <w:r>
        <w:rPr>
          <w:rFonts w:hint="eastAsia" w:ascii="仿宋_GB2312" w:eastAsia="仿宋_GB2312"/>
          <w:sz w:val="32"/>
          <w:szCs w:val="32"/>
        </w:rPr>
        <w:t>交办的其他事项。</w:t>
      </w:r>
    </w:p>
    <w:p w14:paraId="6A97A043"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2．机构情况，包括当年变动情况及原因。</w:t>
      </w:r>
    </w:p>
    <w:p w14:paraId="315A9B26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单位名称：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中共石家庄市鹿泉区委网络安全和信息化委员会办公室</w:t>
      </w:r>
      <w:r>
        <w:rPr>
          <w:rFonts w:hint="eastAsia" w:ascii="仿宋_GB2312" w:hAnsi="仿宋" w:eastAsia="仿宋_GB2312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行政</w:t>
      </w:r>
      <w:r>
        <w:rPr>
          <w:rFonts w:hint="eastAsia" w:ascii="仿宋_GB2312" w:hAnsi="仿宋" w:eastAsia="仿宋_GB2312"/>
          <w:sz w:val="32"/>
          <w:szCs w:val="32"/>
        </w:rPr>
        <w:t>单位，财政拨款。无变动。</w:t>
      </w:r>
    </w:p>
    <w:p w14:paraId="285E3E15"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3．人员情况，包括当年变动情况及原因。</w:t>
      </w:r>
    </w:p>
    <w:p w14:paraId="492B9EB2">
      <w:pPr>
        <w:pStyle w:val="6"/>
        <w:rPr>
          <w:rFonts w:hint="eastAsia" w:ascii="仿宋" w:hAnsi="仿宋" w:eastAsia="仿宋" w:cs="黑体"/>
          <w:b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 w:val="0"/>
          <w:color w:val="auto"/>
          <w:kern w:val="2"/>
          <w:sz w:val="32"/>
          <w:szCs w:val="32"/>
          <w:lang w:val="en-US" w:eastAsia="zh-CN" w:bidi="ar-SA"/>
        </w:rPr>
        <w:t>年底共计6个事业编，8个行政编，人员新调入1名行政编制人员。</w:t>
      </w:r>
    </w:p>
    <w:p w14:paraId="1BA26365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343A066B">
      <w:pPr>
        <w:autoSpaceDE w:val="0"/>
        <w:autoSpaceDN w:val="0"/>
        <w:adjustRightInd w:val="0"/>
        <w:ind w:left="200" w:firstLine="640" w:firstLineChars="200"/>
        <w:jc w:val="left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本部门</w:t>
      </w:r>
      <w:r>
        <w:rPr>
          <w:rFonts w:hint="eastAsia" w:ascii="仿宋_GB2312" w:hAnsi="仿宋" w:eastAsia="仿宋_GB2312"/>
          <w:sz w:val="32"/>
          <w:szCs w:val="32"/>
        </w:rPr>
        <w:t>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/>
          <w:sz w:val="32"/>
          <w:szCs w:val="32"/>
        </w:rPr>
        <w:t>年预算收入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355.53</w:t>
      </w:r>
      <w:r>
        <w:rPr>
          <w:rFonts w:hint="eastAsia" w:ascii="仿宋_GB2312" w:hAnsi="仿宋" w:eastAsia="仿宋_GB2312"/>
          <w:sz w:val="32"/>
          <w:szCs w:val="32"/>
        </w:rPr>
        <w:t>万元，其中：一般公共预算收入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355.53</w:t>
      </w:r>
      <w:r>
        <w:rPr>
          <w:rFonts w:hint="eastAsia" w:ascii="仿宋_GB2312" w:hAnsi="仿宋" w:eastAsia="仿宋_GB2312"/>
          <w:sz w:val="32"/>
          <w:szCs w:val="32"/>
        </w:rPr>
        <w:t>万元，基金预算收入0万元，财政专户核拨收入0万元，其他来源收入0万元。</w:t>
      </w:r>
    </w:p>
    <w:p w14:paraId="3CA8BECE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Times New Roman" w:eastAsia="仿宋_GB2312" w:cs="仿宋_GB2312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2024年支出预算为355.53万元，267.77万元，占总支出的75.31%，人员经费229.44万元，日常公用38.32万元。项目支出87.77万元，主要是网络舆情监测直报项目9.88万元、舆情中心运行费28.96万元、网络安全技术支持项目10.74万元、网络文明建设服务项目15万元、网络重点平台宣传项目11.72万元、退役士兵安置项目11.46万元。</w:t>
      </w:r>
    </w:p>
    <w:p w14:paraId="3859325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475E3AB4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运用监测设备实现网络舆情全覆盖，并使用专业APP实时监测我区网上舆情信息，并在大数据筛选基础上进行人工分拣推送，舆情推送次数不少于1万条。提高精准度。同时新增图片和音视频两套监测系统;为提升鹿泉网络宣传效果，充分发挥新媒体传播速度快、覆盖范围广的优势，定期对鹿泉区内政务新媒体从业人员进行专</w:t>
      </w:r>
      <w:r>
        <w:rPr>
          <w:rFonts w:hint="eastAsia" w:ascii="仿宋" w:hAnsi="仿宋" w:eastAsia="仿宋"/>
          <w:sz w:val="32"/>
          <w:szCs w:val="32"/>
          <w:highlight w:val="none"/>
        </w:rPr>
        <w:t>题培训、专题培训次数不少于4次，在重点平台设置开屏广告，投放广告开屏数量不少于5个，建立宣传矩阵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；对政治类信息举报进行重点监测，提供省直报数量不少于8000条，同时配合石家庄市舆情监测并进行推送等技术服务，并做好网信办视频会议室信息技术维护工作；开展有关网络文明正能量的线上、线下的宣传活动5次；依托网络文明素养基地开展“魅力鹿泉e路同行”网络主题宣传活动3次，谋划推动商业平台互动宣传和优秀新媒体作品征集展示活动（抖音、头条），加大全区网络正能量宣传；开展网络安全宣传周、网络安全</w:t>
      </w:r>
      <w:r>
        <w:rPr>
          <w:rFonts w:hint="eastAsia" w:ascii="仿宋" w:hAnsi="仿宋" w:eastAsia="仿宋"/>
          <w:sz w:val="32"/>
          <w:szCs w:val="32"/>
          <w:lang w:eastAsia="zh-CN"/>
        </w:rPr>
        <w:t>应急演练等活动，活动次数不少于5次；同时负责监测全区21个官方网站、系统、APP、终端等网络安全的技术服务；</w:t>
      </w:r>
      <w:r>
        <w:rPr>
          <w:rFonts w:hint="eastAsia" w:ascii="仿宋" w:hAnsi="仿宋" w:eastAsia="仿宋"/>
          <w:sz w:val="32"/>
          <w:szCs w:val="32"/>
        </w:rPr>
        <w:t>及时发放本单位2名退役军人公益岗的工资待遇及相关补贴，保障其合法权益。</w:t>
      </w:r>
    </w:p>
    <w:p w14:paraId="67B78F2A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2EA6DCEF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6482D40C"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严格落实《预算法》及省、市、区绩效管理工作的有关规定，通过开展部门整体支出绩效评价，促进部门整体预算绩效管理工作水平的提升，强化部门支出责任，规范资金管理行为，提高财政资金使用效益，保障部门更好地履行职责。</w:t>
      </w:r>
    </w:p>
    <w:p w14:paraId="6224E9A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根据区财政局《关于开展202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年绩效自评工作的通知》相关要求，对202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年部门所有区级预算项目进行绩效自评，我</w:t>
      </w:r>
      <w:r>
        <w:rPr>
          <w:rFonts w:hint="eastAsia" w:ascii="仿宋" w:hAnsi="仿宋" w:eastAsia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/>
          <w:sz w:val="32"/>
          <w:szCs w:val="32"/>
        </w:rPr>
        <w:t>收到通知后高度重视，对此项工作进行了安排部署，成立部门预算项目绩效评价领导小组，严格按照文件要求对标对表，通过查账目、检查系统运行情况等方式，认真对照绩效自评，对我部门202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年区级预算项目进行自查自评，形成绩效评价报告。</w:t>
      </w:r>
    </w:p>
    <w:p w14:paraId="771CEBDA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7871AE92">
      <w:pPr>
        <w:pStyle w:val="2"/>
        <w:ind w:firstLine="640" w:firstLineChars="200"/>
        <w:rPr>
          <w:rFonts w:hint="eastAsia"/>
        </w:rPr>
      </w:pPr>
      <w:r>
        <w:rPr>
          <w:rFonts w:hint="eastAsia"/>
        </w:rPr>
        <w:t>本次评价工作坚持“客观、公正、科学、规范”的原则，采</w:t>
      </w:r>
    </w:p>
    <w:p w14:paraId="7E90A126">
      <w:pPr>
        <w:pStyle w:val="2"/>
        <w:rPr>
          <w:rFonts w:hint="eastAsia"/>
        </w:rPr>
      </w:pPr>
      <w:r>
        <w:rPr>
          <w:rFonts w:hint="eastAsia"/>
        </w:rPr>
        <w:t>用业务处室自评与工作组复评相结合的方式进行。在自评的基础</w:t>
      </w:r>
    </w:p>
    <w:p w14:paraId="35F5F358">
      <w:pPr>
        <w:pStyle w:val="2"/>
        <w:rPr>
          <w:rFonts w:hint="eastAsia"/>
        </w:rPr>
      </w:pPr>
      <w:r>
        <w:rPr>
          <w:rFonts w:hint="eastAsia"/>
        </w:rPr>
        <w:t>上，通过多种方式，搜集并审核相关绩效材料，运用比较分析、</w:t>
      </w:r>
    </w:p>
    <w:p w14:paraId="31F62B0D">
      <w:pPr>
        <w:pStyle w:val="2"/>
        <w:rPr>
          <w:rFonts w:hint="eastAsia"/>
        </w:rPr>
      </w:pPr>
      <w:r>
        <w:rPr>
          <w:rFonts w:hint="eastAsia"/>
        </w:rPr>
        <w:t>因素分析、成本效益分析等方法，综合评价该项目绩效。</w:t>
      </w:r>
    </w:p>
    <w:p w14:paraId="58B196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1、科学制定项目申报。项目单位要按照自身实际需求，明确发展思路，实事求是的申报项目。</w:t>
      </w:r>
    </w:p>
    <w:p w14:paraId="2690F0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2、认真组织项目实施。上级批复后，按项目申报书内容在规定的时间内组织实施。</w:t>
      </w:r>
    </w:p>
    <w:p w14:paraId="4C8B67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eastAsia="仿宋_GB231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3、严格验收。区级负责按照资金管理办法组织项目验收工作，验收合格的协调指导拨付资金。</w:t>
      </w:r>
    </w:p>
    <w:p w14:paraId="4BCFE247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75923D6E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406BBAD5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本年度专项工作经费管理规范，按计划基本完成，确保了</w:t>
      </w:r>
    </w:p>
    <w:p w14:paraId="5BE0701C"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各项工作正常运转和圆满完成，各科室对该项工作总体较为满意。对各项职能指标完成情况进行了自检自查,各项工作均已</w:t>
      </w:r>
    </w:p>
    <w:p w14:paraId="0D6605F9">
      <w:pPr>
        <w:spacing w:line="560" w:lineRule="exact"/>
      </w:pPr>
      <w:r>
        <w:rPr>
          <w:rFonts w:hint="eastAsia" w:ascii="仿宋" w:hAnsi="仿宋" w:eastAsia="仿宋"/>
          <w:sz w:val="32"/>
          <w:szCs w:val="32"/>
        </w:rPr>
        <w:t>基本完成，专项资金绩效评价自评为优秀。</w:t>
      </w:r>
    </w:p>
    <w:p w14:paraId="55DF5461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分项绩效目标实现情况及指标分析</w:t>
      </w:r>
    </w:p>
    <w:p w14:paraId="2B56AD88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年舆情中心运行费</w:t>
      </w:r>
      <w:r>
        <w:rPr>
          <w:rFonts w:hint="eastAsia" w:ascii="仿宋" w:hAnsi="仿宋" w:eastAsia="仿宋"/>
          <w:sz w:val="32"/>
          <w:szCs w:val="32"/>
          <w:lang w:eastAsia="zh-CN"/>
        </w:rPr>
        <w:t>项目完成情况：已完成运用监测设备实现网络舆情全覆盖，并使用专业APP实时监测我区网上舆情信息，并在大数据筛选基础上进行人工分拣推送，舆情推送次数不少于1万条。提高精准度。同时新增图片和音视频两套监测系统。涉稳舆情处置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100%。</w:t>
      </w:r>
    </w:p>
    <w:p w14:paraId="2E9DCD9A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/>
          <w:sz w:val="32"/>
          <w:szCs w:val="32"/>
        </w:rPr>
        <w:t>区网络文明建设服务项目</w:t>
      </w:r>
      <w:r>
        <w:rPr>
          <w:rFonts w:hint="eastAsia" w:ascii="仿宋" w:hAnsi="仿宋" w:eastAsia="仿宋"/>
          <w:sz w:val="32"/>
          <w:szCs w:val="32"/>
          <w:lang w:eastAsia="zh-CN"/>
        </w:rPr>
        <w:t>完成情况：已完成开展有关网络文明正能量的线上、线下的宣传活动5次；依托网络文明素养基地开展“魅力鹿泉e路同行”网络主题宣传活动3次，谋划推动商业平台互动宣传和优秀新媒体作品征集展示活动（抖音、头条），加大全区网络正能量宣传。</w:t>
      </w:r>
    </w:p>
    <w:p w14:paraId="5A249B7F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/>
          <w:sz w:val="32"/>
          <w:szCs w:val="32"/>
        </w:rPr>
        <w:t>网络安全技术支持项目</w:t>
      </w:r>
      <w:r>
        <w:rPr>
          <w:rFonts w:hint="eastAsia" w:ascii="仿宋" w:hAnsi="仿宋" w:eastAsia="仿宋"/>
          <w:sz w:val="32"/>
          <w:szCs w:val="32"/>
          <w:lang w:eastAsia="zh-CN"/>
        </w:rPr>
        <w:t>完成情况：已完成网络安全宣传周、网络安全应急演练等活动，活动次数5次；同时负责监测全区21个官方网站、系统、APP、终端等网络安全的技术服务。</w:t>
      </w:r>
    </w:p>
    <w:p w14:paraId="6752790A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lang w:eastAsia="zh-CN"/>
        </w:rPr>
        <w:t>年网络重点平台宣传项目完成情况：已完成为提升鹿泉网络宣传效果，充分发挥新媒体传播速度快、覆盖范围广的优势，定期对鹿泉区内政务新媒体从业人员进行专题培训、专题培训次数不少于4次，在重点平台设置开屏广告，投放广告开屏数量不少于5个，建立宣传矩阵。</w:t>
      </w:r>
    </w:p>
    <w:p w14:paraId="62E678B5">
      <w:pPr>
        <w:spacing w:line="560" w:lineRule="exact"/>
        <w:ind w:firstLine="800" w:firstLineChars="25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年网络舆情监测直报项目</w:t>
      </w:r>
      <w:r>
        <w:rPr>
          <w:rFonts w:hint="eastAsia" w:ascii="仿宋" w:hAnsi="仿宋" w:eastAsia="仿宋"/>
          <w:sz w:val="32"/>
          <w:szCs w:val="32"/>
          <w:lang w:eastAsia="zh-CN"/>
        </w:rPr>
        <w:t>完成情况：已完成对政治类信息举报进行重点监测，提供省直报数量不少于8000条，同时配合石家庄市舆情监测并进行推送等技术服务，并做好网信办视频会议室信息技术维护工作。涉稳舆情处置率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100%。</w:t>
      </w:r>
    </w:p>
    <w:p w14:paraId="170B9DB8">
      <w:pPr>
        <w:spacing w:line="560" w:lineRule="exact"/>
        <w:ind w:firstLine="800" w:firstLineChars="25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年涉军岗位工资</w:t>
      </w:r>
      <w:r>
        <w:rPr>
          <w:rFonts w:hint="eastAsia" w:ascii="仿宋" w:hAnsi="仿宋" w:eastAsia="仿宋"/>
          <w:sz w:val="32"/>
          <w:szCs w:val="32"/>
          <w:lang w:eastAsia="zh-CN"/>
        </w:rPr>
        <w:t>项目完成情况</w:t>
      </w:r>
      <w:r>
        <w:rPr>
          <w:rFonts w:hint="eastAsia" w:ascii="仿宋" w:hAnsi="仿宋" w:eastAsia="仿宋"/>
          <w:sz w:val="32"/>
          <w:szCs w:val="32"/>
        </w:rPr>
        <w:t>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已严格落实上级政策，对单位内部的退役军人进行妥善安置。二是及时发放本单位2名退役军人的工资待遇及相关补贴，保障其合法权益。涉军岗位工资、补贴及时足额发放率100%。</w:t>
      </w:r>
    </w:p>
    <w:p w14:paraId="5A4A6DB8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15647BD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tbl>
      <w:tblPr>
        <w:tblStyle w:val="9"/>
        <w:tblW w:w="102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92"/>
        <w:gridCol w:w="1935"/>
        <w:gridCol w:w="2193"/>
      </w:tblGrid>
      <w:tr w14:paraId="6CDF57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 w14:paraId="32C9DAA1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项目名称</w:t>
            </w:r>
          </w:p>
        </w:tc>
        <w:tc>
          <w:tcPr>
            <w:tcW w:w="1935" w:type="dxa"/>
          </w:tcPr>
          <w:p w14:paraId="3CEBCACB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自评得分</w:t>
            </w:r>
          </w:p>
        </w:tc>
        <w:tc>
          <w:tcPr>
            <w:tcW w:w="2193" w:type="dxa"/>
          </w:tcPr>
          <w:p w14:paraId="63721222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评价等级</w:t>
            </w:r>
          </w:p>
        </w:tc>
      </w:tr>
      <w:tr w14:paraId="5C3337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6092" w:type="dxa"/>
          </w:tcPr>
          <w:p w14:paraId="34D9EC0A">
            <w:pPr>
              <w:pStyle w:val="2"/>
              <w:jc w:val="center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</w:rPr>
              <w:t>202</w:t>
            </w:r>
            <w:r>
              <w:rPr>
                <w:rFonts w:hint="eastAsia"/>
                <w:vertAlign w:val="baseline"/>
                <w:lang w:val="en-US" w:eastAsia="zh-CN"/>
              </w:rPr>
              <w:t>4</w:t>
            </w:r>
            <w:r>
              <w:rPr>
                <w:rFonts w:hint="eastAsia"/>
                <w:vertAlign w:val="baseline"/>
              </w:rPr>
              <w:t>年舆情中心运行费</w:t>
            </w:r>
            <w:r>
              <w:rPr>
                <w:rFonts w:hint="eastAsia"/>
                <w:vertAlign w:val="baseline"/>
                <w:lang w:eastAsia="zh-CN"/>
              </w:rPr>
              <w:t>项目</w:t>
            </w:r>
          </w:p>
        </w:tc>
        <w:tc>
          <w:tcPr>
            <w:tcW w:w="1935" w:type="dxa"/>
          </w:tcPr>
          <w:p w14:paraId="6676D93B"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 w14:paraId="76D1E753">
            <w:pPr>
              <w:pStyle w:val="2"/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 w14:paraId="4E4A97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 w14:paraId="2B30D8FE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202</w:t>
            </w:r>
            <w:r>
              <w:rPr>
                <w:rFonts w:hint="eastAsia"/>
                <w:vertAlign w:val="baseline"/>
                <w:lang w:val="en-US" w:eastAsia="zh-CN"/>
              </w:rPr>
              <w:t>4</w:t>
            </w:r>
            <w:r>
              <w:rPr>
                <w:rFonts w:hint="eastAsia"/>
                <w:vertAlign w:val="baseline"/>
              </w:rPr>
              <w:t>年区网络文明建设服务项目</w:t>
            </w:r>
          </w:p>
        </w:tc>
        <w:tc>
          <w:tcPr>
            <w:tcW w:w="1935" w:type="dxa"/>
          </w:tcPr>
          <w:p w14:paraId="7BDBB966"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 w14:paraId="2A4BB1C3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 w14:paraId="2D108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 w14:paraId="3F5B982B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202</w:t>
            </w:r>
            <w:r>
              <w:rPr>
                <w:rFonts w:hint="eastAsia"/>
                <w:vertAlign w:val="baseline"/>
                <w:lang w:val="en-US" w:eastAsia="zh-CN"/>
              </w:rPr>
              <w:t>4</w:t>
            </w:r>
            <w:r>
              <w:rPr>
                <w:rFonts w:hint="eastAsia"/>
                <w:vertAlign w:val="baseline"/>
              </w:rPr>
              <w:t>年网络安全技术支持项目</w:t>
            </w:r>
          </w:p>
        </w:tc>
        <w:tc>
          <w:tcPr>
            <w:tcW w:w="1935" w:type="dxa"/>
          </w:tcPr>
          <w:p w14:paraId="2532BFD0"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 w14:paraId="73A30FC3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 w14:paraId="38D12E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 w14:paraId="35A0C76E">
            <w:pPr>
              <w:pStyle w:val="2"/>
              <w:jc w:val="center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 w:eastAsia="仿宋_GB2312"/>
                <w:vertAlign w:val="baseline"/>
                <w:lang w:eastAsia="zh-CN"/>
              </w:rPr>
              <w:t>202</w:t>
            </w:r>
            <w:r>
              <w:rPr>
                <w:rFonts w:hint="eastAsia"/>
                <w:vertAlign w:val="baseline"/>
                <w:lang w:val="en-US" w:eastAsia="zh-CN"/>
              </w:rPr>
              <w:t>4</w:t>
            </w:r>
            <w:r>
              <w:rPr>
                <w:rFonts w:hint="eastAsia" w:eastAsia="仿宋_GB2312"/>
                <w:vertAlign w:val="baseline"/>
                <w:lang w:eastAsia="zh-CN"/>
              </w:rPr>
              <w:t>年网络重点平台宣传项目</w:t>
            </w:r>
          </w:p>
        </w:tc>
        <w:tc>
          <w:tcPr>
            <w:tcW w:w="1935" w:type="dxa"/>
          </w:tcPr>
          <w:p w14:paraId="35036788"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 w14:paraId="26B00037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 w14:paraId="5EAA3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 w14:paraId="55233F0A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</w:rPr>
              <w:t>202</w:t>
            </w:r>
            <w:r>
              <w:rPr>
                <w:rFonts w:hint="eastAsia"/>
                <w:vertAlign w:val="baseline"/>
                <w:lang w:val="en-US" w:eastAsia="zh-CN"/>
              </w:rPr>
              <w:t>4</w:t>
            </w:r>
            <w:r>
              <w:rPr>
                <w:rFonts w:hint="eastAsia"/>
                <w:vertAlign w:val="baseline"/>
              </w:rPr>
              <w:t>年网络舆情监测直报项目</w:t>
            </w:r>
          </w:p>
        </w:tc>
        <w:tc>
          <w:tcPr>
            <w:tcW w:w="1935" w:type="dxa"/>
          </w:tcPr>
          <w:p w14:paraId="6091736C"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 w14:paraId="60E3AF73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  <w:tr w14:paraId="2ACBD6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92" w:type="dxa"/>
          </w:tcPr>
          <w:p w14:paraId="42EBF528">
            <w:pPr>
              <w:pStyle w:val="2"/>
              <w:jc w:val="center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</w:rPr>
              <w:t>202</w:t>
            </w:r>
            <w:r>
              <w:rPr>
                <w:rFonts w:hint="eastAsia"/>
                <w:vertAlign w:val="baseline"/>
                <w:lang w:val="en-US" w:eastAsia="zh-CN"/>
              </w:rPr>
              <w:t>4</w:t>
            </w:r>
            <w:r>
              <w:rPr>
                <w:rFonts w:hint="eastAsia"/>
                <w:vertAlign w:val="baseline"/>
              </w:rPr>
              <w:t>年涉军岗位工资</w:t>
            </w:r>
            <w:r>
              <w:rPr>
                <w:rFonts w:hint="eastAsia"/>
                <w:vertAlign w:val="baseline"/>
                <w:lang w:eastAsia="zh-CN"/>
              </w:rPr>
              <w:t>项目</w:t>
            </w:r>
          </w:p>
        </w:tc>
        <w:tc>
          <w:tcPr>
            <w:tcW w:w="1935" w:type="dxa"/>
          </w:tcPr>
          <w:p w14:paraId="1E0B01BE">
            <w:pPr>
              <w:pStyle w:val="2"/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100</w:t>
            </w:r>
          </w:p>
        </w:tc>
        <w:tc>
          <w:tcPr>
            <w:tcW w:w="2193" w:type="dxa"/>
          </w:tcPr>
          <w:p w14:paraId="596EE53E">
            <w:pPr>
              <w:pStyle w:val="2"/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优秀</w:t>
            </w:r>
          </w:p>
        </w:tc>
      </w:tr>
    </w:tbl>
    <w:p w14:paraId="2A2F638D">
      <w:pPr>
        <w:pStyle w:val="11"/>
      </w:pPr>
    </w:p>
    <w:p w14:paraId="5AA371E1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076BB576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755FBDE1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eastAsia="黑体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制度不完善，加强支出管理，加强绩效监控</w:t>
      </w:r>
    </w:p>
    <w:p w14:paraId="71D4340D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3BA44F13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78" w:lineRule="exact"/>
        <w:jc w:val="both"/>
        <w:textAlignment w:val="auto"/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加强绩效运行监控，拉出目标清单，细化责任分工，明确时间节点，按要求开展绩效运行监控，发现问题及时采取措施，确保绩效目标如期保质实现。发现的问题及时整改，调整优化支出结构，提高财政资金使用效益。</w:t>
      </w:r>
    </w:p>
    <w:p w14:paraId="4C01326D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0371BA45">
      <w:pPr>
        <w:widowControl w:val="0"/>
        <w:wordWrap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冯战平  鹿泉区委网信办主任</w:t>
      </w:r>
    </w:p>
    <w:p w14:paraId="277E6158">
      <w:pPr>
        <w:pStyle w:val="11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王凌剑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鹿泉区委网信办副主任</w:t>
      </w:r>
    </w:p>
    <w:p w14:paraId="74907CF9">
      <w:pPr>
        <w:pStyle w:val="11"/>
        <w:ind w:firstLine="640"/>
        <w:rPr>
          <w:rFonts w:ascii="仿宋" w:hAnsi="仿宋" w:eastAsia="仿宋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崔琰玮  鹿泉区委网信办副主任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CC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altName w:val="OpenSymbol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OpenSymbol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楷体">
    <w:altName w:val="方正楷体_GBK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Black">
    <w:altName w:val="DejaVu Sans"/>
    <w:panose1 w:val="020B0A04020102020204"/>
    <w:charset w:val="00"/>
    <w:family w:val="swiss"/>
    <w:pitch w:val="default"/>
    <w:sig w:usb0="00000000" w:usb1="00000000" w:usb2="00000000" w:usb3="00000000" w:csb0="2000009F" w:csb1="DFD70000"/>
  </w:font>
  <w:font w:name="ArialUnicodeMS">
    <w:altName w:val="DejaVu Sans"/>
    <w:panose1 w:val="00000000000000000000"/>
    <w:charset w:val="81"/>
    <w:family w:val="auto"/>
    <w:pitch w:val="default"/>
    <w:sig w:usb0="00000000" w:usb1="00000000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32A64D">
    <w:pPr>
      <w:pStyle w:val="4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0B25EC38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4751BA3"/>
    <w:multiLevelType w:val="singleLevel"/>
    <w:tmpl w:val="B4751BA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0FE158E0"/>
    <w:rsid w:val="11B71E6A"/>
    <w:rsid w:val="14210508"/>
    <w:rsid w:val="1AAF0063"/>
    <w:rsid w:val="1B1567A2"/>
    <w:rsid w:val="1BE140DE"/>
    <w:rsid w:val="23544CE0"/>
    <w:rsid w:val="248C197D"/>
    <w:rsid w:val="252959AF"/>
    <w:rsid w:val="25AF7530"/>
    <w:rsid w:val="26987B19"/>
    <w:rsid w:val="277A6671"/>
    <w:rsid w:val="292D35B7"/>
    <w:rsid w:val="29E0121C"/>
    <w:rsid w:val="313762FE"/>
    <w:rsid w:val="31CD41AC"/>
    <w:rsid w:val="32817910"/>
    <w:rsid w:val="33EB6CFF"/>
    <w:rsid w:val="34BE5846"/>
    <w:rsid w:val="35A12947"/>
    <w:rsid w:val="37387040"/>
    <w:rsid w:val="3AEC191D"/>
    <w:rsid w:val="3B625C0A"/>
    <w:rsid w:val="3CEE1963"/>
    <w:rsid w:val="3E2E38CB"/>
    <w:rsid w:val="436B78D3"/>
    <w:rsid w:val="45CB42B4"/>
    <w:rsid w:val="4C9C27FE"/>
    <w:rsid w:val="4DA11D33"/>
    <w:rsid w:val="50041800"/>
    <w:rsid w:val="512260B4"/>
    <w:rsid w:val="52BD6ACB"/>
    <w:rsid w:val="55537534"/>
    <w:rsid w:val="561A74F1"/>
    <w:rsid w:val="597244E8"/>
    <w:rsid w:val="5EB71C30"/>
    <w:rsid w:val="61542F40"/>
    <w:rsid w:val="63090CF6"/>
    <w:rsid w:val="66AF0CE5"/>
    <w:rsid w:val="67F81EBA"/>
    <w:rsid w:val="6AC537CF"/>
    <w:rsid w:val="6E5B14A6"/>
    <w:rsid w:val="711B255E"/>
    <w:rsid w:val="74ED31D9"/>
    <w:rsid w:val="7BB51E06"/>
    <w:rsid w:val="7C1E5E6C"/>
    <w:rsid w:val="7C387F7C"/>
    <w:rsid w:val="7FE83423"/>
    <w:rsid w:val="FFB76D3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basedOn w:val="1"/>
    <w:qFormat/>
    <w:uiPriority w:val="0"/>
    <w:rPr>
      <w:rFonts w:ascii="宋体" w:hAnsi="宋体" w:eastAsia="仿宋_GB2312"/>
      <w:sz w:val="32"/>
      <w:szCs w:val="32"/>
    </w:rPr>
  </w:style>
  <w:style w:type="paragraph" w:styleId="3">
    <w:name w:val="Body Text Indent"/>
    <w:basedOn w:val="1"/>
    <w:qFormat/>
    <w:uiPriority w:val="0"/>
    <w:pPr>
      <w:spacing w:after="120" w:afterLines="0"/>
      <w:ind w:left="420" w:leftChars="200"/>
    </w:pPr>
    <w:rPr>
      <w:kern w:val="2"/>
      <w:sz w:val="21"/>
      <w:szCs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toc 2"/>
    <w:next w:val="1"/>
    <w:qFormat/>
    <w:uiPriority w:val="0"/>
    <w:pPr>
      <w:widowControl w:val="0"/>
      <w:jc w:val="both"/>
    </w:pPr>
    <w:rPr>
      <w:rFonts w:ascii="黑体" w:hAnsi="黑体" w:eastAsia="黑体" w:cs="仿宋_GB2312"/>
      <w:b/>
      <w:color w:val="000000"/>
      <w:kern w:val="2"/>
      <w:sz w:val="32"/>
      <w:szCs w:val="32"/>
      <w:lang w:val="en-US" w:eastAsia="zh-CN" w:bidi="ar-SA"/>
    </w:rPr>
  </w:style>
  <w:style w:type="paragraph" w:styleId="7">
    <w:name w:val="Body Text First Indent 2"/>
    <w:basedOn w:val="3"/>
    <w:qFormat/>
    <w:uiPriority w:val="0"/>
    <w:pPr>
      <w:ind w:firstLine="420" w:firstLineChars="200"/>
    </w:pPr>
    <w:rPr>
      <w:rFonts w:ascii="Calibri" w:hAnsi="Calibri" w:eastAsia="宋体" w:cs="Times New Roman"/>
      <w:szCs w:val="22"/>
    </w:rPr>
  </w:style>
  <w:style w:type="table" w:styleId="9">
    <w:name w:val="Table Grid"/>
    <w:basedOn w:val="8"/>
    <w:qFormat/>
    <w:uiPriority w:val="0"/>
    <w:rPr>
      <w:rFonts w:cs="Calibri"/>
      <w:kern w:val="0"/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_Style 1"/>
    <w:unhideWhenUsed/>
    <w:qFormat/>
    <w:uiPriority w:val="1"/>
    <w:pPr>
      <w:widowControl w:val="0"/>
      <w:jc w:val="both"/>
    </w:pPr>
    <w:rPr>
      <w:rFonts w:hint="eastAsia" w:ascii="宋体" w:hAnsi="宋体" w:eastAsia="宋体" w:cs="Times New Roman"/>
      <w:kern w:val="2"/>
      <w:sz w:val="32"/>
      <w:szCs w:val="22"/>
      <w:lang w:val="en-US" w:eastAsia="zh-CN" w:bidi="ar-SA"/>
    </w:rPr>
  </w:style>
  <w:style w:type="paragraph" w:customStyle="1" w:styleId="12">
    <w:name w:val="插入文本样式-插入预算公开部门预算安排的总体情况文件"/>
    <w:basedOn w:val="1"/>
    <w:qFormat/>
    <w:uiPriority w:val="0"/>
    <w:pPr>
      <w:widowControl/>
      <w:spacing w:line="500" w:lineRule="exact"/>
      <w:ind w:firstLine="560"/>
      <w:jc w:val="left"/>
    </w:pPr>
    <w:rPr>
      <w:rFonts w:eastAsia="方正仿宋_GBK"/>
      <w:kern w:val="0"/>
      <w:sz w:val="28"/>
      <w:lang w:eastAsia="uk-UA"/>
    </w:rPr>
  </w:style>
  <w:style w:type="paragraph" w:customStyle="1" w:styleId="13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100</Words>
  <Characters>570</Characters>
  <Lines>4</Lines>
  <Paragraphs>1</Paragraphs>
  <TotalTime>4</TotalTime>
  <ScaleCrop>false</ScaleCrop>
  <LinksUpToDate>false</LinksUpToDate>
  <CharactersWithSpaces>669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2020-02-04T11:46:00Z</dcterms:created>
  <dc:creator>欣欣大人</dc:creator>
  <cp:lastModifiedBy>uos</cp:lastModifiedBy>
  <cp:lastPrinted>2025-04-29T09:34:00Z</cp:lastPrinted>
  <dcterms:modified xsi:type="dcterms:W3CDTF">2026-05-23T15:29:22Z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96934721B1514D3FBAA28020338CE855_12</vt:lpwstr>
  </property>
</Properties>
</file>