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DFCCADC">
      <w:pPr>
        <w:adjustRightInd w:val="0"/>
        <w:snapToGrid w:val="0"/>
        <w:spacing w:line="560" w:lineRule="exact"/>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14:paraId="681C33FE">
      <w:pPr>
        <w:spacing w:line="560" w:lineRule="exact"/>
        <w:jc w:val="center"/>
        <w:rPr>
          <w:rFonts w:ascii="宋体" w:hAnsi="宋体" w:cs="宋体"/>
          <w:b/>
          <w:bCs/>
          <w:sz w:val="44"/>
          <w:szCs w:val="44"/>
        </w:rPr>
      </w:pPr>
    </w:p>
    <w:p w14:paraId="5A1A0034">
      <w:pPr>
        <w:spacing w:line="560" w:lineRule="exact"/>
        <w:jc w:val="center"/>
        <w:rPr>
          <w:rFonts w:hint="eastAsia" w:ascii="宋体" w:hAnsi="宋体" w:cs="宋体"/>
          <w:b/>
          <w:bCs/>
          <w:sz w:val="44"/>
          <w:szCs w:val="44"/>
        </w:rPr>
      </w:pPr>
      <w:r>
        <w:rPr>
          <w:rFonts w:hint="eastAsia" w:ascii="宋体" w:hAnsi="宋体" w:cs="宋体"/>
          <w:b/>
          <w:bCs/>
          <w:sz w:val="44"/>
          <w:szCs w:val="44"/>
          <w:lang w:val="en-US" w:eastAsia="zh-CN"/>
        </w:rPr>
        <w:t>石家庄市鹿泉区医疗保障局</w:t>
      </w:r>
    </w:p>
    <w:p w14:paraId="6B389D85">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493D3AB2">
      <w:pPr>
        <w:spacing w:line="560" w:lineRule="exact"/>
        <w:jc w:val="center"/>
        <w:rPr>
          <w:rFonts w:ascii="华文楷体" w:eastAsia="华文楷体"/>
          <w:sz w:val="32"/>
          <w:szCs w:val="32"/>
        </w:rPr>
      </w:pPr>
    </w:p>
    <w:p w14:paraId="31E1C1D0">
      <w:pPr>
        <w:adjustRightInd w:val="0"/>
        <w:snapToGrid w:val="0"/>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rPr>
        <w:t>贯彻落实</w:t>
      </w:r>
      <w:r>
        <w:rPr>
          <w:rFonts w:hint="eastAsia" w:ascii="仿宋_GB2312" w:hAnsi="仿宋_GB2312" w:eastAsia="仿宋_GB2312" w:cs="仿宋_GB2312"/>
          <w:sz w:val="32"/>
          <w:szCs w:val="32"/>
          <w:lang w:eastAsia="zh-CN"/>
        </w:rPr>
        <w:t>石家庄市鹿泉区人民政府《关于全面实施预算绩效管理的实施意见》（鹿发</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8号</w:t>
      </w:r>
      <w:r>
        <w:rPr>
          <w:rFonts w:hint="eastAsia" w:ascii="仿宋_GB2312" w:hAnsi="仿宋_GB2312" w:eastAsia="仿宋_GB2312" w:cs="仿宋_GB2312"/>
          <w:sz w:val="32"/>
          <w:szCs w:val="32"/>
          <w:lang w:eastAsia="zh-CN"/>
        </w:rPr>
        <w:t>）</w:t>
      </w:r>
      <w:r>
        <w:rPr>
          <w:rFonts w:hint="eastAsia" w:ascii="仿宋" w:hAnsi="仿宋" w:eastAsia="仿宋"/>
          <w:sz w:val="32"/>
          <w:szCs w:val="32"/>
        </w:rPr>
        <w:t>文件精神，遵循“科学性、规范性、客观性和公正性”的原则，</w:t>
      </w:r>
      <w:r>
        <w:rPr>
          <w:rFonts w:hint="eastAsia" w:ascii="仿宋" w:hAnsi="仿宋" w:eastAsia="仿宋"/>
          <w:sz w:val="32"/>
          <w:szCs w:val="32"/>
          <w:lang w:val="en-US" w:eastAsia="zh-CN"/>
        </w:rPr>
        <w:t>本</w:t>
      </w:r>
      <w:r>
        <w:rPr>
          <w:rFonts w:hint="eastAsia" w:ascii="仿宋" w:hAnsi="仿宋" w:eastAsia="仿宋"/>
          <w:sz w:val="32"/>
          <w:szCs w:val="32"/>
        </w:rPr>
        <w:t>部门</w:t>
      </w:r>
      <w:r>
        <w:rPr>
          <w:rFonts w:hint="eastAsia" w:ascii="仿宋" w:hAnsi="仿宋" w:eastAsia="仿宋"/>
          <w:sz w:val="32"/>
          <w:szCs w:val="32"/>
          <w:lang w:val="en-US" w:eastAsia="zh-CN"/>
        </w:rPr>
        <w:t>对</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r>
        <w:rPr>
          <w:rFonts w:hint="eastAsia" w:ascii="仿宋" w:hAnsi="仿宋" w:eastAsia="仿宋"/>
          <w:sz w:val="32"/>
          <w:szCs w:val="32"/>
          <w:lang w:val="en-US" w:eastAsia="zh-CN"/>
        </w:rPr>
        <w:t>现将报告汇报如下：</w:t>
      </w:r>
    </w:p>
    <w:p w14:paraId="4F219A44">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5EC40442">
      <w:pPr>
        <w:adjustRightInd w:val="0"/>
        <w:snapToGrid w:val="0"/>
        <w:spacing w:line="560" w:lineRule="exact"/>
        <w:ind w:firstLine="640" w:firstLineChars="200"/>
        <w:rPr>
          <w:rFonts w:hint="eastAsia" w:ascii="黑体" w:eastAsia="黑体" w:cs="黑体"/>
          <w:b w:val="0"/>
          <w:bCs w:val="0"/>
          <w:kern w:val="0"/>
          <w:sz w:val="32"/>
          <w:szCs w:val="32"/>
          <w:lang w:val="en-US" w:eastAsia="zh-CN"/>
        </w:rPr>
      </w:pPr>
      <w:r>
        <w:rPr>
          <w:rFonts w:hint="eastAsia" w:ascii="楷体" w:hAnsi="楷体" w:eastAsia="楷体" w:cs="楷体_GB2312"/>
          <w:bCs/>
          <w:sz w:val="32"/>
          <w:szCs w:val="32"/>
        </w:rPr>
        <w:t>（一）部门概况</w:t>
      </w:r>
    </w:p>
    <w:p w14:paraId="41FD0B9D">
      <w:pPr>
        <w:pStyle w:val="2"/>
        <w:spacing w:before="0" w:after="0" w:line="580" w:lineRule="exact"/>
        <w:ind w:firstLine="960" w:firstLineChars="300"/>
        <w:jc w:val="left"/>
        <w:rPr>
          <w:rFonts w:hint="eastAsia" w:ascii="仿宋" w:hAnsi="仿宋" w:eastAsia="仿宋" w:cs="仿宋"/>
          <w:b w:val="0"/>
          <w:bCs w:val="0"/>
          <w:kern w:val="0"/>
          <w:sz w:val="32"/>
          <w:szCs w:val="32"/>
        </w:rPr>
      </w:pPr>
      <w:r>
        <w:rPr>
          <w:rFonts w:hint="eastAsia" w:ascii="仿宋" w:hAnsi="仿宋" w:eastAsia="仿宋" w:cs="仿宋"/>
          <w:b w:val="0"/>
          <w:bCs w:val="0"/>
          <w:kern w:val="0"/>
          <w:sz w:val="32"/>
          <w:szCs w:val="32"/>
          <w:lang w:val="en-US" w:eastAsia="zh-CN"/>
        </w:rPr>
        <w:t>1.</w:t>
      </w:r>
      <w:r>
        <w:rPr>
          <w:rFonts w:hint="eastAsia" w:ascii="仿宋" w:hAnsi="仿宋" w:eastAsia="仿宋" w:cs="仿宋"/>
          <w:b w:val="0"/>
          <w:bCs w:val="0"/>
          <w:kern w:val="0"/>
          <w:sz w:val="32"/>
          <w:szCs w:val="32"/>
        </w:rPr>
        <w:t>部门职责</w:t>
      </w:r>
    </w:p>
    <w:p w14:paraId="61B16046">
      <w:pPr>
        <w:widowControl/>
        <w:spacing w:line="580" w:lineRule="exact"/>
        <w:ind w:firstLine="640" w:firstLineChars="200"/>
        <w:rPr>
          <w:rFonts w:hint="eastAsia" w:ascii="仿宋_GB2312" w:eastAsia="仿宋_GB2312" w:cs="仿宋_GB2312"/>
          <w:kern w:val="0"/>
          <w:sz w:val="32"/>
          <w:szCs w:val="32"/>
          <w:highlight w:val="none"/>
        </w:rPr>
      </w:pPr>
      <w:r>
        <w:rPr>
          <w:rFonts w:hint="eastAsia" w:ascii="仿宋_GB2312" w:eastAsia="仿宋_GB2312" w:cs="仿宋_GB2312"/>
          <w:kern w:val="0"/>
          <w:sz w:val="32"/>
          <w:szCs w:val="32"/>
          <w:highlight w:val="none"/>
        </w:rPr>
        <w:t>贯彻落实党中央和省、市、区委关于医疗保障工作的方针政策和决策部署，坚持和加强党对医疗保障工作的集中统一领导。</w:t>
      </w:r>
    </w:p>
    <w:p w14:paraId="2CDFA0FB">
      <w:pPr>
        <w:widowControl/>
        <w:spacing w:line="580" w:lineRule="exact"/>
        <w:ind w:firstLine="640" w:firstLineChars="200"/>
        <w:rPr>
          <w:rFonts w:hint="eastAsia" w:ascii="仿宋_GB2312" w:eastAsia="仿宋_GB2312" w:cs="仿宋_GB2312"/>
          <w:kern w:val="0"/>
          <w:sz w:val="32"/>
          <w:szCs w:val="32"/>
          <w:highlight w:val="none"/>
        </w:rPr>
      </w:pPr>
      <w:r>
        <w:rPr>
          <w:rFonts w:hint="eastAsia" w:ascii="仿宋_GB2312" w:eastAsia="仿宋_GB2312" w:cs="仿宋_GB2312"/>
          <w:kern w:val="0"/>
          <w:sz w:val="32"/>
          <w:szCs w:val="32"/>
          <w:highlight w:val="none"/>
        </w:rPr>
        <w:t>主要职责是：</w:t>
      </w:r>
    </w:p>
    <w:p w14:paraId="71105340">
      <w:pPr>
        <w:widowControl/>
        <w:spacing w:line="580" w:lineRule="exact"/>
        <w:ind w:firstLine="640" w:firstLineChars="200"/>
        <w:rPr>
          <w:rFonts w:hint="eastAsia" w:ascii="仿宋_GB2312" w:eastAsia="仿宋_GB2312" w:cs="仿宋_GB2312"/>
          <w:kern w:val="0"/>
          <w:sz w:val="32"/>
          <w:szCs w:val="32"/>
          <w:highlight w:val="none"/>
        </w:rPr>
      </w:pPr>
      <w:r>
        <w:rPr>
          <w:rFonts w:hint="eastAsia" w:ascii="仿宋_GB2312" w:eastAsia="仿宋_GB2312" w:cs="仿宋_GB2312"/>
          <w:kern w:val="0"/>
          <w:sz w:val="32"/>
          <w:szCs w:val="32"/>
          <w:highlight w:val="none"/>
        </w:rPr>
        <w:t>（一）贯彻落实国家、省、市关于城镇职工和城乡居民</w:t>
      </w:r>
      <w:r>
        <w:rPr>
          <w:rFonts w:hint="eastAsia" w:ascii="仿宋_GB2312" w:eastAsia="仿宋_GB2312" w:cs="仿宋_GB2312"/>
          <w:kern w:val="0"/>
          <w:sz w:val="32"/>
          <w:szCs w:val="32"/>
          <w:highlight w:val="none"/>
          <w:lang w:eastAsia="zh-CN"/>
        </w:rPr>
        <w:t>基本</w:t>
      </w:r>
      <w:r>
        <w:rPr>
          <w:rFonts w:hint="eastAsia" w:ascii="仿宋_GB2312" w:eastAsia="仿宋_GB2312" w:cs="仿宋_GB2312"/>
          <w:kern w:val="0"/>
          <w:sz w:val="32"/>
          <w:szCs w:val="32"/>
          <w:highlight w:val="none"/>
        </w:rPr>
        <w:t>医疗保险、生育保险、长期护理保险、医疗救助等医疗保障法规、规章以及政策、制度、规划和标准。按照政策规定拟订本辖区具体医疗保障政策，并组织实施。</w:t>
      </w:r>
    </w:p>
    <w:p w14:paraId="2C1EFC75">
      <w:pPr>
        <w:widowControl/>
        <w:spacing w:line="580" w:lineRule="exact"/>
        <w:ind w:firstLine="640" w:firstLineChars="200"/>
        <w:rPr>
          <w:rFonts w:hint="eastAsia" w:ascii="仿宋_GB2312" w:eastAsia="仿宋_GB2312" w:cs="仿宋_GB2312"/>
          <w:kern w:val="0"/>
          <w:sz w:val="32"/>
          <w:szCs w:val="32"/>
          <w:highlight w:val="none"/>
        </w:rPr>
      </w:pPr>
      <w:r>
        <w:rPr>
          <w:rFonts w:hint="eastAsia" w:ascii="仿宋_GB2312" w:eastAsia="仿宋_GB2312" w:cs="仿宋_GB2312"/>
          <w:kern w:val="0"/>
          <w:sz w:val="32"/>
          <w:szCs w:val="32"/>
          <w:highlight w:val="none"/>
        </w:rPr>
        <w:t>（二）贯彻落实国家、省、市医疗保障基金监督管理规定，建立健全医疗保障基金安全防控机制，建设维护网络信息系统和智能监控平台，按上级部署推进医疗保障基金支付方式改革，并组织实施。</w:t>
      </w:r>
    </w:p>
    <w:p w14:paraId="7927F47A">
      <w:pPr>
        <w:widowControl/>
        <w:spacing w:line="580" w:lineRule="exact"/>
        <w:ind w:firstLine="640" w:firstLineChars="200"/>
        <w:rPr>
          <w:rFonts w:hint="eastAsia" w:ascii="仿宋_GB2312" w:eastAsia="仿宋_GB2312" w:cs="仿宋_GB2312"/>
          <w:kern w:val="0"/>
          <w:sz w:val="32"/>
          <w:szCs w:val="32"/>
          <w:highlight w:val="none"/>
        </w:rPr>
      </w:pPr>
      <w:r>
        <w:rPr>
          <w:rFonts w:hint="eastAsia" w:ascii="仿宋_GB2312" w:eastAsia="仿宋_GB2312" w:cs="仿宋_GB2312"/>
          <w:kern w:val="0"/>
          <w:sz w:val="32"/>
          <w:szCs w:val="32"/>
          <w:highlight w:val="none"/>
        </w:rPr>
        <w:t>（三）贯彻落实石家庄市城镇职工、城乡居民参保筹资和保障相关待遇政策。贯彻落实长期护理保险制度及政策并组织实施。</w:t>
      </w:r>
    </w:p>
    <w:p w14:paraId="0497CF7E">
      <w:pPr>
        <w:widowControl/>
        <w:spacing w:line="580" w:lineRule="exact"/>
        <w:ind w:firstLine="640" w:firstLineChars="200"/>
        <w:rPr>
          <w:rFonts w:hint="eastAsia" w:ascii="仿宋_GB2312" w:eastAsia="仿宋_GB2312" w:cs="仿宋_GB2312"/>
          <w:kern w:val="0"/>
          <w:sz w:val="32"/>
          <w:szCs w:val="32"/>
          <w:highlight w:val="none"/>
        </w:rPr>
      </w:pPr>
      <w:r>
        <w:rPr>
          <w:rFonts w:hint="eastAsia" w:ascii="仿宋_GB2312" w:eastAsia="仿宋_GB2312" w:cs="仿宋_GB2312"/>
          <w:kern w:val="0"/>
          <w:sz w:val="32"/>
          <w:szCs w:val="32"/>
          <w:highlight w:val="none"/>
        </w:rPr>
        <w:t>（四）贯彻落实城乡统一的药品、医用耗材、医疗服务项目、医疗服务设施等医保支付标准。</w:t>
      </w:r>
    </w:p>
    <w:p w14:paraId="71006644">
      <w:pPr>
        <w:widowControl/>
        <w:spacing w:line="580" w:lineRule="exact"/>
        <w:ind w:firstLine="640" w:firstLineChars="200"/>
        <w:rPr>
          <w:rFonts w:hint="eastAsia" w:ascii="仿宋_GB2312" w:eastAsia="仿宋_GB2312" w:cs="仿宋_GB2312"/>
          <w:kern w:val="0"/>
          <w:sz w:val="32"/>
          <w:szCs w:val="32"/>
          <w:highlight w:val="none"/>
        </w:rPr>
      </w:pPr>
      <w:r>
        <w:rPr>
          <w:rFonts w:hint="eastAsia" w:ascii="仿宋_GB2312" w:eastAsia="仿宋_GB2312" w:cs="仿宋_GB2312"/>
          <w:kern w:val="0"/>
          <w:sz w:val="32"/>
          <w:szCs w:val="32"/>
          <w:highlight w:val="none"/>
        </w:rPr>
        <w:t>（五）按照政策规定制定和调整公立基层医疗机构医疗服务价格。贯彻落实上级医保支付医药服务价格政策。依法管理药品、医用耗材、医疗服务价格政策执行情况。组织实施药品、医用耗材、医疗服务价格政策执行情况。组织实施药品、医用耗材和医疗服务价格检测信息发布工作。</w:t>
      </w:r>
    </w:p>
    <w:p w14:paraId="76FB83C9">
      <w:pPr>
        <w:widowControl/>
        <w:spacing w:line="580" w:lineRule="exact"/>
        <w:ind w:firstLine="640" w:firstLineChars="200"/>
        <w:rPr>
          <w:rFonts w:hint="eastAsia" w:ascii="仿宋_GB2312" w:eastAsia="仿宋_GB2312" w:cs="仿宋_GB2312"/>
          <w:kern w:val="0"/>
          <w:sz w:val="32"/>
          <w:szCs w:val="32"/>
          <w:highlight w:val="none"/>
        </w:rPr>
      </w:pPr>
      <w:r>
        <w:rPr>
          <w:rFonts w:hint="eastAsia" w:ascii="仿宋_GB2312" w:eastAsia="仿宋_GB2312" w:cs="仿宋_GB2312"/>
          <w:kern w:val="0"/>
          <w:sz w:val="32"/>
          <w:szCs w:val="32"/>
          <w:highlight w:val="none"/>
        </w:rPr>
        <w:t>（六）贯彻落实石家庄市定点医疗机构协议和支付管理办法。建立健全医疗保障信用评价体系和信息披露制度，监督管理定点医药机构的医疗服务行为、医疗费用和医药价格，依法查处医疗保障领域违法违规行为。</w:t>
      </w:r>
    </w:p>
    <w:p w14:paraId="12B7FE25">
      <w:pPr>
        <w:widowControl/>
        <w:spacing w:line="580" w:lineRule="exact"/>
        <w:ind w:firstLine="640" w:firstLineChars="200"/>
        <w:rPr>
          <w:rFonts w:hint="eastAsia" w:ascii="仿宋_GB2312" w:eastAsia="仿宋_GB2312" w:cs="仿宋_GB2312"/>
          <w:kern w:val="0"/>
          <w:sz w:val="32"/>
          <w:szCs w:val="32"/>
          <w:highlight w:val="none"/>
        </w:rPr>
      </w:pPr>
      <w:r>
        <w:rPr>
          <w:rFonts w:hint="eastAsia" w:ascii="仿宋_GB2312" w:eastAsia="仿宋_GB2312" w:cs="仿宋_GB2312"/>
          <w:kern w:val="0"/>
          <w:sz w:val="32"/>
          <w:szCs w:val="32"/>
          <w:highlight w:val="none"/>
        </w:rPr>
        <w:t>（七）负责医疗保障经办管理、公共服务体系和信息化建设。贯彻落实异地就医管理和费用结算政策、医疗保障关系转移接续制度。</w:t>
      </w:r>
    </w:p>
    <w:p w14:paraId="2A916554">
      <w:pPr>
        <w:keepNext/>
        <w:keepLines/>
        <w:spacing w:line="580" w:lineRule="exact"/>
        <w:ind w:firstLine="640" w:firstLineChars="200"/>
        <w:jc w:val="left"/>
        <w:outlineLvl w:val="0"/>
        <w:rPr>
          <w:rFonts w:hint="eastAsia" w:ascii="仿宋_GB2312" w:eastAsia="仿宋_GB2312" w:cs="仿宋_GB2312"/>
          <w:kern w:val="0"/>
          <w:sz w:val="32"/>
          <w:szCs w:val="32"/>
          <w:highlight w:val="none"/>
        </w:rPr>
      </w:pPr>
      <w:r>
        <w:rPr>
          <w:rFonts w:hint="eastAsia" w:ascii="仿宋_GB2312" w:eastAsia="仿宋_GB2312" w:cs="仿宋_GB2312"/>
          <w:kern w:val="0"/>
          <w:sz w:val="32"/>
          <w:szCs w:val="32"/>
          <w:highlight w:val="none"/>
        </w:rPr>
        <w:t>（八）完成区委、区政府交办的其他任务。</w:t>
      </w:r>
    </w:p>
    <w:p w14:paraId="71A44E5C">
      <w:pPr>
        <w:keepNext/>
        <w:keepLines/>
        <w:spacing w:line="580" w:lineRule="exact"/>
        <w:ind w:firstLine="640" w:firstLineChars="200"/>
        <w:jc w:val="left"/>
        <w:outlineLvl w:val="0"/>
        <w:rPr>
          <w:rFonts w:hint="eastAsia" w:ascii="仿宋" w:hAnsi="仿宋" w:eastAsia="仿宋" w:cs="仿宋"/>
          <w:kern w:val="0"/>
          <w:sz w:val="32"/>
          <w:szCs w:val="32"/>
        </w:rPr>
      </w:pPr>
      <w:r>
        <w:rPr>
          <w:rFonts w:hint="eastAsia" w:ascii="仿宋" w:hAnsi="仿宋" w:eastAsia="仿宋" w:cs="仿宋"/>
          <w:kern w:val="0"/>
          <w:sz w:val="32"/>
          <w:szCs w:val="32"/>
          <w:lang w:val="en-US" w:eastAsia="zh-CN"/>
        </w:rPr>
        <w:t>2.</w:t>
      </w:r>
      <w:r>
        <w:rPr>
          <w:rFonts w:hint="eastAsia" w:ascii="仿宋" w:hAnsi="仿宋" w:eastAsia="仿宋" w:cs="仿宋"/>
          <w:kern w:val="0"/>
          <w:sz w:val="32"/>
          <w:szCs w:val="32"/>
        </w:rPr>
        <w:t>机构设置</w:t>
      </w:r>
    </w:p>
    <w:p w14:paraId="756C7956">
      <w:pPr>
        <w:spacing w:line="580" w:lineRule="exact"/>
        <w:ind w:firstLine="640" w:firstLineChars="200"/>
        <w:rPr>
          <w:rFonts w:ascii="仿宋_GB2312" w:eastAsia="仿宋_GB2312" w:cs="Times New Roman"/>
          <w:kern w:val="0"/>
          <w:sz w:val="32"/>
          <w:szCs w:val="32"/>
        </w:rPr>
      </w:pPr>
      <w:r>
        <w:rPr>
          <w:rFonts w:hint="eastAsia" w:ascii="仿宋_GB2312" w:eastAsia="仿宋_GB2312" w:cs="仿宋_GB2312"/>
          <w:kern w:val="0"/>
          <w:sz w:val="32"/>
          <w:szCs w:val="32"/>
        </w:rPr>
        <w:t>从决算编报单位构成看，纳入</w:t>
      </w:r>
      <w:r>
        <w:rPr>
          <w:rFonts w:ascii="仿宋_GB2312" w:eastAsia="仿宋_GB2312" w:cs="仿宋_GB2312"/>
          <w:kern w:val="0"/>
          <w:sz w:val="32"/>
          <w:szCs w:val="32"/>
        </w:rPr>
        <w:t>20</w:t>
      </w:r>
      <w:r>
        <w:rPr>
          <w:rFonts w:hint="eastAsia" w:ascii="仿宋_GB2312" w:eastAsia="仿宋_GB2312" w:cs="仿宋_GB2312"/>
          <w:kern w:val="0"/>
          <w:sz w:val="32"/>
          <w:szCs w:val="32"/>
          <w:lang w:val="en-US" w:eastAsia="zh-CN"/>
        </w:rPr>
        <w:t>25</w:t>
      </w:r>
      <w:r>
        <w:rPr>
          <w:rFonts w:hint="eastAsia" w:ascii="仿宋_GB2312" w:eastAsia="仿宋_GB2312" w:cs="仿宋_GB2312"/>
          <w:kern w:val="0"/>
          <w:sz w:val="32"/>
          <w:szCs w:val="32"/>
        </w:rPr>
        <w:t>年度本部门决算汇编范围的独立核算单位（以下简称“单位”）共</w:t>
      </w:r>
      <w:r>
        <w:rPr>
          <w:rFonts w:hint="eastAsia" w:ascii="仿宋_GB2312" w:eastAsia="仿宋_GB2312" w:cs="仿宋_GB2312"/>
          <w:kern w:val="0"/>
          <w:sz w:val="32"/>
          <w:szCs w:val="32"/>
          <w:lang w:val="en-US" w:eastAsia="zh-CN"/>
        </w:rPr>
        <w:t>2</w:t>
      </w:r>
      <w:r>
        <w:rPr>
          <w:rFonts w:hint="eastAsia" w:ascii="仿宋_GB2312" w:eastAsia="仿宋_GB2312" w:cs="仿宋_GB2312"/>
          <w:kern w:val="0"/>
          <w:sz w:val="32"/>
          <w:szCs w:val="32"/>
        </w:rPr>
        <w:t>个，具体情况如下：</w:t>
      </w:r>
    </w:p>
    <w:tbl>
      <w:tblPr>
        <w:tblStyle w:val="5"/>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61B83F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4DCE23DB">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序号</w:t>
            </w:r>
          </w:p>
        </w:tc>
        <w:tc>
          <w:tcPr>
            <w:tcW w:w="3485" w:type="dxa"/>
            <w:vAlign w:val="center"/>
          </w:tcPr>
          <w:p w14:paraId="78BEDA3D">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单位名称</w:t>
            </w:r>
          </w:p>
        </w:tc>
        <w:tc>
          <w:tcPr>
            <w:tcW w:w="2445" w:type="dxa"/>
            <w:vAlign w:val="center"/>
          </w:tcPr>
          <w:p w14:paraId="3A724C50">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单位基本性质</w:t>
            </w:r>
          </w:p>
        </w:tc>
        <w:tc>
          <w:tcPr>
            <w:tcW w:w="2665" w:type="dxa"/>
            <w:vAlign w:val="center"/>
          </w:tcPr>
          <w:p w14:paraId="5E6EF0D5">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经费形式</w:t>
            </w:r>
          </w:p>
        </w:tc>
      </w:tr>
      <w:tr w14:paraId="6E12EF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vAlign w:val="top"/>
          </w:tcPr>
          <w:p w14:paraId="6EFD08F8">
            <w:pPr>
              <w:spacing w:line="560" w:lineRule="exact"/>
              <w:jc w:val="center"/>
              <w:rPr>
                <w:rFonts w:ascii="仿宋_GB2312" w:eastAsia="仿宋_GB2312" w:cs="仿宋_GB2312"/>
                <w:kern w:val="0"/>
                <w:sz w:val="28"/>
                <w:szCs w:val="28"/>
              </w:rPr>
            </w:pPr>
            <w:r>
              <w:rPr>
                <w:rFonts w:hint="eastAsia" w:ascii="仿宋_GB2312" w:hAnsi="Calibri" w:eastAsia="仿宋_GB2312" w:cs="ArialUnicodeMS"/>
                <w:kern w:val="0"/>
                <w:sz w:val="28"/>
                <w:szCs w:val="28"/>
              </w:rPr>
              <w:t>1</w:t>
            </w:r>
          </w:p>
        </w:tc>
        <w:tc>
          <w:tcPr>
            <w:tcW w:w="3485" w:type="dxa"/>
            <w:vAlign w:val="top"/>
          </w:tcPr>
          <w:p w14:paraId="4230DB69">
            <w:pPr>
              <w:spacing w:line="560" w:lineRule="exact"/>
              <w:rPr>
                <w:rFonts w:ascii="仿宋_GB2312" w:eastAsia="仿宋_GB2312" w:cs="仿宋_GB2312"/>
                <w:kern w:val="0"/>
                <w:sz w:val="28"/>
                <w:szCs w:val="28"/>
              </w:rPr>
            </w:pPr>
            <w:r>
              <w:rPr>
                <w:rFonts w:hint="eastAsia" w:ascii="仿宋_GB2312" w:hAnsi="Calibri" w:eastAsia="仿宋_GB2312" w:cs="ArialUnicodeMS"/>
                <w:kern w:val="0"/>
                <w:sz w:val="28"/>
                <w:szCs w:val="28"/>
                <w:lang w:eastAsia="zh-CN"/>
              </w:rPr>
              <w:t>石家庄市鹿泉区医疗保障局</w:t>
            </w:r>
            <w:r>
              <w:rPr>
                <w:rFonts w:hint="eastAsia" w:ascii="仿宋_GB2312" w:hAnsi="Calibri" w:eastAsia="仿宋_GB2312" w:cs="ArialUnicodeMS"/>
                <w:kern w:val="0"/>
                <w:sz w:val="28"/>
                <w:szCs w:val="28"/>
              </w:rPr>
              <w:t>(本级)</w:t>
            </w:r>
          </w:p>
        </w:tc>
        <w:tc>
          <w:tcPr>
            <w:tcW w:w="2445" w:type="dxa"/>
            <w:vAlign w:val="top"/>
          </w:tcPr>
          <w:p w14:paraId="13F0096B">
            <w:pPr>
              <w:spacing w:line="560" w:lineRule="exact"/>
              <w:jc w:val="center"/>
              <w:rPr>
                <w:rFonts w:ascii="仿宋_GB2312" w:eastAsia="仿宋_GB2312" w:cs="Times New Roman"/>
                <w:kern w:val="0"/>
                <w:sz w:val="28"/>
                <w:szCs w:val="28"/>
              </w:rPr>
            </w:pPr>
            <w:r>
              <w:rPr>
                <w:rFonts w:hint="eastAsia" w:ascii="仿宋_GB2312" w:hAnsi="Calibri" w:eastAsia="仿宋_GB2312" w:cs="ArialUnicodeMS"/>
                <w:kern w:val="0"/>
                <w:sz w:val="28"/>
                <w:szCs w:val="28"/>
                <w:lang w:eastAsia="zh-CN"/>
              </w:rPr>
              <w:t>行政单位</w:t>
            </w:r>
          </w:p>
        </w:tc>
        <w:tc>
          <w:tcPr>
            <w:tcW w:w="2665" w:type="dxa"/>
            <w:vAlign w:val="top"/>
          </w:tcPr>
          <w:p w14:paraId="42F20942">
            <w:pPr>
              <w:spacing w:line="560" w:lineRule="exact"/>
              <w:jc w:val="center"/>
              <w:rPr>
                <w:rFonts w:ascii="仿宋_GB2312" w:eastAsia="仿宋_GB2312" w:cs="Times New Roman"/>
                <w:kern w:val="0"/>
                <w:sz w:val="28"/>
                <w:szCs w:val="28"/>
              </w:rPr>
            </w:pPr>
            <w:r>
              <w:rPr>
                <w:rFonts w:hint="eastAsia" w:ascii="仿宋_GB2312" w:hAnsi="Calibri" w:eastAsia="仿宋_GB2312" w:cs="ArialUnicodeMS"/>
                <w:kern w:val="0"/>
                <w:sz w:val="28"/>
                <w:szCs w:val="28"/>
                <w:lang w:eastAsia="zh-CN"/>
              </w:rPr>
              <w:t>财政拨款</w:t>
            </w:r>
          </w:p>
        </w:tc>
      </w:tr>
      <w:tr w14:paraId="694D35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vAlign w:val="top"/>
          </w:tcPr>
          <w:p w14:paraId="7EBAF666">
            <w:pPr>
              <w:spacing w:line="560" w:lineRule="exact"/>
              <w:jc w:val="center"/>
              <w:rPr>
                <w:rFonts w:ascii="仿宋_GB2312" w:eastAsia="仿宋_GB2312" w:cs="仿宋_GB2312"/>
                <w:kern w:val="0"/>
                <w:sz w:val="28"/>
                <w:szCs w:val="28"/>
              </w:rPr>
            </w:pPr>
            <w:r>
              <w:rPr>
                <w:rFonts w:hint="eastAsia" w:ascii="仿宋_GB2312" w:hAnsi="Calibri" w:eastAsia="仿宋_GB2312" w:cs="ArialUnicodeMS"/>
                <w:kern w:val="0"/>
                <w:sz w:val="28"/>
                <w:szCs w:val="28"/>
              </w:rPr>
              <w:t>2</w:t>
            </w:r>
          </w:p>
        </w:tc>
        <w:tc>
          <w:tcPr>
            <w:tcW w:w="3485" w:type="dxa"/>
            <w:vAlign w:val="top"/>
          </w:tcPr>
          <w:p w14:paraId="32FF18AD">
            <w:pPr>
              <w:spacing w:line="560" w:lineRule="exact"/>
              <w:rPr>
                <w:rFonts w:ascii="仿宋_GB2312" w:eastAsia="仿宋_GB2312" w:cs="Times New Roman"/>
                <w:kern w:val="0"/>
                <w:sz w:val="28"/>
                <w:szCs w:val="28"/>
              </w:rPr>
            </w:pPr>
            <w:r>
              <w:rPr>
                <w:rFonts w:hint="eastAsia" w:ascii="仿宋_GB2312" w:hAnsi="Calibri" w:eastAsia="仿宋_GB2312" w:cs="ArialUnicodeMS"/>
                <w:kern w:val="0"/>
                <w:sz w:val="28"/>
                <w:szCs w:val="28"/>
              </w:rPr>
              <w:t>石家庄市鹿泉区医疗保险管理中心</w:t>
            </w:r>
          </w:p>
        </w:tc>
        <w:tc>
          <w:tcPr>
            <w:tcW w:w="2445" w:type="dxa"/>
            <w:vAlign w:val="top"/>
          </w:tcPr>
          <w:p w14:paraId="7AFACDD6">
            <w:pPr>
              <w:spacing w:line="560" w:lineRule="exact"/>
              <w:jc w:val="center"/>
              <w:rPr>
                <w:rFonts w:ascii="仿宋_GB2312" w:eastAsia="仿宋_GB2312" w:cs="Times New Roman"/>
                <w:kern w:val="0"/>
                <w:sz w:val="28"/>
                <w:szCs w:val="28"/>
              </w:rPr>
            </w:pPr>
            <w:r>
              <w:rPr>
                <w:rFonts w:hint="eastAsia" w:ascii="仿宋_GB2312" w:hAnsi="Calibri" w:eastAsia="仿宋_GB2312" w:cs="ArialUnicodeMS"/>
                <w:kern w:val="0"/>
                <w:sz w:val="28"/>
                <w:szCs w:val="28"/>
                <w:lang w:eastAsia="zh-CN"/>
              </w:rPr>
              <w:t>财政补助事业单位</w:t>
            </w:r>
          </w:p>
        </w:tc>
        <w:tc>
          <w:tcPr>
            <w:tcW w:w="2665" w:type="dxa"/>
            <w:vAlign w:val="top"/>
          </w:tcPr>
          <w:p w14:paraId="23267188">
            <w:pPr>
              <w:spacing w:line="560" w:lineRule="exact"/>
              <w:jc w:val="center"/>
              <w:rPr>
                <w:rFonts w:ascii="仿宋_GB2312" w:eastAsia="仿宋_GB2312" w:cs="Times New Roman"/>
                <w:kern w:val="0"/>
                <w:sz w:val="28"/>
                <w:szCs w:val="28"/>
              </w:rPr>
            </w:pPr>
            <w:r>
              <w:rPr>
                <w:rFonts w:hint="eastAsia" w:ascii="仿宋_GB2312" w:hAnsi="Calibri" w:eastAsia="仿宋_GB2312" w:cs="ArialUnicodeMS"/>
                <w:kern w:val="0"/>
                <w:sz w:val="28"/>
                <w:szCs w:val="28"/>
                <w:lang w:eastAsia="zh-CN"/>
              </w:rPr>
              <w:t>财政拨款</w:t>
            </w:r>
          </w:p>
        </w:tc>
      </w:tr>
      <w:tr w14:paraId="1F706C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left w:val="nil"/>
              <w:bottom w:val="nil"/>
              <w:right w:val="nil"/>
            </w:tcBorders>
          </w:tcPr>
          <w:p w14:paraId="3B8FA462">
            <w:pPr>
              <w:spacing w:line="560" w:lineRule="exact"/>
              <w:jc w:val="left"/>
              <w:rPr>
                <w:rFonts w:ascii="仿宋_GB2312" w:eastAsia="仿宋_GB2312" w:cs="Times New Roman"/>
                <w:kern w:val="0"/>
                <w:sz w:val="28"/>
                <w:szCs w:val="28"/>
              </w:rPr>
            </w:pPr>
            <w:r>
              <w:rPr>
                <w:rFonts w:hint="eastAsia" w:ascii="仿宋_GB2312" w:eastAsia="仿宋_GB2312" w:cs="仿宋_GB2312"/>
                <w:kern w:val="0"/>
                <w:sz w:val="28"/>
                <w:szCs w:val="28"/>
              </w:rPr>
              <w:t>注：</w:t>
            </w:r>
            <w:r>
              <w:rPr>
                <w:rFonts w:ascii="仿宋_GB2312" w:eastAsia="仿宋_GB2312" w:cs="仿宋_GB2312"/>
                <w:kern w:val="0"/>
                <w:sz w:val="28"/>
                <w:szCs w:val="28"/>
              </w:rPr>
              <w:t>1</w:t>
            </w:r>
            <w:r>
              <w:rPr>
                <w:rFonts w:hint="eastAsia" w:ascii="仿宋_GB2312" w:eastAsia="仿宋_GB2312" w:cs="仿宋_GB2312"/>
                <w:kern w:val="0"/>
                <w:sz w:val="28"/>
                <w:szCs w:val="28"/>
              </w:rPr>
              <w:t>、单位基本性质分为行政单位、参公事业单位、财政补助事业单位、经费自理事业单位四类。</w:t>
            </w:r>
          </w:p>
          <w:p w14:paraId="60C48F05">
            <w:pPr>
              <w:spacing w:line="560" w:lineRule="exact"/>
              <w:ind w:firstLine="560" w:firstLineChars="200"/>
              <w:jc w:val="left"/>
              <w:rPr>
                <w:rFonts w:ascii="仿宋_GB2312" w:eastAsia="仿宋_GB2312" w:cs="Times New Roman"/>
                <w:kern w:val="0"/>
                <w:sz w:val="28"/>
                <w:szCs w:val="28"/>
              </w:rPr>
            </w:pPr>
            <w:r>
              <w:rPr>
                <w:rFonts w:ascii="仿宋_GB2312" w:eastAsia="仿宋_GB2312" w:cs="仿宋_GB2312"/>
                <w:kern w:val="0"/>
                <w:sz w:val="28"/>
                <w:szCs w:val="28"/>
              </w:rPr>
              <w:t>2</w:t>
            </w:r>
            <w:r>
              <w:rPr>
                <w:rFonts w:hint="eastAsia" w:ascii="仿宋_GB2312" w:eastAsia="仿宋_GB2312" w:cs="仿宋_GB2312"/>
                <w:kern w:val="0"/>
                <w:sz w:val="28"/>
                <w:szCs w:val="28"/>
              </w:rPr>
              <w:t>、经费形式分为财政拨款、财政性资金基本保证、财政性资金定额或定项补助、财政性资金零补助四类。</w:t>
            </w:r>
          </w:p>
        </w:tc>
      </w:tr>
    </w:tbl>
    <w:p w14:paraId="1E6F9504">
      <w:pPr>
        <w:widowControl w:val="0"/>
        <w:numPr>
          <w:ilvl w:val="0"/>
          <w:numId w:val="1"/>
        </w:numPr>
        <w:wordWrap/>
        <w:adjustRightInd w:val="0"/>
        <w:snapToGrid w:val="0"/>
        <w:spacing w:line="560" w:lineRule="exact"/>
        <w:ind w:left="0" w:leftChars="0" w:right="0" w:firstLine="640" w:firstLineChars="200"/>
        <w:textAlignment w:val="auto"/>
        <w:outlineLvl w:val="9"/>
        <w:rPr>
          <w:rFonts w:hint="eastAsia" w:ascii="仿宋" w:hAnsi="仿宋" w:eastAsia="仿宋" w:cs="楷体_GB2312"/>
          <w:b w:val="0"/>
          <w:bCs w:val="0"/>
          <w:sz w:val="32"/>
          <w:szCs w:val="32"/>
          <w:lang w:eastAsia="zh-CN"/>
        </w:rPr>
      </w:pPr>
      <w:r>
        <w:rPr>
          <w:rFonts w:hint="eastAsia" w:ascii="仿宋" w:hAnsi="仿宋" w:eastAsia="仿宋" w:cs="楷体_GB2312"/>
          <w:b w:val="0"/>
          <w:bCs w:val="0"/>
          <w:sz w:val="32"/>
          <w:szCs w:val="32"/>
          <w:lang w:eastAsia="zh-CN"/>
        </w:rPr>
        <w:t>部门收支预决算情况</w:t>
      </w:r>
    </w:p>
    <w:p w14:paraId="027B5F4E">
      <w:pPr>
        <w:widowControl w:val="0"/>
        <w:numPr>
          <w:ilvl w:val="0"/>
          <w:numId w:val="0"/>
        </w:numPr>
        <w:wordWrap/>
        <w:adjustRightInd w:val="0"/>
        <w:snapToGrid w:val="0"/>
        <w:spacing w:line="560" w:lineRule="exact"/>
        <w:ind w:right="0" w:rightChars="0" w:firstLine="640" w:firstLineChars="200"/>
        <w:textAlignment w:val="auto"/>
        <w:outlineLvl w:val="9"/>
        <w:rPr>
          <w:rFonts w:hint="default" w:ascii="黑体" w:hAnsi="黑体" w:eastAsia="仿宋_GB2312"/>
          <w:sz w:val="32"/>
          <w:szCs w:val="32"/>
          <w:highlight w:val="none"/>
          <w:lang w:val="en-US" w:eastAsia="zh-CN"/>
        </w:rPr>
      </w:pPr>
      <w:r>
        <w:rPr>
          <w:rFonts w:hint="eastAsia" w:ascii="仿宋_GB2312" w:hAnsi="Times New Roman" w:eastAsia="仿宋_GB2312" w:cs="仿宋_GB2312"/>
          <w:sz w:val="32"/>
          <w:szCs w:val="32"/>
          <w:highlight w:val="none"/>
        </w:rPr>
        <w:t>本部门</w:t>
      </w:r>
      <w:r>
        <w:rPr>
          <w:rFonts w:ascii="仿宋_GB2312" w:hAnsi="Times New Roman" w:eastAsia="仿宋_GB2312" w:cs="仿宋_GB2312"/>
          <w:sz w:val="32"/>
          <w:szCs w:val="32"/>
          <w:highlight w:val="none"/>
        </w:rPr>
        <w:t>20</w:t>
      </w:r>
      <w:r>
        <w:rPr>
          <w:rFonts w:hint="eastAsia" w:ascii="仿宋_GB2312" w:hAnsi="Times New Roman" w:eastAsia="仿宋_GB2312" w:cs="仿宋_GB2312"/>
          <w:sz w:val="32"/>
          <w:szCs w:val="32"/>
          <w:highlight w:val="none"/>
          <w:lang w:val="en-US" w:eastAsia="zh-CN"/>
        </w:rPr>
        <w:t>25</w:t>
      </w:r>
      <w:r>
        <w:rPr>
          <w:rFonts w:hint="eastAsia" w:ascii="仿宋_GB2312" w:hAnsi="Times New Roman" w:eastAsia="仿宋_GB2312" w:cs="仿宋_GB2312"/>
          <w:sz w:val="32"/>
          <w:szCs w:val="32"/>
          <w:highlight w:val="none"/>
        </w:rPr>
        <w:t>年度收、支总计（含结转和结余</w:t>
      </w:r>
      <w:r>
        <w:rPr>
          <w:rFonts w:hint="eastAsia" w:ascii="仿宋_GB2312" w:hAnsi="Times New Roman" w:eastAsia="仿宋_GB2312" w:cs="仿宋_GB2312"/>
          <w:sz w:val="32"/>
          <w:szCs w:val="32"/>
          <w:highlight w:val="none"/>
          <w:lang w:eastAsia="zh-CN"/>
        </w:rPr>
        <w:t>）</w:t>
      </w:r>
      <w:r>
        <w:rPr>
          <w:rFonts w:hint="eastAsia" w:ascii="仿宋_GB2312" w:hAnsi="Times New Roman" w:eastAsia="仿宋_GB2312" w:cs="仿宋_GB2312"/>
          <w:sz w:val="32"/>
          <w:szCs w:val="32"/>
          <w:highlight w:val="none"/>
          <w:lang w:val="en-US" w:eastAsia="zh-CN"/>
        </w:rPr>
        <w:t>5858.65万元</w:t>
      </w:r>
      <w:r>
        <w:rPr>
          <w:rFonts w:hint="eastAsia" w:ascii="仿宋_GB2312" w:hAnsi="Times New Roman" w:eastAsia="仿宋_GB2312" w:cs="仿宋_GB2312"/>
          <w:sz w:val="32"/>
          <w:szCs w:val="32"/>
          <w:highlight w:val="none"/>
        </w:rPr>
        <w:t>。与</w:t>
      </w:r>
      <w:r>
        <w:rPr>
          <w:rFonts w:ascii="仿宋_GB2312" w:hAnsi="Times New Roman" w:eastAsia="仿宋_GB2312" w:cs="仿宋_GB2312"/>
          <w:sz w:val="32"/>
          <w:szCs w:val="32"/>
          <w:highlight w:val="none"/>
        </w:rPr>
        <w:t>202</w:t>
      </w:r>
      <w:r>
        <w:rPr>
          <w:rFonts w:hint="eastAsia" w:ascii="仿宋_GB2312" w:hAnsi="Times New Roman" w:eastAsia="仿宋_GB2312" w:cs="仿宋_GB2312"/>
          <w:sz w:val="32"/>
          <w:szCs w:val="32"/>
          <w:highlight w:val="none"/>
          <w:lang w:val="en-US" w:eastAsia="zh-CN"/>
        </w:rPr>
        <w:t>4</w:t>
      </w:r>
      <w:r>
        <w:rPr>
          <w:rFonts w:hint="eastAsia" w:ascii="仿宋_GB2312" w:hAnsi="Times New Roman" w:eastAsia="仿宋_GB2312" w:cs="仿宋_GB2312"/>
          <w:sz w:val="32"/>
          <w:szCs w:val="32"/>
          <w:highlight w:val="none"/>
        </w:rPr>
        <w:t>年度决算相比，收支</w:t>
      </w:r>
      <w:r>
        <w:rPr>
          <w:rFonts w:hint="eastAsia" w:ascii="仿宋_GB2312" w:hAnsi="Times New Roman" w:eastAsia="仿宋_GB2312" w:cs="仿宋_GB2312"/>
          <w:sz w:val="32"/>
          <w:szCs w:val="32"/>
          <w:highlight w:val="none"/>
          <w:lang w:eastAsia="zh-CN"/>
        </w:rPr>
        <w:t>共</w:t>
      </w:r>
      <w:r>
        <w:rPr>
          <w:rFonts w:hint="eastAsia" w:ascii="仿宋_GB2312" w:hAnsi="Times New Roman" w:eastAsia="仿宋_GB2312" w:cs="仿宋_GB2312"/>
          <w:sz w:val="32"/>
          <w:szCs w:val="32"/>
          <w:highlight w:val="none"/>
          <w:lang w:val="en-US" w:eastAsia="zh-CN"/>
        </w:rPr>
        <w:t>增加53.5</w:t>
      </w:r>
      <w:r>
        <w:rPr>
          <w:rFonts w:hint="eastAsia" w:ascii="仿宋_GB2312" w:hAnsi="Times New Roman" w:eastAsia="仿宋_GB2312" w:cs="仿宋_GB2312"/>
          <w:sz w:val="32"/>
          <w:szCs w:val="32"/>
          <w:highlight w:val="none"/>
        </w:rPr>
        <w:t>万元，</w:t>
      </w:r>
      <w:r>
        <w:rPr>
          <w:rFonts w:hint="eastAsia" w:ascii="仿宋_GB2312" w:hAnsi="Times New Roman" w:eastAsia="仿宋_GB2312" w:cs="仿宋_GB2312"/>
          <w:sz w:val="32"/>
          <w:szCs w:val="32"/>
          <w:highlight w:val="none"/>
          <w:lang w:val="en-US" w:eastAsia="zh-CN"/>
        </w:rPr>
        <w:t>增加0.92</w:t>
      </w:r>
      <w:r>
        <w:rPr>
          <w:rFonts w:ascii="仿宋_GB2312" w:hAnsi="Times New Roman" w:eastAsia="仿宋_GB2312" w:cs="仿宋_GB2312"/>
          <w:sz w:val="32"/>
          <w:szCs w:val="32"/>
          <w:highlight w:val="none"/>
        </w:rPr>
        <w:t>%</w:t>
      </w:r>
      <w:r>
        <w:rPr>
          <w:rFonts w:hint="eastAsia" w:ascii="仿宋_GB2312" w:hAnsi="Times New Roman" w:eastAsia="仿宋_GB2312" w:cs="仿宋_GB2312"/>
          <w:sz w:val="32"/>
          <w:szCs w:val="32"/>
          <w:highlight w:val="none"/>
        </w:rPr>
        <w:t>，主要原因</w:t>
      </w:r>
      <w:r>
        <w:rPr>
          <w:rFonts w:hint="eastAsia" w:ascii="仿宋_GB2312" w:hAnsi="Times New Roman" w:eastAsia="仿宋_GB2312" w:cs="仿宋_GB2312"/>
          <w:sz w:val="32"/>
          <w:szCs w:val="32"/>
          <w:highlight w:val="none"/>
          <w:lang w:eastAsia="zh-CN"/>
        </w:rPr>
        <w:t>是</w:t>
      </w:r>
      <w:r>
        <w:rPr>
          <w:rFonts w:hint="eastAsia" w:ascii="仿宋_GB2312" w:hAnsi="Times New Roman" w:eastAsia="仿宋_GB2312" w:cs="仿宋_GB2312"/>
          <w:sz w:val="32"/>
          <w:szCs w:val="32"/>
          <w:highlight w:val="none"/>
          <w:lang w:val="en-US" w:eastAsia="zh-CN"/>
        </w:rPr>
        <w:t>城乡居民医保资金区级补助</w:t>
      </w:r>
      <w:r>
        <w:rPr>
          <w:rFonts w:hint="eastAsia" w:ascii="仿宋_GB2312" w:hAnsi="仿宋_GB2312" w:eastAsia="仿宋_GB2312" w:cs="仿宋_GB2312"/>
          <w:b w:val="0"/>
          <w:bCs/>
          <w:sz w:val="32"/>
          <w:szCs w:val="32"/>
          <w:lang w:eastAsia="zh-CN"/>
        </w:rPr>
        <w:t>资金</w:t>
      </w:r>
      <w:r>
        <w:rPr>
          <w:rFonts w:hint="eastAsia" w:ascii="仿宋_GB2312" w:hAnsi="Times New Roman" w:eastAsia="仿宋_GB2312" w:cs="仿宋_GB2312"/>
          <w:sz w:val="32"/>
          <w:szCs w:val="32"/>
          <w:highlight w:val="none"/>
          <w:lang w:val="en-US" w:eastAsia="zh-CN"/>
        </w:rPr>
        <w:t>增加。</w:t>
      </w:r>
    </w:p>
    <w:p w14:paraId="469CFBF0">
      <w:pPr>
        <w:numPr>
          <w:ilvl w:val="0"/>
          <w:numId w:val="2"/>
        </w:numPr>
        <w:adjustRightInd w:val="0"/>
        <w:snapToGrid w:val="0"/>
        <w:spacing w:line="560" w:lineRule="exact"/>
        <w:ind w:firstLine="640" w:firstLineChars="200"/>
        <w:rPr>
          <w:rFonts w:hint="eastAsia" w:ascii="黑体" w:hAnsi="黑体" w:eastAsia="黑体"/>
          <w:sz w:val="32"/>
          <w:szCs w:val="32"/>
        </w:rPr>
      </w:pPr>
      <w:r>
        <w:rPr>
          <w:rFonts w:hint="eastAsia" w:ascii="黑体" w:hAnsi="黑体" w:eastAsia="黑体"/>
          <w:sz w:val="32"/>
          <w:szCs w:val="32"/>
        </w:rPr>
        <w:t>自评工作开展情况</w:t>
      </w:r>
    </w:p>
    <w:p w14:paraId="79E03D36">
      <w:pPr>
        <w:widowControl w:val="0"/>
        <w:wordWrap/>
        <w:spacing w:line="560" w:lineRule="exact"/>
        <w:ind w:right="0" w:firstLine="321" w:firstLineChars="100"/>
        <w:textAlignment w:val="auto"/>
        <w:outlineLvl w:val="9"/>
        <w:rPr>
          <w:rFonts w:hint="eastAsia" w:ascii="仿宋_GB2312" w:hAnsi="仿宋_GB2312" w:eastAsia="仿宋_GB2312" w:cs="仿宋_GB2312"/>
          <w:sz w:val="32"/>
          <w:szCs w:val="32"/>
        </w:rPr>
      </w:pPr>
      <w:r>
        <w:rPr>
          <w:rFonts w:hint="eastAsia" w:ascii="仿宋" w:hAnsi="仿宋" w:eastAsia="仿宋" w:cs="楷体_GB2312"/>
          <w:b/>
          <w:bCs/>
          <w:sz w:val="32"/>
          <w:szCs w:val="32"/>
        </w:rPr>
        <w:t xml:space="preserve"> </w:t>
      </w:r>
      <w:r>
        <w:rPr>
          <w:rFonts w:hint="eastAsia" w:ascii="仿宋_GB2312" w:hAnsi="仿宋_GB2312" w:eastAsia="仿宋_GB2312" w:cs="仿宋_GB2312"/>
          <w:sz w:val="32"/>
          <w:szCs w:val="32"/>
        </w:rPr>
        <w:t>（一）项目概况</w:t>
      </w:r>
    </w:p>
    <w:p w14:paraId="64200926">
      <w:pPr>
        <w:widowControl w:val="0"/>
        <w:numPr>
          <w:ilvl w:val="0"/>
          <w:numId w:val="0"/>
        </w:numPr>
        <w:wordWrap/>
        <w:spacing w:line="560" w:lineRule="exact"/>
        <w:ind w:left="640" w:leftChars="0" w:right="0" w:rightChars="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1、2025年局涉军派遣经费</w:t>
      </w:r>
    </w:p>
    <w:p w14:paraId="03CF08C2">
      <w:pPr>
        <w:widowControl w:val="0"/>
        <w:numPr>
          <w:ilvl w:val="0"/>
          <w:numId w:val="0"/>
        </w:numPr>
        <w:wordWrap/>
        <w:spacing w:line="560" w:lineRule="exact"/>
        <w:ind w:right="0" w:rightChars="0" w:firstLine="640" w:firstLineChars="200"/>
        <w:textAlignment w:val="auto"/>
        <w:outlineLvl w:val="9"/>
        <w:rPr>
          <w:rFonts w:hint="default" w:ascii="仿宋_GB2312" w:hAnsi="仿宋_GB2312" w:eastAsia="仿宋_GB2312" w:cs="仿宋_GB2312"/>
          <w:sz w:val="32"/>
          <w:szCs w:val="32"/>
          <w:highlight w:val="none"/>
          <w:lang w:val="en-US" w:eastAsia="zh-CN"/>
        </w:rPr>
      </w:pPr>
      <w:r>
        <w:rPr>
          <w:rFonts w:hint="default" w:ascii="仿宋_GB2312" w:hAnsi="仿宋_GB2312" w:eastAsia="仿宋_GB2312" w:cs="仿宋_GB2312"/>
          <w:sz w:val="32"/>
          <w:szCs w:val="32"/>
          <w:lang w:val="en-US" w:eastAsia="zh-CN"/>
        </w:rPr>
        <w:t>根据《鹿泉区关于进一步做好部分军队退役人员帮扶救助的若干措施》鹿文办【2017】31号文件第二条第一款“实行公益岗托底安置”我单位共有2名退役军人，</w:t>
      </w:r>
      <w:r>
        <w:rPr>
          <w:rFonts w:hint="eastAsia" w:ascii="仿宋_GB2312" w:hAnsi="仿宋_GB2312" w:eastAsia="仿宋_GB2312" w:cs="仿宋_GB2312"/>
          <w:sz w:val="32"/>
          <w:szCs w:val="32"/>
          <w:lang w:val="en-US" w:eastAsia="zh-CN"/>
        </w:rPr>
        <w:t>资金需求</w:t>
      </w:r>
      <w:r>
        <w:rPr>
          <w:rFonts w:hint="default" w:ascii="仿宋_GB2312" w:hAnsi="仿宋_GB2312" w:eastAsia="仿宋_GB2312" w:cs="仿宋_GB2312"/>
          <w:sz w:val="32"/>
          <w:szCs w:val="32"/>
          <w:lang w:val="en-US" w:eastAsia="zh-CN"/>
        </w:rPr>
        <w:t>共计</w:t>
      </w:r>
      <w:r>
        <w:rPr>
          <w:rFonts w:hint="eastAsia" w:ascii="仿宋_GB2312" w:hAnsi="仿宋_GB2312" w:eastAsia="仿宋_GB2312" w:cs="仿宋_GB2312"/>
          <w:sz w:val="32"/>
          <w:szCs w:val="32"/>
          <w:highlight w:val="none"/>
          <w:lang w:val="en-US" w:eastAsia="zh-CN"/>
        </w:rPr>
        <w:t>10.81</w:t>
      </w:r>
      <w:r>
        <w:rPr>
          <w:rFonts w:hint="default" w:ascii="仿宋_GB2312" w:hAnsi="仿宋_GB2312" w:eastAsia="仿宋_GB2312" w:cs="仿宋_GB2312"/>
          <w:sz w:val="32"/>
          <w:szCs w:val="32"/>
          <w:highlight w:val="none"/>
          <w:lang w:val="en-US" w:eastAsia="zh-CN"/>
        </w:rPr>
        <w:t>万元。</w:t>
      </w:r>
    </w:p>
    <w:p w14:paraId="5D8202B5">
      <w:pPr>
        <w:widowControl w:val="0"/>
        <w:numPr>
          <w:ilvl w:val="0"/>
          <w:numId w:val="0"/>
        </w:numPr>
        <w:wordWrap/>
        <w:spacing w:line="560" w:lineRule="exact"/>
        <w:ind w:right="0" w:righ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2、2025年监督检查专项经费</w:t>
      </w:r>
    </w:p>
    <w:p w14:paraId="16C09F76">
      <w:pPr>
        <w:widowControl w:val="0"/>
        <w:numPr>
          <w:ilvl w:val="0"/>
          <w:numId w:val="0"/>
        </w:numPr>
        <w:wordWrap/>
        <w:spacing w:line="560" w:lineRule="exact"/>
        <w:ind w:right="0" w:rightChars="0" w:firstLine="640" w:firstLineChars="200"/>
        <w:textAlignment w:val="auto"/>
        <w:outlineLvl w:val="9"/>
        <w:rPr>
          <w:rFonts w:hint="default" w:ascii="仿宋_GB2312" w:hAnsi="仿宋_GB2312" w:eastAsia="仿宋_GB2312" w:cs="仿宋_GB2312"/>
          <w:sz w:val="32"/>
          <w:szCs w:val="32"/>
          <w:lang w:val="en-US" w:eastAsia="zh-CN"/>
        </w:rPr>
      </w:pPr>
      <w:r>
        <w:rPr>
          <w:rFonts w:hint="default" w:ascii="仿宋_GB2312" w:hAnsi="仿宋_GB2312" w:eastAsia="仿宋_GB2312" w:cs="仿宋_GB2312"/>
          <w:sz w:val="32"/>
          <w:szCs w:val="32"/>
          <w:lang w:val="en-US" w:eastAsia="zh-CN"/>
        </w:rPr>
        <w:t>根据鹿医保字【2022】6号文件区领导批示精神，为更好的贯彻落实打击欺诈骗保行为，提高人民群众的幸福感、获得感。共需检查费用</w:t>
      </w:r>
      <w:r>
        <w:rPr>
          <w:rFonts w:hint="eastAsia" w:ascii="仿宋_GB2312" w:hAnsi="仿宋_GB2312" w:eastAsia="仿宋_GB2312" w:cs="仿宋_GB2312"/>
          <w:sz w:val="32"/>
          <w:szCs w:val="32"/>
          <w:lang w:val="en-US" w:eastAsia="zh-CN"/>
        </w:rPr>
        <w:t>3.05</w:t>
      </w:r>
      <w:r>
        <w:rPr>
          <w:rFonts w:hint="default" w:ascii="仿宋_GB2312" w:hAnsi="仿宋_GB2312" w:eastAsia="仿宋_GB2312" w:cs="仿宋_GB2312"/>
          <w:sz w:val="32"/>
          <w:szCs w:val="32"/>
          <w:lang w:val="en-US" w:eastAsia="zh-CN"/>
        </w:rPr>
        <w:t>万元。</w:t>
      </w:r>
    </w:p>
    <w:p w14:paraId="1D8B7F47">
      <w:pPr>
        <w:widowControl w:val="0"/>
        <w:numPr>
          <w:ilvl w:val="0"/>
          <w:numId w:val="0"/>
        </w:numPr>
        <w:wordWrap/>
        <w:spacing w:line="560" w:lineRule="exact"/>
        <w:ind w:right="0" w:righ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3、2025年医疗保险专项经费</w:t>
      </w:r>
    </w:p>
    <w:p w14:paraId="486B2586">
      <w:pPr>
        <w:widowControl w:val="0"/>
        <w:numPr>
          <w:ilvl w:val="0"/>
          <w:numId w:val="0"/>
        </w:numPr>
        <w:wordWrap/>
        <w:spacing w:line="560" w:lineRule="exact"/>
        <w:ind w:right="0" w:righ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医保局为切实保障全区医疗保障事业平稳、健康、可持续发展，严厉打击欺诈骗保行为，加强行政执法力度。及随着各项业务下放等，需要印制宣传材料、开展业务培训及医保宣传活动、开展行政执法活动等，共需专项经费9.52万元。 </w:t>
      </w:r>
    </w:p>
    <w:p w14:paraId="60826EBD">
      <w:pPr>
        <w:numPr>
          <w:ilvl w:val="0"/>
          <w:numId w:val="0"/>
        </w:numPr>
        <w:spacing w:line="60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4、关于提前下达2025年中央财政医疗服务与保障能力提升补助资金</w:t>
      </w:r>
    </w:p>
    <w:p w14:paraId="3C6667F6">
      <w:pPr>
        <w:numPr>
          <w:ilvl w:val="0"/>
          <w:numId w:val="0"/>
        </w:numPr>
        <w:spacing w:line="600" w:lineRule="exact"/>
        <w:ind w:firstLine="640" w:firstLineChars="200"/>
        <w:rPr>
          <w:rFonts w:hint="default" w:ascii="仿宋_GB2312" w:hAnsi="仿宋_GB2312" w:eastAsia="仿宋_GB2312" w:cs="仿宋_GB2312"/>
          <w:sz w:val="32"/>
          <w:szCs w:val="32"/>
          <w:lang w:val="en-US" w:eastAsia="zh-CN"/>
        </w:rPr>
      </w:pPr>
      <w:r>
        <w:rPr>
          <w:rFonts w:hint="default" w:ascii="仿宋_GB2312" w:hAnsi="仿宋_GB2312" w:eastAsia="仿宋_GB2312" w:cs="仿宋_GB2312"/>
          <w:sz w:val="32"/>
          <w:szCs w:val="32"/>
          <w:lang w:val="en-US" w:eastAsia="zh-CN"/>
        </w:rPr>
        <w:t>按照冀财社文件精神，下达本区医疗服务与保障能力提升专项补助资金共计</w:t>
      </w:r>
      <w:r>
        <w:rPr>
          <w:rFonts w:hint="eastAsia" w:ascii="仿宋_GB2312" w:hAnsi="仿宋_GB2312" w:eastAsia="仿宋_GB2312" w:cs="仿宋_GB2312"/>
          <w:sz w:val="32"/>
          <w:szCs w:val="32"/>
          <w:lang w:val="en-US" w:eastAsia="zh-CN"/>
        </w:rPr>
        <w:t>27</w:t>
      </w:r>
      <w:r>
        <w:rPr>
          <w:rFonts w:hint="default" w:ascii="仿宋_GB2312" w:hAnsi="仿宋_GB2312" w:eastAsia="仿宋_GB2312" w:cs="仿宋_GB2312"/>
          <w:sz w:val="32"/>
          <w:szCs w:val="32"/>
          <w:lang w:val="en-US" w:eastAsia="zh-CN"/>
        </w:rPr>
        <w:t>万元。能力提升补助资金主要用于定点医药机构监督检查、系统运用及宣传政策方面，全年资金完成率100%。</w:t>
      </w:r>
    </w:p>
    <w:p w14:paraId="03B0EF5C">
      <w:pPr>
        <w:spacing w:line="600" w:lineRule="exact"/>
        <w:ind w:firstLine="640" w:firstLineChars="200"/>
        <w:rPr>
          <w:rFonts w:hint="eastAsia" w:ascii="仿宋_GB2312" w:hAnsi="仿宋_GB2312" w:eastAsia="仿宋_GB2312" w:cs="仿宋_GB2312"/>
          <w:b w:val="0"/>
          <w:bCs/>
          <w:sz w:val="32"/>
          <w:szCs w:val="32"/>
          <w:lang w:eastAsia="zh-CN"/>
        </w:rPr>
      </w:pPr>
      <w:r>
        <w:rPr>
          <w:rFonts w:hint="eastAsia" w:ascii="仿宋_GB2312" w:hAnsi="仿宋_GB2312" w:eastAsia="仿宋_GB2312" w:cs="仿宋_GB2312"/>
          <w:b w:val="0"/>
          <w:bCs/>
          <w:sz w:val="32"/>
          <w:szCs w:val="32"/>
          <w:lang w:val="en-US" w:eastAsia="zh-CN"/>
        </w:rPr>
        <w:t>5</w:t>
      </w:r>
      <w:r>
        <w:rPr>
          <w:rFonts w:hint="eastAsia" w:ascii="仿宋_GB2312" w:hAnsi="仿宋_GB2312" w:eastAsia="仿宋_GB2312" w:cs="仿宋_GB2312"/>
          <w:b w:val="0"/>
          <w:bCs/>
          <w:sz w:val="32"/>
          <w:szCs w:val="32"/>
        </w:rPr>
        <w:t>、</w:t>
      </w:r>
      <w:r>
        <w:rPr>
          <w:rFonts w:hint="eastAsia" w:ascii="仿宋_GB2312" w:hAnsi="仿宋_GB2312" w:eastAsia="仿宋_GB2312" w:cs="仿宋_GB2312"/>
          <w:b w:val="0"/>
          <w:bCs/>
          <w:sz w:val="32"/>
          <w:szCs w:val="32"/>
          <w:lang w:val="en-US" w:eastAsia="zh-CN"/>
        </w:rPr>
        <w:t>2025</w:t>
      </w:r>
      <w:r>
        <w:rPr>
          <w:rFonts w:hint="eastAsia" w:ascii="仿宋_GB2312" w:hAnsi="仿宋_GB2312" w:eastAsia="仿宋_GB2312" w:cs="仿宋_GB2312"/>
          <w:b w:val="0"/>
          <w:bCs/>
          <w:sz w:val="32"/>
          <w:szCs w:val="32"/>
          <w:lang w:eastAsia="zh-CN"/>
        </w:rPr>
        <w:t>年医保中心长期护理保险区级补助资金</w:t>
      </w:r>
    </w:p>
    <w:p w14:paraId="68DC542B">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根据石政办函【2018】211号文件规定，长期护理险的筹资方式按照责任共担原则，通过个人缴费、医保统筹基金划转、财政补助等多渠道筹集资金。其中本级财政补助为每人每年10元，共需资金</w:t>
      </w:r>
      <w:r>
        <w:rPr>
          <w:rFonts w:hint="eastAsia" w:ascii="仿宋_GB2312" w:hAnsi="仿宋_GB2312" w:eastAsia="仿宋_GB2312" w:cs="仿宋_GB2312"/>
          <w:b w:val="0"/>
          <w:bCs/>
          <w:sz w:val="32"/>
          <w:szCs w:val="32"/>
          <w:lang w:val="en-US" w:eastAsia="zh-CN"/>
        </w:rPr>
        <w:t>331.97</w:t>
      </w:r>
      <w:r>
        <w:rPr>
          <w:rFonts w:hint="eastAsia" w:ascii="仿宋_GB2312" w:hAnsi="仿宋_GB2312" w:eastAsia="仿宋_GB2312" w:cs="仿宋_GB2312"/>
          <w:b w:val="0"/>
          <w:bCs/>
          <w:sz w:val="32"/>
          <w:szCs w:val="32"/>
        </w:rPr>
        <w:t>万元。</w:t>
      </w:r>
    </w:p>
    <w:p w14:paraId="65650518">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lang w:val="en-US" w:eastAsia="zh-CN"/>
        </w:rPr>
        <w:t>6、2025</w:t>
      </w:r>
      <w:r>
        <w:rPr>
          <w:rFonts w:hint="eastAsia" w:ascii="仿宋_GB2312" w:hAnsi="仿宋_GB2312" w:eastAsia="仿宋_GB2312" w:cs="仿宋_GB2312"/>
          <w:b w:val="0"/>
          <w:bCs/>
          <w:sz w:val="32"/>
          <w:szCs w:val="32"/>
        </w:rPr>
        <w:t>年医保中心城乡居民基本医疗保险区级补助资金</w:t>
      </w:r>
    </w:p>
    <w:p w14:paraId="6CDA9046">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据《石家庄市城镇居民基本医疗保险实施细则》（石政办发[2016]2号）的有关规定，居民基本医保费由个人或家庭缴费和政府补助资金构成，政府补助资金标准按有关规定，由同级财政负责安排。预计202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年城乡居民本级医疗补助为1</w:t>
      </w:r>
      <w:r>
        <w:rPr>
          <w:rFonts w:hint="eastAsia" w:ascii="仿宋_GB2312" w:hAnsi="仿宋_GB2312" w:eastAsia="仿宋_GB2312" w:cs="仿宋_GB2312"/>
          <w:sz w:val="32"/>
          <w:szCs w:val="32"/>
          <w:lang w:val="en-US" w:eastAsia="zh-CN"/>
        </w:rPr>
        <w:t>40</w:t>
      </w:r>
      <w:r>
        <w:rPr>
          <w:rFonts w:hint="eastAsia" w:ascii="仿宋_GB2312" w:hAnsi="仿宋_GB2312" w:eastAsia="仿宋_GB2312" w:cs="仿宋_GB2312"/>
          <w:sz w:val="32"/>
          <w:szCs w:val="32"/>
        </w:rPr>
        <w:t>元/人，参保人数预计为</w:t>
      </w:r>
      <w:r>
        <w:rPr>
          <w:rFonts w:hint="eastAsia" w:ascii="仿宋_GB2312" w:hAnsi="仿宋_GB2312" w:eastAsia="仿宋_GB2312" w:cs="仿宋_GB2312"/>
          <w:sz w:val="32"/>
          <w:szCs w:val="32"/>
          <w:lang w:val="en-US" w:eastAsia="zh-CN"/>
        </w:rPr>
        <w:t>37</w:t>
      </w:r>
      <w:r>
        <w:rPr>
          <w:rFonts w:hint="eastAsia" w:ascii="仿宋_GB2312" w:hAnsi="仿宋_GB2312" w:eastAsia="仿宋_GB2312" w:cs="仿宋_GB2312"/>
          <w:sz w:val="32"/>
          <w:szCs w:val="32"/>
        </w:rPr>
        <w:t>万人，另有五保重残、贫困人口等医疗救助资金共计</w:t>
      </w:r>
      <w:r>
        <w:rPr>
          <w:rFonts w:hint="eastAsia" w:ascii="仿宋_GB2312" w:hAnsi="仿宋_GB2312" w:eastAsia="仿宋_GB2312" w:cs="仿宋_GB2312"/>
          <w:sz w:val="32"/>
          <w:szCs w:val="32"/>
          <w:lang w:val="en-US" w:eastAsia="zh-CN"/>
        </w:rPr>
        <w:t>4647.61</w:t>
      </w:r>
      <w:r>
        <w:rPr>
          <w:rFonts w:hint="eastAsia" w:ascii="仿宋_GB2312" w:hAnsi="仿宋_GB2312" w:eastAsia="仿宋_GB2312" w:cs="仿宋_GB2312"/>
          <w:sz w:val="32"/>
          <w:szCs w:val="32"/>
        </w:rPr>
        <w:t>万元。</w:t>
      </w:r>
    </w:p>
    <w:p w14:paraId="6876E89A">
      <w:pPr>
        <w:widowControl w:val="0"/>
        <w:numPr>
          <w:ilvl w:val="0"/>
          <w:numId w:val="0"/>
        </w:numPr>
        <w:wordWrap/>
        <w:spacing w:line="560" w:lineRule="exact"/>
        <w:ind w:leftChars="200" w:right="0" w:rightChars="0" w:firstLine="320" w:firstLineChars="1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7、2025年</w:t>
      </w:r>
      <w:r>
        <w:rPr>
          <w:rFonts w:hint="eastAsia" w:ascii="仿宋_GB2312" w:hAnsi="仿宋_GB2312" w:eastAsia="仿宋_GB2312" w:cs="仿宋_GB2312"/>
          <w:sz w:val="32"/>
          <w:szCs w:val="32"/>
          <w:highlight w:val="none"/>
        </w:rPr>
        <w:t>医保中心离休及伤残军人医药费</w:t>
      </w:r>
    </w:p>
    <w:p w14:paraId="260C9497">
      <w:pPr>
        <w:widowControl w:val="0"/>
        <w:numPr>
          <w:ilvl w:val="0"/>
          <w:numId w:val="0"/>
        </w:numPr>
        <w:wordWrap/>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石办字【2004】60号文有关规定，所需资金列入财政预算，以保障离残人员医药费的及时报销。全年药费在</w:t>
      </w:r>
      <w:r>
        <w:rPr>
          <w:rFonts w:hint="eastAsia" w:ascii="仿宋_GB2312" w:hAnsi="仿宋_GB2312" w:eastAsia="仿宋_GB2312" w:cs="仿宋_GB2312"/>
          <w:sz w:val="32"/>
          <w:szCs w:val="32"/>
          <w:highlight w:val="none"/>
          <w:lang w:val="en-US" w:eastAsia="zh-CN"/>
        </w:rPr>
        <w:t>100</w:t>
      </w:r>
      <w:r>
        <w:rPr>
          <w:rFonts w:hint="eastAsia" w:ascii="仿宋_GB2312" w:hAnsi="仿宋_GB2312" w:eastAsia="仿宋_GB2312" w:cs="仿宋_GB2312"/>
          <w:sz w:val="32"/>
          <w:szCs w:val="32"/>
          <w:highlight w:val="none"/>
        </w:rPr>
        <w:t>万左右。</w:t>
      </w:r>
    </w:p>
    <w:p w14:paraId="306B7B13">
      <w:pPr>
        <w:widowControl w:val="0"/>
        <w:numPr>
          <w:ilvl w:val="0"/>
          <w:numId w:val="0"/>
        </w:numPr>
        <w:wordWrap/>
        <w:spacing w:line="560" w:lineRule="exact"/>
        <w:ind w:left="640" w:leftChars="0" w:right="0" w:rightChars="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8、医保中心退役军人公益性</w:t>
      </w:r>
      <w:bookmarkStart w:id="0" w:name="_GoBack"/>
      <w:bookmarkEnd w:id="0"/>
      <w:r>
        <w:rPr>
          <w:rFonts w:hint="eastAsia" w:ascii="仿宋_GB2312" w:hAnsi="仿宋_GB2312" w:eastAsia="仿宋_GB2312" w:cs="仿宋_GB2312"/>
          <w:sz w:val="32"/>
          <w:szCs w:val="32"/>
          <w:lang w:val="en-US" w:eastAsia="zh-CN"/>
        </w:rPr>
        <w:t>岗位工资补贴</w:t>
      </w:r>
    </w:p>
    <w:p w14:paraId="19EF725A">
      <w:pPr>
        <w:widowControl w:val="0"/>
        <w:numPr>
          <w:ilvl w:val="0"/>
          <w:numId w:val="0"/>
        </w:numPr>
        <w:wordWrap/>
        <w:spacing w:line="560" w:lineRule="exact"/>
        <w:ind w:right="0" w:rightChars="0" w:firstLine="640" w:firstLineChars="200"/>
        <w:textAlignment w:val="auto"/>
        <w:outlineLvl w:val="9"/>
        <w:rPr>
          <w:rFonts w:hint="default" w:ascii="仿宋_GB2312" w:hAnsi="仿宋_GB2312" w:eastAsia="仿宋_GB2312" w:cs="仿宋_GB2312"/>
          <w:sz w:val="32"/>
          <w:szCs w:val="32"/>
          <w:lang w:val="en-US" w:eastAsia="zh-CN"/>
        </w:rPr>
      </w:pPr>
      <w:r>
        <w:rPr>
          <w:rFonts w:hint="default" w:ascii="仿宋_GB2312" w:hAnsi="仿宋_GB2312" w:eastAsia="仿宋_GB2312" w:cs="仿宋_GB2312"/>
          <w:sz w:val="32"/>
          <w:szCs w:val="32"/>
          <w:lang w:val="en-US" w:eastAsia="zh-CN"/>
        </w:rPr>
        <w:t>根据《鹿泉区关于进一步做好部分军队退役人员帮扶救助的若干措施》鹿文办【2017】31号文件第二条第一款“实行公益岗托底安置”我单位共有2名退役军人，</w:t>
      </w:r>
      <w:r>
        <w:rPr>
          <w:rFonts w:hint="eastAsia" w:ascii="仿宋_GB2312" w:hAnsi="仿宋_GB2312" w:eastAsia="仿宋_GB2312" w:cs="仿宋_GB2312"/>
          <w:sz w:val="32"/>
          <w:szCs w:val="32"/>
          <w:lang w:val="en-US" w:eastAsia="zh-CN"/>
        </w:rPr>
        <w:t>资金需求</w:t>
      </w:r>
      <w:r>
        <w:rPr>
          <w:rFonts w:hint="default" w:ascii="仿宋_GB2312" w:hAnsi="仿宋_GB2312" w:eastAsia="仿宋_GB2312" w:cs="仿宋_GB2312"/>
          <w:sz w:val="32"/>
          <w:szCs w:val="32"/>
          <w:lang w:val="en-US" w:eastAsia="zh-CN"/>
        </w:rPr>
        <w:t>共计</w:t>
      </w:r>
      <w:r>
        <w:rPr>
          <w:rFonts w:hint="eastAsia" w:ascii="仿宋_GB2312" w:hAnsi="仿宋_GB2312" w:eastAsia="仿宋_GB2312" w:cs="仿宋_GB2312"/>
          <w:sz w:val="32"/>
          <w:szCs w:val="32"/>
          <w:lang w:val="en-US" w:eastAsia="zh-CN"/>
        </w:rPr>
        <w:t>12</w:t>
      </w:r>
      <w:r>
        <w:rPr>
          <w:rFonts w:hint="default" w:ascii="仿宋_GB2312" w:hAnsi="仿宋_GB2312" w:eastAsia="仿宋_GB2312" w:cs="仿宋_GB2312"/>
          <w:sz w:val="32"/>
          <w:szCs w:val="32"/>
          <w:lang w:val="en-US" w:eastAsia="zh-CN"/>
        </w:rPr>
        <w:t>万元。</w:t>
      </w:r>
    </w:p>
    <w:p w14:paraId="3CD3EBB2">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三、绩效评价工作情况</w:t>
      </w:r>
    </w:p>
    <w:p w14:paraId="31898189">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（一）评价目的</w:t>
      </w:r>
    </w:p>
    <w:p w14:paraId="3ED98C09">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次评价通过客观公正地核查项目经费使用情况及预期目标实现程度，考评资金支出效率和综合效果，及时总结经验，分析存在的问题及原因，进一步推进财政资金科学化、精细化管理，不断提高财政专项资金管理水平和使用效率。</w:t>
      </w:r>
    </w:p>
    <w:p w14:paraId="54BBF3FD">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（二）评价原则、评价指标体系、评价方法</w:t>
      </w:r>
    </w:p>
    <w:p w14:paraId="47B5D50D">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评价原则：1、评估的客观公正性原则。在项目评估中尊重客观规律，深入调查研究，不带主观随意性，讲求科学性。2、分析的系统性原则。从项目内部要素的内在联系，以及与外部条件的广泛联系入手，进行全面的动态的分析论证。3、评估的效益性原则。投入与产出的经济社会效益比例。4、评估方法的规范化原则。所采用的定性和定量分析方法，必须符合客观实际，体现事物的内在联系。5、评估指标的科学性。确定指标体系中权重集合的科学合理程度，评估指标具有可操作性。</w:t>
      </w:r>
    </w:p>
    <w:p w14:paraId="600CCA0C">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评价指标体系：主要从项目资金的投入、业务管理和财务管理过程、项目计划产出和项目计划效益四个方面对评价目标进行逐步分解，从定性和定量两个角度综合考量。</w:t>
      </w:r>
    </w:p>
    <w:p w14:paraId="61501827">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评价方法：绩效评价工作采用单位自评价和财政再评价相结合的方式开展。自评价采取数据收集汇总、指标分析、询问查证等方法，形成了自评价报告。</w:t>
      </w:r>
    </w:p>
    <w:p w14:paraId="15640988">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（三）评价工作过程</w:t>
      </w:r>
    </w:p>
    <w:p w14:paraId="4A425285">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本次绩效评价自评价工作分为三个阶段：</w:t>
      </w:r>
    </w:p>
    <w:p w14:paraId="10409D7E">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第一阶段：成立评价工作小组，制定项目绩效评价具体实施方案。</w:t>
      </w:r>
    </w:p>
    <w:p w14:paraId="2032D680">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第二阶段：按照区财政局要求，进行自查。</w:t>
      </w:r>
    </w:p>
    <w:p w14:paraId="3E456880">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第三阶段：由评价工作小组对项目进行抽样核查，总结评价结论，最终形成自评价报告，报区财政局。</w:t>
      </w:r>
    </w:p>
    <w:p w14:paraId="5E95B58D">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四、绩效评价指标分析情况</w:t>
      </w:r>
    </w:p>
    <w:p w14:paraId="70633713">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项目评价指标体系总分实行百分制，90分以上为优秀、80分以上为良好、70分以上为一般、60分以上为及格。</w:t>
      </w:r>
    </w:p>
    <w:p w14:paraId="0173A4AF">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1、产出指标（50分）。我办各项目资金的使用能在规定时限内完成，节约适用成本，项目实施达到预期目标值。评估为满分。</w:t>
      </w:r>
    </w:p>
    <w:p w14:paraId="51BE24F4">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2、效益指标（40分）。经评估，项目实施社会效益好，可持续影响力强，群众满意度高，整个项目效果好，评估为满分。</w:t>
      </w:r>
    </w:p>
    <w:p w14:paraId="1664AD34">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3、满意度指标（10分）。经评估，群众满意度高，评估为满分。</w:t>
      </w:r>
    </w:p>
    <w:p w14:paraId="49EFC87D">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五、综合评价情况及评价结论</w:t>
      </w:r>
    </w:p>
    <w:p w14:paraId="42A00E3F">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1、资金到位，使用合规。资金拨付程序从申请、审核、审查、审批到最后发放都按照中央、省、市相关财政政策实施，使用符合财务管理规定。</w:t>
      </w:r>
    </w:p>
    <w:p w14:paraId="08D377ED">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2、管理规范，监督有效。为进一步规范财务管理，我室制定并印发《市委政研室（改革办）财务管理规定》，严格资金使用程序，健全资金管理制度，定期对资金使用情况进行检查，严格确保项目质量。</w:t>
      </w:r>
    </w:p>
    <w:p w14:paraId="47B21D04">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25</w:t>
      </w:r>
      <w:r>
        <w:rPr>
          <w:rFonts w:hint="eastAsia" w:ascii="仿宋_GB2312" w:hAnsi="仿宋_GB2312" w:eastAsia="仿宋_GB2312" w:cs="仿宋_GB2312"/>
          <w:sz w:val="32"/>
          <w:szCs w:val="32"/>
        </w:rPr>
        <w:t>年度我</w:t>
      </w:r>
      <w:r>
        <w:rPr>
          <w:rFonts w:hint="eastAsia" w:ascii="仿宋_GB2312" w:hAnsi="仿宋_GB2312" w:eastAsia="仿宋_GB2312" w:cs="仿宋_GB2312"/>
          <w:sz w:val="32"/>
          <w:szCs w:val="32"/>
          <w:lang w:eastAsia="zh-CN"/>
        </w:rPr>
        <w:t>局</w:t>
      </w:r>
      <w:r>
        <w:rPr>
          <w:rFonts w:hint="eastAsia" w:ascii="仿宋_GB2312" w:hAnsi="仿宋_GB2312" w:eastAsia="仿宋_GB2312" w:cs="仿宋_GB2312"/>
          <w:sz w:val="32"/>
          <w:szCs w:val="32"/>
        </w:rPr>
        <w:t>项目经费投入合理、资金落实到位、使用规范透明、监督及时有效。从总体上看，我</w:t>
      </w:r>
      <w:r>
        <w:rPr>
          <w:rFonts w:hint="eastAsia" w:ascii="仿宋_GB2312" w:hAnsi="仿宋_GB2312" w:eastAsia="仿宋_GB2312" w:cs="仿宋_GB2312"/>
          <w:sz w:val="32"/>
          <w:szCs w:val="32"/>
          <w:lang w:eastAsia="zh-CN"/>
        </w:rPr>
        <w:t>局</w:t>
      </w:r>
      <w:r>
        <w:rPr>
          <w:rFonts w:hint="eastAsia" w:ascii="仿宋_GB2312" w:hAnsi="仿宋_GB2312" w:eastAsia="仿宋_GB2312" w:cs="仿宋_GB2312"/>
          <w:sz w:val="32"/>
          <w:szCs w:val="32"/>
        </w:rPr>
        <w:t>专项资金绩效评价总体得分为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分，为优秀等次。</w:t>
      </w:r>
    </w:p>
    <w:p w14:paraId="22D96DA1">
      <w:pPr>
        <w:adjustRightInd w:val="0"/>
        <w:snapToGrid w:val="0"/>
        <w:spacing w:line="560" w:lineRule="exact"/>
        <w:ind w:firstLine="640" w:firstLineChars="200"/>
        <w:rPr>
          <w:rFonts w:ascii="黑体" w:hAnsi="黑体" w:eastAsia="黑体"/>
          <w:sz w:val="32"/>
          <w:szCs w:val="32"/>
        </w:rPr>
      </w:pPr>
    </w:p>
    <w:p w14:paraId="28CDDA9C">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Wingdings 3"/>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CF3C50" w:usb2="00000016" w:usb3="00000000" w:csb0="0004001F"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ArialUnicodeMS">
    <w:altName w:val="Times New Roman"/>
    <w:panose1 w:val="00000000000000000000"/>
    <w:charset w:val="81"/>
    <w:family w:val="auto"/>
    <w:pitch w:val="default"/>
    <w:sig w:usb0="00000000" w:usb1="00000000" w:usb2="00000010" w:usb3="00000000" w:csb0="00080001" w:csb1="00000000"/>
  </w:font>
  <w:font w:name="DejaVu Sans">
    <w:panose1 w:val="020B0603030804020204"/>
    <w:charset w:val="00"/>
    <w:family w:val="auto"/>
    <w:pitch w:val="default"/>
    <w:sig w:usb0="E7006EFF" w:usb1="D200FDFF" w:usb2="0A246029" w:usb3="0400200C" w:csb0="600001FF" w:csb1="DFFF0000"/>
  </w:font>
  <w:font w:name="Wingdings 3">
    <w:panose1 w:val="05040102010807070707"/>
    <w:charset w:val="00"/>
    <w:family w:val="auto"/>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4E0CE8">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352EAABE">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352EAABE">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41A73ED"/>
    <w:multiLevelType w:val="singleLevel"/>
    <w:tmpl w:val="E41A73ED"/>
    <w:lvl w:ilvl="0" w:tentative="0">
      <w:start w:val="2"/>
      <w:numFmt w:val="chineseCounting"/>
      <w:suff w:val="nothing"/>
      <w:lvlText w:val="%1、"/>
      <w:lvlJc w:val="left"/>
      <w:rPr>
        <w:rFonts w:hint="eastAsia"/>
      </w:rPr>
    </w:lvl>
  </w:abstractNum>
  <w:abstractNum w:abstractNumId="1">
    <w:nsid w:val="5482F7E9"/>
    <w:multiLevelType w:val="singleLevel"/>
    <w:tmpl w:val="5482F7E9"/>
    <w:lvl w:ilvl="0" w:tentative="0">
      <w:start w:val="2"/>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I5Y2I4YjI2Y2RhZWY2M2JjNzAzNDNhZTYwNTM2YWI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4DB4804"/>
    <w:rsid w:val="05A9692E"/>
    <w:rsid w:val="07956271"/>
    <w:rsid w:val="09721397"/>
    <w:rsid w:val="0BB63BED"/>
    <w:rsid w:val="0D312D63"/>
    <w:rsid w:val="0EB97A43"/>
    <w:rsid w:val="0EBD2122"/>
    <w:rsid w:val="0F214EAE"/>
    <w:rsid w:val="11B71E6A"/>
    <w:rsid w:val="1AAF0063"/>
    <w:rsid w:val="1BE140DE"/>
    <w:rsid w:val="20B14279"/>
    <w:rsid w:val="248C197D"/>
    <w:rsid w:val="252959AF"/>
    <w:rsid w:val="26063F46"/>
    <w:rsid w:val="277A6671"/>
    <w:rsid w:val="292D35B7"/>
    <w:rsid w:val="29470146"/>
    <w:rsid w:val="29915AB6"/>
    <w:rsid w:val="2ABF12FD"/>
    <w:rsid w:val="32817910"/>
    <w:rsid w:val="33EB6CFF"/>
    <w:rsid w:val="34CF3591"/>
    <w:rsid w:val="35A12947"/>
    <w:rsid w:val="37387040"/>
    <w:rsid w:val="3A850FBD"/>
    <w:rsid w:val="3B625C0A"/>
    <w:rsid w:val="3CEE1963"/>
    <w:rsid w:val="4308361B"/>
    <w:rsid w:val="436B78D3"/>
    <w:rsid w:val="4C9C27FE"/>
    <w:rsid w:val="4D1F6D6D"/>
    <w:rsid w:val="512260B4"/>
    <w:rsid w:val="52BD6ACB"/>
    <w:rsid w:val="53841AA0"/>
    <w:rsid w:val="55537534"/>
    <w:rsid w:val="561A74F1"/>
    <w:rsid w:val="597244E8"/>
    <w:rsid w:val="5EB71C30"/>
    <w:rsid w:val="66AF0CE5"/>
    <w:rsid w:val="6A33347C"/>
    <w:rsid w:val="6AC537CF"/>
    <w:rsid w:val="6D755573"/>
    <w:rsid w:val="6E5B14A6"/>
    <w:rsid w:val="6FA974D1"/>
    <w:rsid w:val="7041488E"/>
    <w:rsid w:val="711B255E"/>
    <w:rsid w:val="74DB1FC0"/>
    <w:rsid w:val="77203CC5"/>
    <w:rsid w:val="7BB51E06"/>
    <w:rsid w:val="7C387F7C"/>
    <w:rsid w:val="7FE83423"/>
    <w:rsid w:val="BDF685AF"/>
    <w:rsid w:val="DD7B5D89"/>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paragraph" w:styleId="2">
    <w:name w:val="heading 1"/>
    <w:basedOn w:val="1"/>
    <w:next w:val="1"/>
    <w:qFormat/>
    <w:uiPriority w:val="99"/>
    <w:pPr>
      <w:keepNext/>
      <w:keepLines/>
      <w:spacing w:before="340" w:after="330" w:line="578" w:lineRule="auto"/>
      <w:outlineLvl w:val="0"/>
    </w:pPr>
    <w:rPr>
      <w:b/>
      <w:bCs/>
      <w:kern w:val="44"/>
      <w:sz w:val="44"/>
      <w:szCs w:val="44"/>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3159</Words>
  <Characters>3279</Characters>
  <Lines>4</Lines>
  <Paragraphs>1</Paragraphs>
  <TotalTime>7</TotalTime>
  <ScaleCrop>false</ScaleCrop>
  <LinksUpToDate>false</LinksUpToDate>
  <CharactersWithSpaces>3286</CharactersWithSpaces>
  <Application>WPS Office_12.8.2.1119_F1E327BC-269C-435d-A152-05C5408002CA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2020-02-04T11:46:00Z</dcterms:created>
  <dc:creator>欣欣大人</dc:creator>
  <cp:lastModifiedBy>uos</cp:lastModifiedBy>
  <cp:lastPrinted>2024-04-19T09:04:00Z</cp:lastPrinted>
  <dcterms:modified xsi:type="dcterms:W3CDTF">2026-05-26T14:17:45Z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2052-12.8.2.1119</vt:lpwstr>
  </property>
  <property fmtid="{D5CDD505-2E9C-101B-9397-08002B2CF9AE}" pid="3" name="ICV">
    <vt:lpwstr>665D73BCE87641E4B381811178F2896C_13</vt:lpwstr>
  </property>
  <property fmtid="{D5CDD505-2E9C-101B-9397-08002B2CF9AE}" pid="4" name="KSOTemplateDocerSaveRecord">
    <vt:lpwstr>eyJoZGlkIjoiZTUyOGIxYzIyZDZlYTU3ZWRmZDgzZGZlMTEwMTVmM2UiLCJ1c2VySWQiOiIyMTg4MTkyNTAifQ==</vt:lpwstr>
  </property>
</Properties>
</file>