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F4B2F">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24600967">
      <w:pPr>
        <w:spacing w:line="560" w:lineRule="exact"/>
        <w:jc w:val="center"/>
        <w:rPr>
          <w:rFonts w:ascii="宋体" w:hAnsi="宋体" w:cs="宋体"/>
          <w:b/>
          <w:bCs/>
          <w:sz w:val="44"/>
          <w:szCs w:val="44"/>
        </w:rPr>
      </w:pPr>
    </w:p>
    <w:p w14:paraId="01B32941">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河北鹿泉经济开发区管理委员会</w:t>
      </w:r>
    </w:p>
    <w:p w14:paraId="56D47A3B">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337F976">
      <w:pPr>
        <w:adjustRightInd w:val="0"/>
        <w:snapToGrid w:val="0"/>
        <w:spacing w:line="560" w:lineRule="exact"/>
        <w:ind w:firstLine="640" w:firstLineChars="200"/>
        <w:rPr>
          <w:rFonts w:hint="eastAsia" w:ascii="仿宋" w:hAnsi="仿宋" w:eastAsia="仿宋"/>
          <w:sz w:val="32"/>
          <w:szCs w:val="32"/>
        </w:rPr>
      </w:pPr>
    </w:p>
    <w:p w14:paraId="54108AF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鹿泉区区</w:t>
      </w:r>
      <w:r>
        <w:rPr>
          <w:rFonts w:hint="eastAsia" w:ascii="仿宋_GB2312" w:hAnsi="仿宋_GB2312" w:eastAsia="仿宋_GB2312" w:cs="仿宋_GB2312"/>
          <w:sz w:val="32"/>
          <w:szCs w:val="32"/>
          <w:highlight w:val="none"/>
        </w:rPr>
        <w:t>级部门项目绩效自评管理办法》（</w:t>
      </w:r>
      <w:r>
        <w:rPr>
          <w:rFonts w:hint="eastAsia" w:ascii="仿宋_GB2312" w:hAnsi="仿宋_GB2312" w:eastAsia="仿宋_GB2312" w:cs="仿宋_GB2312"/>
          <w:sz w:val="32"/>
          <w:szCs w:val="32"/>
          <w:highlight w:val="none"/>
          <w:lang w:eastAsia="zh-CN"/>
        </w:rPr>
        <w:t>鹿财字</w:t>
      </w:r>
      <w:r>
        <w:rPr>
          <w:rFonts w:hint="eastAsia" w:ascii="仿宋_GB2312" w:hAnsi="仿宋_GB2312" w:eastAsia="仿宋_GB2312" w:cs="仿宋_GB2312"/>
          <w:sz w:val="32"/>
          <w:szCs w:val="32"/>
          <w:highlight w:val="none"/>
        </w:rPr>
        <w:t>〔2020〕</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号）</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我单位</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5D1913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07BC6E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3096B3B">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根据《河北鹿泉经济开发</w:t>
      </w:r>
      <w:r>
        <w:rPr>
          <w:rFonts w:hint="eastAsia" w:ascii="仿宋" w:hAnsi="仿宋" w:eastAsia="仿宋" w:cs="仿宋"/>
          <w:sz w:val="32"/>
          <w:szCs w:val="32"/>
          <w:lang w:val="en-US" w:eastAsia="zh-CN"/>
        </w:rPr>
        <w:t>区</w:t>
      </w:r>
      <w:r>
        <w:rPr>
          <w:rFonts w:hint="eastAsia" w:ascii="仿宋" w:hAnsi="仿宋" w:eastAsia="仿宋" w:cs="仿宋"/>
          <w:sz w:val="32"/>
          <w:szCs w:val="32"/>
        </w:rPr>
        <w:t>管理委员会职能配置、内设机构和人员编制规定》，河北鹿泉经济开发</w:t>
      </w:r>
      <w:r>
        <w:rPr>
          <w:rFonts w:hint="eastAsia" w:ascii="仿宋" w:hAnsi="仿宋" w:eastAsia="仿宋" w:cs="仿宋"/>
          <w:sz w:val="32"/>
          <w:szCs w:val="32"/>
          <w:lang w:val="en-US" w:eastAsia="zh-CN"/>
        </w:rPr>
        <w:t>区</w:t>
      </w:r>
      <w:r>
        <w:rPr>
          <w:rFonts w:hint="eastAsia" w:ascii="仿宋" w:hAnsi="仿宋" w:eastAsia="仿宋" w:cs="仿宋"/>
          <w:sz w:val="32"/>
          <w:szCs w:val="32"/>
        </w:rPr>
        <w:t>管理委员会的主要职责是：编制辖区的总体规划和经济、社会发展规划，经批准后组织实施;编制辖区区域性城市发展规划、国土利用规划，经批准后组织实施;承接省、市、区政府赋予</w:t>
      </w:r>
      <w:r>
        <w:rPr>
          <w:rFonts w:hint="eastAsia" w:ascii="仿宋" w:hAnsi="仿宋" w:eastAsia="仿宋" w:cs="仿宋"/>
          <w:sz w:val="32"/>
          <w:szCs w:val="32"/>
          <w:lang w:val="en-US" w:eastAsia="zh-CN"/>
        </w:rPr>
        <w:t>经开区</w:t>
      </w:r>
      <w:r>
        <w:rPr>
          <w:rFonts w:hint="eastAsia" w:ascii="仿宋" w:hAnsi="仿宋" w:eastAsia="仿宋" w:cs="仿宋"/>
          <w:sz w:val="32"/>
          <w:szCs w:val="32"/>
        </w:rPr>
        <w:t>的行政职权事项;负责辖区基础设施、公用设施的建设与管理;负责辖区财政管理,实施辖区内财政预算决算、国有资产管理和财政监督工作;负责招商引资、进出口贸易和国内外经济技术合作工作;对实行派驻体制的机构和力量实施双重领导;对所属国有企业业务进行指导和审核;负责鹿泉区政府交办的其他事项。</w:t>
      </w:r>
    </w:p>
    <w:p w14:paraId="7ED81596">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w:t>
      </w:r>
      <w:r>
        <w:rPr>
          <w:rFonts w:hint="eastAsia" w:ascii="仿宋" w:hAnsi="仿宋" w:eastAsia="仿宋" w:cs="仿宋"/>
          <w:sz w:val="32"/>
          <w:szCs w:val="32"/>
          <w:lang w:eastAsia="zh-CN"/>
        </w:rPr>
        <w:t>部门</w:t>
      </w:r>
      <w:r>
        <w:rPr>
          <w:rFonts w:hint="eastAsia" w:ascii="仿宋" w:hAnsi="仿宋" w:eastAsia="仿宋" w:cs="仿宋"/>
          <w:sz w:val="32"/>
          <w:szCs w:val="32"/>
        </w:rPr>
        <w:t>和所属国有企业人员的考核、奖惩、培训、教育工作。</w:t>
      </w:r>
    </w:p>
    <w:p w14:paraId="519C0F9C">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财政局。承担</w:t>
      </w:r>
      <w:r>
        <w:rPr>
          <w:rFonts w:hint="eastAsia" w:ascii="仿宋" w:hAnsi="仿宋" w:eastAsia="仿宋" w:cs="仿宋"/>
          <w:sz w:val="32"/>
          <w:szCs w:val="32"/>
          <w:lang w:val="en-US" w:eastAsia="zh-CN"/>
        </w:rPr>
        <w:t>经开区</w:t>
      </w:r>
      <w:r>
        <w:rPr>
          <w:rFonts w:hint="eastAsia" w:ascii="仿宋" w:hAnsi="仿宋" w:eastAsia="仿宋" w:cs="仿宋"/>
          <w:sz w:val="32"/>
          <w:szCs w:val="32"/>
        </w:rPr>
        <w:t>财政、国有资产管理的相关工作编制、执行开发区财政年度预、决算方案;负责协调税务工作:负责</w:t>
      </w:r>
      <w:r>
        <w:rPr>
          <w:rFonts w:hint="eastAsia" w:ascii="仿宋" w:hAnsi="仿宋" w:eastAsia="仿宋" w:cs="仿宋"/>
          <w:sz w:val="32"/>
          <w:szCs w:val="32"/>
          <w:lang w:val="en-US" w:eastAsia="zh-CN"/>
        </w:rPr>
        <w:t>经开区</w:t>
      </w:r>
      <w:r>
        <w:rPr>
          <w:rFonts w:hint="eastAsia" w:ascii="仿宋" w:hAnsi="仿宋" w:eastAsia="仿宋" w:cs="仿宋"/>
          <w:sz w:val="32"/>
          <w:szCs w:val="32"/>
        </w:rPr>
        <w:t>国有资产管理和财政监督;负责规划建设项目的工程决算;负责机关、所属事业</w:t>
      </w:r>
      <w:r>
        <w:rPr>
          <w:rFonts w:hint="eastAsia" w:ascii="仿宋" w:hAnsi="仿宋" w:eastAsia="仿宋" w:cs="仿宋"/>
          <w:sz w:val="32"/>
          <w:szCs w:val="32"/>
          <w:lang w:eastAsia="zh-CN"/>
        </w:rPr>
        <w:t>部门</w:t>
      </w:r>
      <w:r>
        <w:rPr>
          <w:rFonts w:hint="eastAsia" w:ascii="仿宋" w:hAnsi="仿宋" w:eastAsia="仿宋" w:cs="仿宋"/>
          <w:sz w:val="32"/>
          <w:szCs w:val="32"/>
        </w:rPr>
        <w:t>人员五险一金的缴纳、调资等工作。</w:t>
      </w:r>
    </w:p>
    <w:p w14:paraId="5EC1EC3C">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经济发展局。承担</w:t>
      </w:r>
      <w:r>
        <w:rPr>
          <w:rFonts w:hint="eastAsia" w:ascii="仿宋" w:hAnsi="仿宋" w:eastAsia="仿宋" w:cs="仿宋"/>
          <w:sz w:val="32"/>
          <w:szCs w:val="32"/>
          <w:lang w:val="en-US" w:eastAsia="zh-CN"/>
        </w:rPr>
        <w:t>经开区</w:t>
      </w:r>
      <w:r>
        <w:rPr>
          <w:rFonts w:hint="eastAsia" w:ascii="仿宋" w:hAnsi="仿宋" w:eastAsia="仿宋" w:cs="仿宋"/>
          <w:sz w:val="32"/>
          <w:szCs w:val="32"/>
        </w:rPr>
        <w:t>经济管理、科技创新相关工作。对</w:t>
      </w:r>
      <w:r>
        <w:rPr>
          <w:rFonts w:hint="eastAsia" w:ascii="仿宋" w:hAnsi="仿宋" w:eastAsia="仿宋" w:cs="仿宋"/>
          <w:sz w:val="32"/>
          <w:szCs w:val="32"/>
          <w:lang w:val="en-US" w:eastAsia="zh-CN"/>
        </w:rPr>
        <w:t>经开区</w:t>
      </w:r>
      <w:r>
        <w:rPr>
          <w:rFonts w:hint="eastAsia" w:ascii="仿宋" w:hAnsi="仿宋" w:eastAsia="仿宋" w:cs="仿宋"/>
          <w:sz w:val="32"/>
          <w:szCs w:val="32"/>
        </w:rPr>
        <w:t>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开发区项目储备库;负责招才引智，负责人才和企业各项奖励优惠政策的制定及兑现:负责辖区内环境保护等方面的工作</w:t>
      </w:r>
      <w:r>
        <w:rPr>
          <w:rFonts w:hint="eastAsia" w:ascii="仿宋" w:hAnsi="仿宋" w:eastAsia="仿宋" w:cs="仿宋"/>
          <w:sz w:val="32"/>
          <w:szCs w:val="32"/>
          <w:lang w:eastAsia="zh-CN"/>
        </w:rPr>
        <w:t>。</w:t>
      </w:r>
    </w:p>
    <w:p w14:paraId="77CBFB55">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招商局。承担</w:t>
      </w:r>
      <w:r>
        <w:rPr>
          <w:rFonts w:hint="eastAsia" w:ascii="仿宋" w:hAnsi="仿宋" w:eastAsia="仿宋" w:cs="仿宋"/>
          <w:sz w:val="32"/>
          <w:szCs w:val="32"/>
          <w:lang w:val="en-US" w:eastAsia="zh-CN"/>
        </w:rPr>
        <w:t>经开区</w:t>
      </w:r>
      <w:r>
        <w:rPr>
          <w:rFonts w:hint="eastAsia" w:ascii="仿宋" w:hAnsi="仿宋" w:eastAsia="仿宋" w:cs="仿宋"/>
          <w:sz w:val="32"/>
          <w:szCs w:val="32"/>
        </w:rPr>
        <w:t>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100632A7">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rPr>
        <w:t>建设管理局。组织</w:t>
      </w:r>
      <w:r>
        <w:rPr>
          <w:rFonts w:hint="eastAsia" w:ascii="仿宋" w:hAnsi="仿宋" w:eastAsia="仿宋" w:cs="仿宋"/>
          <w:sz w:val="32"/>
          <w:szCs w:val="32"/>
          <w:lang w:val="en-US" w:eastAsia="zh-CN"/>
        </w:rPr>
        <w:t>经开区</w:t>
      </w:r>
      <w:r>
        <w:rPr>
          <w:rFonts w:hint="eastAsia" w:ascii="仿宋" w:hAnsi="仿宋" w:eastAsia="仿宋" w:cs="仿宋"/>
          <w:sz w:val="32"/>
          <w:szCs w:val="32"/>
        </w:rPr>
        <w:t>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r>
        <w:rPr>
          <w:rFonts w:hint="eastAsia" w:ascii="仿宋" w:hAnsi="仿宋" w:eastAsia="仿宋" w:cs="仿宋"/>
          <w:sz w:val="32"/>
          <w:szCs w:val="32"/>
          <w:lang w:eastAsia="zh-CN"/>
        </w:rPr>
        <w:t>。</w:t>
      </w:r>
    </w:p>
    <w:p w14:paraId="72CD3625">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0B034FDB">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行政审批局。负责承接省、市、区政府赋予</w:t>
      </w:r>
      <w:r>
        <w:rPr>
          <w:rFonts w:hint="eastAsia" w:ascii="仿宋" w:hAnsi="仿宋" w:eastAsia="仿宋" w:cs="仿宋"/>
          <w:sz w:val="32"/>
          <w:szCs w:val="32"/>
          <w:lang w:val="en-US" w:eastAsia="zh-CN"/>
        </w:rPr>
        <w:t>经开区</w:t>
      </w:r>
      <w:r>
        <w:rPr>
          <w:rFonts w:hint="eastAsia" w:ascii="仿宋" w:hAnsi="仿宋" w:eastAsia="仿宋" w:cs="仿宋"/>
          <w:sz w:val="32"/>
          <w:szCs w:val="32"/>
        </w:rPr>
        <w:t>的行政职权事项，集中行使行政许可等事项;推进</w:t>
      </w:r>
      <w:r>
        <w:rPr>
          <w:rFonts w:hint="eastAsia" w:ascii="仿宋" w:hAnsi="仿宋" w:eastAsia="仿宋" w:cs="仿宋"/>
          <w:sz w:val="32"/>
          <w:szCs w:val="32"/>
          <w:lang w:val="en-US" w:eastAsia="zh-CN"/>
        </w:rPr>
        <w:t>经开区</w:t>
      </w:r>
      <w:r>
        <w:rPr>
          <w:rFonts w:hint="eastAsia" w:ascii="仿宋" w:hAnsi="仿宋" w:eastAsia="仿宋" w:cs="仿宋"/>
          <w:sz w:val="32"/>
          <w:szCs w:val="32"/>
        </w:rPr>
        <w:t>审批制度改革工作，编制公布权力清单和责任清单，负责规范行政审批行为，推进行政审批、政务服务标准化建设，负责</w:t>
      </w:r>
      <w:r>
        <w:rPr>
          <w:rFonts w:hint="eastAsia" w:ascii="仿宋" w:hAnsi="仿宋" w:eastAsia="仿宋" w:cs="仿宋"/>
          <w:sz w:val="32"/>
          <w:szCs w:val="32"/>
          <w:lang w:val="en-US" w:eastAsia="zh-CN"/>
        </w:rPr>
        <w:t>经开区</w:t>
      </w:r>
      <w:r>
        <w:rPr>
          <w:rFonts w:hint="eastAsia" w:ascii="仿宋" w:hAnsi="仿宋" w:eastAsia="仿宋" w:cs="仿宋"/>
          <w:sz w:val="32"/>
          <w:szCs w:val="32"/>
        </w:rPr>
        <w:t>行政许可事项的现场勘查、专家评审、技术论证等工作;负责</w:t>
      </w:r>
      <w:r>
        <w:rPr>
          <w:rFonts w:hint="eastAsia" w:ascii="仿宋" w:hAnsi="仿宋" w:eastAsia="仿宋" w:cs="仿宋"/>
          <w:sz w:val="32"/>
          <w:szCs w:val="32"/>
          <w:lang w:val="en-US" w:eastAsia="zh-CN"/>
        </w:rPr>
        <w:t>经开区</w:t>
      </w:r>
      <w:r>
        <w:rPr>
          <w:rFonts w:hint="eastAsia" w:ascii="仿宋" w:hAnsi="仿宋" w:eastAsia="仿宋" w:cs="仿宋"/>
          <w:sz w:val="32"/>
          <w:szCs w:val="32"/>
        </w:rPr>
        <w:t>行政审批、政务服务平台的建设、协调、运行和维护工作;负责协调派驻部门做好派驻人员的管理，负责推进“放管服”改革和社会信用体系建设等工作。</w:t>
      </w:r>
    </w:p>
    <w:p w14:paraId="42EB42EE">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西北物流产业管理办公室。负责统筹推进西北物流产业聚集区产业发展。负责项目选址方案并组织实施:负责园区管理和综合协调工作:负责项目落地、项目建设、项目运营、项目服务等全链条推进工作。</w:t>
      </w:r>
    </w:p>
    <w:p w14:paraId="11C0CF52">
      <w:pPr>
        <w:spacing w:before="278" w:line="222" w:lineRule="auto"/>
        <w:jc w:val="center"/>
        <w:rPr>
          <w:rFonts w:hint="eastAsia" w:ascii="仿宋" w:hAnsi="仿宋" w:eastAsia="仿宋" w:cs="仿宋"/>
          <w:spacing w:val="-3"/>
          <w:sz w:val="32"/>
          <w:szCs w:val="32"/>
        </w:rPr>
      </w:pPr>
      <w:r>
        <w:rPr>
          <w:rFonts w:hint="eastAsia" w:ascii="仿宋" w:hAnsi="仿宋" w:eastAsia="仿宋" w:cs="仿宋"/>
          <w:spacing w:val="-3"/>
          <w:sz w:val="32"/>
          <w:szCs w:val="32"/>
        </w:rPr>
        <w:t>部门基本情况表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120"/>
        <w:gridCol w:w="1384"/>
        <w:gridCol w:w="1419"/>
        <w:gridCol w:w="1024"/>
        <w:gridCol w:w="966"/>
        <w:gridCol w:w="1506"/>
      </w:tblGrid>
      <w:tr w14:paraId="5BD7C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1526" w:type="dxa"/>
            <w:vMerge w:val="restart"/>
            <w:vAlign w:val="center"/>
          </w:tcPr>
          <w:p w14:paraId="50BBA48D">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单位名称</w:t>
            </w:r>
          </w:p>
        </w:tc>
        <w:tc>
          <w:tcPr>
            <w:tcW w:w="1120" w:type="dxa"/>
            <w:vMerge w:val="restart"/>
            <w:vAlign w:val="center"/>
          </w:tcPr>
          <w:p w14:paraId="46B59B53">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单位性质</w:t>
            </w:r>
          </w:p>
        </w:tc>
        <w:tc>
          <w:tcPr>
            <w:tcW w:w="1384" w:type="dxa"/>
            <w:vMerge w:val="restart"/>
            <w:vAlign w:val="center"/>
          </w:tcPr>
          <w:p w14:paraId="232D8A8A">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单位规格</w:t>
            </w:r>
          </w:p>
        </w:tc>
        <w:tc>
          <w:tcPr>
            <w:tcW w:w="1419" w:type="dxa"/>
            <w:vMerge w:val="restart"/>
            <w:vAlign w:val="center"/>
          </w:tcPr>
          <w:p w14:paraId="088F6F10">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经费保障形式</w:t>
            </w:r>
          </w:p>
        </w:tc>
        <w:tc>
          <w:tcPr>
            <w:tcW w:w="1990" w:type="dxa"/>
            <w:gridSpan w:val="2"/>
            <w:vAlign w:val="center"/>
          </w:tcPr>
          <w:p w14:paraId="18524B1B">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在职人数</w:t>
            </w:r>
          </w:p>
        </w:tc>
        <w:tc>
          <w:tcPr>
            <w:tcW w:w="1506" w:type="dxa"/>
            <w:vAlign w:val="center"/>
          </w:tcPr>
          <w:p w14:paraId="560AD5ED">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离退人数</w:t>
            </w:r>
          </w:p>
        </w:tc>
      </w:tr>
      <w:tr w14:paraId="75D4C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526" w:type="dxa"/>
            <w:vMerge w:val="continue"/>
            <w:vAlign w:val="center"/>
          </w:tcPr>
          <w:p w14:paraId="2D16D27C">
            <w:pPr>
              <w:pStyle w:val="7"/>
              <w:jc w:val="center"/>
              <w:rPr>
                <w:rFonts w:hint="eastAsia" w:ascii="仿宋" w:hAnsi="仿宋" w:eastAsia="仿宋" w:cs="仿宋"/>
                <w:sz w:val="32"/>
                <w:szCs w:val="32"/>
                <w:vertAlign w:val="baseline"/>
              </w:rPr>
            </w:pPr>
          </w:p>
        </w:tc>
        <w:tc>
          <w:tcPr>
            <w:tcW w:w="1120" w:type="dxa"/>
            <w:vMerge w:val="continue"/>
            <w:vAlign w:val="center"/>
          </w:tcPr>
          <w:p w14:paraId="02F190F7">
            <w:pPr>
              <w:pStyle w:val="7"/>
              <w:jc w:val="center"/>
              <w:rPr>
                <w:rFonts w:hint="eastAsia" w:ascii="仿宋" w:hAnsi="仿宋" w:eastAsia="仿宋" w:cs="仿宋"/>
                <w:sz w:val="32"/>
                <w:szCs w:val="32"/>
                <w:vertAlign w:val="baseline"/>
              </w:rPr>
            </w:pPr>
          </w:p>
        </w:tc>
        <w:tc>
          <w:tcPr>
            <w:tcW w:w="1384" w:type="dxa"/>
            <w:vMerge w:val="continue"/>
            <w:vAlign w:val="center"/>
          </w:tcPr>
          <w:p w14:paraId="7595E2D9">
            <w:pPr>
              <w:pStyle w:val="7"/>
              <w:jc w:val="center"/>
              <w:rPr>
                <w:rFonts w:hint="eastAsia" w:ascii="仿宋" w:hAnsi="仿宋" w:eastAsia="仿宋" w:cs="仿宋"/>
                <w:sz w:val="32"/>
                <w:szCs w:val="32"/>
                <w:vertAlign w:val="baseline"/>
              </w:rPr>
            </w:pPr>
          </w:p>
        </w:tc>
        <w:tc>
          <w:tcPr>
            <w:tcW w:w="1419" w:type="dxa"/>
            <w:vMerge w:val="continue"/>
            <w:vAlign w:val="center"/>
          </w:tcPr>
          <w:p w14:paraId="1FDCC132">
            <w:pPr>
              <w:pStyle w:val="7"/>
              <w:jc w:val="center"/>
              <w:rPr>
                <w:rFonts w:hint="eastAsia" w:ascii="仿宋" w:hAnsi="仿宋" w:eastAsia="仿宋" w:cs="仿宋"/>
                <w:sz w:val="32"/>
                <w:szCs w:val="32"/>
                <w:vertAlign w:val="baseline"/>
              </w:rPr>
            </w:pPr>
          </w:p>
        </w:tc>
        <w:tc>
          <w:tcPr>
            <w:tcW w:w="1024" w:type="dxa"/>
            <w:vAlign w:val="center"/>
          </w:tcPr>
          <w:p w14:paraId="1508EF20">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行政</w:t>
            </w:r>
          </w:p>
        </w:tc>
        <w:tc>
          <w:tcPr>
            <w:tcW w:w="966" w:type="dxa"/>
            <w:vAlign w:val="center"/>
          </w:tcPr>
          <w:p w14:paraId="63C2832B">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事业</w:t>
            </w:r>
          </w:p>
        </w:tc>
        <w:tc>
          <w:tcPr>
            <w:tcW w:w="1506" w:type="dxa"/>
            <w:vAlign w:val="center"/>
          </w:tcPr>
          <w:p w14:paraId="069118DC">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退休</w:t>
            </w:r>
          </w:p>
        </w:tc>
      </w:tr>
      <w:tr w14:paraId="73E2D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3" w:hRule="atLeast"/>
        </w:trPr>
        <w:tc>
          <w:tcPr>
            <w:tcW w:w="1526" w:type="dxa"/>
            <w:vAlign w:val="center"/>
          </w:tcPr>
          <w:p w14:paraId="50B40D49">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河北鹿泉经济开发区管理委员会本级</w:t>
            </w:r>
          </w:p>
        </w:tc>
        <w:tc>
          <w:tcPr>
            <w:tcW w:w="1120" w:type="dxa"/>
            <w:vAlign w:val="center"/>
          </w:tcPr>
          <w:p w14:paraId="0F089400">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行政</w:t>
            </w:r>
          </w:p>
        </w:tc>
        <w:tc>
          <w:tcPr>
            <w:tcW w:w="1384" w:type="dxa"/>
            <w:vAlign w:val="center"/>
          </w:tcPr>
          <w:p w14:paraId="13F5A3DC">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正</w:t>
            </w:r>
            <w:bookmarkStart w:id="0" w:name="_GoBack"/>
            <w:bookmarkEnd w:id="0"/>
            <w:r>
              <w:rPr>
                <w:rFonts w:hint="eastAsia" w:ascii="仿宋" w:hAnsi="仿宋" w:eastAsia="仿宋" w:cs="仿宋"/>
                <w:sz w:val="32"/>
                <w:szCs w:val="32"/>
                <w:vertAlign w:val="baseline"/>
                <w:lang w:val="en-US" w:eastAsia="zh-CN"/>
              </w:rPr>
              <w:t>处（县）级</w:t>
            </w:r>
          </w:p>
        </w:tc>
        <w:tc>
          <w:tcPr>
            <w:tcW w:w="1419" w:type="dxa"/>
            <w:vAlign w:val="center"/>
          </w:tcPr>
          <w:p w14:paraId="603450E9">
            <w:pPr>
              <w:pStyle w:val="7"/>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财政拨款</w:t>
            </w:r>
          </w:p>
        </w:tc>
        <w:tc>
          <w:tcPr>
            <w:tcW w:w="1024" w:type="dxa"/>
            <w:vAlign w:val="center"/>
          </w:tcPr>
          <w:p w14:paraId="679620E2">
            <w:pPr>
              <w:pStyle w:val="7"/>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27</w:t>
            </w:r>
          </w:p>
        </w:tc>
        <w:tc>
          <w:tcPr>
            <w:tcW w:w="966" w:type="dxa"/>
            <w:vAlign w:val="center"/>
          </w:tcPr>
          <w:p w14:paraId="6A88C66A">
            <w:pPr>
              <w:pStyle w:val="7"/>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47</w:t>
            </w:r>
          </w:p>
        </w:tc>
        <w:tc>
          <w:tcPr>
            <w:tcW w:w="1506" w:type="dxa"/>
            <w:vAlign w:val="center"/>
          </w:tcPr>
          <w:p w14:paraId="6644D8B0">
            <w:pPr>
              <w:pStyle w:val="7"/>
              <w:jc w:val="center"/>
              <w:rPr>
                <w:rFonts w:hint="eastAsia" w:ascii="仿宋" w:hAnsi="仿宋" w:eastAsia="仿宋" w:cs="仿宋"/>
                <w:color w:val="auto"/>
                <w:sz w:val="32"/>
                <w:szCs w:val="32"/>
                <w:highlight w:val="none"/>
                <w:vertAlign w:val="baseline"/>
                <w:lang w:val="en-US"/>
              </w:rPr>
            </w:pPr>
            <w:r>
              <w:rPr>
                <w:rFonts w:hint="eastAsia" w:ascii="仿宋" w:hAnsi="仿宋" w:eastAsia="仿宋" w:cs="仿宋"/>
                <w:color w:val="auto"/>
                <w:sz w:val="32"/>
                <w:szCs w:val="32"/>
                <w:highlight w:val="none"/>
                <w:vertAlign w:val="baseline"/>
                <w:lang w:val="en-US" w:eastAsia="zh-CN"/>
              </w:rPr>
              <w:t>29</w:t>
            </w:r>
          </w:p>
        </w:tc>
      </w:tr>
    </w:tbl>
    <w:p w14:paraId="543640B6">
      <w:pPr>
        <w:numPr>
          <w:ilvl w:val="0"/>
          <w:numId w:val="1"/>
        </w:num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部门收支预决算情况</w:t>
      </w:r>
    </w:p>
    <w:p w14:paraId="6FF6944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收入支出</w:t>
      </w:r>
      <w:r>
        <w:rPr>
          <w:rFonts w:hint="eastAsia" w:ascii="仿宋" w:hAnsi="仿宋" w:eastAsia="仿宋" w:cs="仿宋"/>
          <w:sz w:val="32"/>
          <w:szCs w:val="32"/>
          <w:lang w:val="en-US" w:eastAsia="zh-CN"/>
        </w:rPr>
        <w:t>预算</w:t>
      </w:r>
      <w:r>
        <w:rPr>
          <w:rFonts w:hint="eastAsia" w:ascii="仿宋" w:hAnsi="仿宋" w:eastAsia="仿宋" w:cs="仿宋"/>
          <w:sz w:val="32"/>
          <w:szCs w:val="32"/>
        </w:rPr>
        <w:t>总体情况说明</w:t>
      </w:r>
    </w:p>
    <w:p w14:paraId="022B62B4">
      <w:pPr>
        <w:pStyle w:val="9"/>
        <w:keepNext w:val="0"/>
        <w:keepLines w:val="0"/>
        <w:pageBreakBefore w:val="0"/>
        <w:widowControl w:val="0"/>
        <w:kinsoku/>
        <w:wordWrap/>
        <w:overflowPunct/>
        <w:topLinePunct w:val="0"/>
        <w:autoSpaceDE/>
        <w:autoSpaceDN/>
        <w:bidi w:val="0"/>
        <w:adjustRightInd/>
        <w:snapToGrid/>
        <w:spacing w:line="560" w:lineRule="exact"/>
        <w:ind w:firstLine="561"/>
        <w:textAlignment w:val="auto"/>
        <w:rPr>
          <w:rFonts w:hint="eastAsia" w:ascii="仿宋" w:hAnsi="仿宋" w:eastAsia="仿宋" w:cs="仿宋"/>
          <w:w w:val="98"/>
          <w:kern w:val="2"/>
          <w:sz w:val="32"/>
          <w:szCs w:val="32"/>
          <w:highlight w:val="none"/>
          <w:lang w:val="en-US" w:eastAsia="zh-CN" w:bidi="ar-SA"/>
        </w:rPr>
      </w:pPr>
      <w:r>
        <w:rPr>
          <w:rFonts w:hint="eastAsia" w:ascii="仿宋" w:hAnsi="仿宋" w:eastAsia="仿宋" w:cs="仿宋"/>
          <w:w w:val="98"/>
          <w:kern w:val="2"/>
          <w:sz w:val="32"/>
          <w:szCs w:val="32"/>
          <w:highlight w:val="none"/>
          <w:lang w:val="en-US" w:eastAsia="zh-CN" w:bidi="ar-SA"/>
        </w:rPr>
        <w:t>2025年预算收入83659.97万元，其中：一般公共预算收入31691.30万元，基金预算收入3761.00万元，国有资本经营预算收入0.00万元，财政专户核拨收入0.00万元，单位资金收入0.00万元，上年结转结余48207.67万元。</w:t>
      </w:r>
    </w:p>
    <w:p w14:paraId="5CBBF135">
      <w:pPr>
        <w:pStyle w:val="9"/>
        <w:keepNext w:val="0"/>
        <w:keepLines w:val="0"/>
        <w:pageBreakBefore w:val="0"/>
        <w:widowControl w:val="0"/>
        <w:kinsoku/>
        <w:wordWrap/>
        <w:overflowPunct/>
        <w:topLinePunct w:val="0"/>
        <w:autoSpaceDE/>
        <w:autoSpaceDN/>
        <w:bidi w:val="0"/>
        <w:adjustRightInd/>
        <w:snapToGrid/>
        <w:spacing w:line="560" w:lineRule="exact"/>
        <w:ind w:firstLine="561"/>
        <w:textAlignment w:val="auto"/>
        <w:rPr>
          <w:rFonts w:hint="eastAsia" w:ascii="仿宋" w:hAnsi="仿宋" w:eastAsia="仿宋" w:cs="仿宋"/>
          <w:w w:val="98"/>
          <w:kern w:val="2"/>
          <w:sz w:val="32"/>
          <w:szCs w:val="32"/>
          <w:highlight w:val="none"/>
          <w:lang w:val="en-US" w:eastAsia="zh-CN" w:bidi="ar-SA"/>
        </w:rPr>
      </w:pPr>
      <w:r>
        <w:rPr>
          <w:rFonts w:hint="eastAsia" w:ascii="仿宋" w:hAnsi="仿宋" w:eastAsia="仿宋" w:cs="仿宋"/>
          <w:w w:val="98"/>
          <w:kern w:val="2"/>
          <w:sz w:val="32"/>
          <w:szCs w:val="32"/>
          <w:highlight w:val="none"/>
          <w:lang w:val="en-US" w:eastAsia="zh-CN" w:bidi="ar-SA"/>
        </w:rPr>
        <w:t>2025年支出预算83659.97万元，其中基本支出1578.64万元，包括人员经费1450.46万元和日常公用经费128.18万元；项目支出82081.33万元，主要为基础设施建设、城乡规划、企业服务及招商等项目。</w:t>
      </w:r>
    </w:p>
    <w:p w14:paraId="6496D97E">
      <w:pPr>
        <w:spacing w:line="560" w:lineRule="exact"/>
        <w:ind w:firstLine="420" w:firstLineChars="200"/>
      </w:pPr>
    </w:p>
    <w:p w14:paraId="33B07D32">
      <w:pPr>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2、收入支出决算总体情况说明</w:t>
      </w:r>
    </w:p>
    <w:p w14:paraId="550DEA85">
      <w:pPr>
        <w:spacing w:line="560" w:lineRule="exact"/>
        <w:ind w:firstLine="626" w:firstLineChars="200"/>
        <w:rPr>
          <w:rFonts w:hint="eastAsia" w:ascii="仿宋" w:hAnsi="仿宋" w:eastAsia="仿宋" w:cs="仿宋"/>
          <w:w w:val="98"/>
          <w:sz w:val="32"/>
          <w:szCs w:val="32"/>
          <w:highlight w:val="none"/>
          <w:lang w:val="en-US" w:eastAsia="zh-CN"/>
        </w:rPr>
      </w:pPr>
      <w:r>
        <w:rPr>
          <w:rFonts w:hint="eastAsia" w:ascii="仿宋" w:hAnsi="仿宋" w:eastAsia="仿宋" w:cs="仿宋"/>
          <w:w w:val="98"/>
          <w:sz w:val="32"/>
          <w:szCs w:val="32"/>
          <w:highlight w:val="none"/>
          <w:lang w:val="en-US" w:eastAsia="zh-CN"/>
        </w:rPr>
        <w:t>2025年决算收入49401.67万元，其中：一般公共预算收入28474.69万元，基金预算收入19601.45万元，其他收入11.76万元。年初结转和结余收入1313.77万元。</w:t>
      </w:r>
    </w:p>
    <w:p w14:paraId="27497395">
      <w:pPr>
        <w:spacing w:line="560" w:lineRule="exact"/>
        <w:ind w:firstLine="626" w:firstLineChars="200"/>
        <w:rPr>
          <w:rFonts w:hint="eastAsia" w:ascii="仿宋" w:hAnsi="仿宋" w:eastAsia="仿宋" w:cs="仿宋"/>
          <w:w w:val="98"/>
          <w:sz w:val="32"/>
          <w:szCs w:val="32"/>
          <w:highlight w:val="none"/>
          <w:lang w:val="en-US" w:eastAsia="zh-CN"/>
        </w:rPr>
      </w:pPr>
      <w:r>
        <w:rPr>
          <w:rFonts w:hint="eastAsia" w:ascii="仿宋" w:hAnsi="仿宋" w:eastAsia="仿宋" w:cs="仿宋"/>
          <w:w w:val="98"/>
          <w:sz w:val="32"/>
          <w:szCs w:val="32"/>
          <w:highlight w:val="none"/>
          <w:lang w:val="en-US" w:eastAsia="zh-CN"/>
        </w:rPr>
        <w:t>2025年决算支出49401.67万元，其中基本支出1674.83万元，包括人员经费1578.04万元和日常公用经费96.79万元；项目支出46625.91万元。年末结转和结余1100.93万元。</w:t>
      </w:r>
    </w:p>
    <w:p w14:paraId="68013DB2">
      <w:pPr>
        <w:adjustRightInd w:val="0"/>
        <w:snapToGrid w:val="0"/>
        <w:spacing w:line="560" w:lineRule="exact"/>
        <w:ind w:firstLine="640" w:firstLineChars="200"/>
        <w:rPr>
          <w:rFonts w:hint="eastAsia" w:ascii="仿宋" w:hAnsi="仿宋" w:eastAsia="仿宋" w:cs="仿宋"/>
          <w:bCs/>
          <w:sz w:val="32"/>
          <w:szCs w:val="32"/>
          <w:highlight w:val="none"/>
        </w:rPr>
      </w:pPr>
      <w:r>
        <w:rPr>
          <w:rFonts w:hint="eastAsia" w:ascii="仿宋" w:hAnsi="仿宋" w:eastAsia="仿宋" w:cs="仿宋"/>
          <w:bCs/>
          <w:sz w:val="32"/>
          <w:szCs w:val="32"/>
          <w:highlight w:val="none"/>
        </w:rPr>
        <w:t>（三）部门整体支出绩效目标、指标</w:t>
      </w:r>
    </w:p>
    <w:p w14:paraId="7DFC9CEF">
      <w:pPr>
        <w:pStyle w:val="10"/>
        <w:jc w:val="both"/>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1、总体绩效目标</w:t>
      </w:r>
    </w:p>
    <w:p w14:paraId="17579980">
      <w:pPr>
        <w:pStyle w:val="10"/>
        <w:keepNext w:val="0"/>
        <w:keepLines w:val="0"/>
        <w:pageBreakBefore w:val="0"/>
        <w:widowControl w:val="0"/>
        <w:kinsoku/>
        <w:wordWrap/>
        <w:overflowPunct/>
        <w:topLinePunct w:val="0"/>
        <w:autoSpaceDE/>
        <w:autoSpaceDN/>
        <w:bidi w:val="0"/>
        <w:adjustRightInd/>
        <w:snapToGrid/>
        <w:spacing w:line="560" w:lineRule="exact"/>
        <w:ind w:firstLine="561"/>
        <w:textAlignment w:val="auto"/>
        <w:rPr>
          <w:rFonts w:hint="eastAsia" w:ascii="Calibri" w:hAnsi="Calibri" w:eastAsia="方正仿宋_GBK" w:cs="黑体"/>
          <w:kern w:val="2"/>
          <w:sz w:val="28"/>
          <w:szCs w:val="22"/>
          <w:lang w:val="en-US" w:eastAsia="zh-CN" w:bidi="ar-SA"/>
        </w:rPr>
      </w:pPr>
      <w:r>
        <w:rPr>
          <w:rFonts w:hint="eastAsia" w:ascii="Calibri" w:hAnsi="Calibri" w:eastAsia="方正仿宋_GBK" w:cs="黑体"/>
          <w:kern w:val="2"/>
          <w:sz w:val="28"/>
          <w:szCs w:val="22"/>
          <w:lang w:val="en-US" w:eastAsia="zh-CN" w:bidi="ar-SA"/>
        </w:rPr>
        <w:t>2025年经开区总体绩效目标：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p>
    <w:p w14:paraId="49D1CCE7">
      <w:pPr>
        <w:pStyle w:val="10"/>
        <w:jc w:val="both"/>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2、分项绩效目标</w:t>
      </w:r>
    </w:p>
    <w:p w14:paraId="27B9E8E7">
      <w:pPr>
        <w:pStyle w:val="11"/>
      </w:pPr>
      <w:r>
        <w:rPr>
          <w:rFonts w:hint="eastAsia" w:ascii="仿宋" w:hAnsi="仿宋" w:eastAsia="仿宋" w:cs="仿宋"/>
          <w:kern w:val="2"/>
          <w:sz w:val="32"/>
          <w:szCs w:val="32"/>
          <w:highlight w:val="none"/>
          <w:lang w:val="en-US" w:eastAsia="zh-CN" w:bidi="ar-SA"/>
        </w:rPr>
        <w:t>（1）</w:t>
      </w:r>
      <w:r>
        <w:t>投资项目咨询及环评文件技术评估机构委托服务项目</w:t>
      </w:r>
    </w:p>
    <w:p w14:paraId="54E97B58">
      <w:pPr>
        <w:pStyle w:val="11"/>
      </w:pPr>
      <w:r>
        <w:t>绩效目标：项目单位按照报告问题进行整改。建设项目排污技术审查评估，提出整改问题，并出具审查意见。</w:t>
      </w:r>
    </w:p>
    <w:p w14:paraId="51404CC1">
      <w:pPr>
        <w:pStyle w:val="11"/>
      </w:pPr>
      <w:r>
        <w:t>绩效指标：由9家评估公司对约40个项目进行建设项目环境影响评价文件技术评估服务及约20个政府投资项目的建议书、可研、初设，节能，出具评估报告。对约20个建设项目排污技术审查评估，提出整改问题，并出具审查意见。</w:t>
      </w:r>
    </w:p>
    <w:p w14:paraId="6D6511F2">
      <w:pPr>
        <w:pStyle w:val="11"/>
      </w:pPr>
      <w:r>
        <w:rPr>
          <w:rFonts w:hint="eastAsia"/>
          <w:lang w:eastAsia="zh-CN"/>
        </w:rPr>
        <w:t>（</w:t>
      </w:r>
      <w:r>
        <w:rPr>
          <w:rFonts w:hint="eastAsia"/>
          <w:lang w:val="en-US" w:eastAsia="zh-CN"/>
        </w:rPr>
        <w:t>2</w:t>
      </w:r>
      <w:r>
        <w:rPr>
          <w:rFonts w:hint="eastAsia"/>
          <w:lang w:eastAsia="zh-CN"/>
        </w:rPr>
        <w:t>）</w:t>
      </w:r>
      <w:r>
        <w:t>经开区和平路与西三环互通立交工程涉铁房屋还建项目</w:t>
      </w:r>
    </w:p>
    <w:p w14:paraId="64F3032D">
      <w:pPr>
        <w:pStyle w:val="11"/>
      </w:pPr>
      <w:r>
        <w:t>绩效目标：公寓段新建1栋公寓楼（6F）及附属建筑（2F）、1栋自行车棚（1F）、1栋水泵房（地下1F）建设，总建筑面积4647.18平方米，配套建设室外道路硬化、绿化、围墙、大门等附属工程。完善配套设施，打造良好营商环境。</w:t>
      </w:r>
    </w:p>
    <w:p w14:paraId="643A1FAE">
      <w:pPr>
        <w:pStyle w:val="11"/>
      </w:pPr>
      <w:r>
        <w:t>绩效指标：项目总用地面积9638.89平方米（约合14.46亩），其中公寓段用地面积4700平方米（约合7.05亩），工务段用地面积4938.89平方米（约合7.41亩）。</w:t>
      </w:r>
    </w:p>
    <w:p w14:paraId="53F42DC2">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二、自评工作开展情况</w:t>
      </w:r>
    </w:p>
    <w:p w14:paraId="1D30BA84">
      <w:pPr>
        <w:spacing w:line="560" w:lineRule="exact"/>
        <w:rPr>
          <w:rFonts w:hint="eastAsia" w:ascii="仿宋" w:hAnsi="仿宋" w:eastAsia="仿宋" w:cs="仿宋"/>
          <w:sz w:val="32"/>
          <w:szCs w:val="32"/>
          <w:highlight w:val="none"/>
        </w:rPr>
      </w:pPr>
      <w:r>
        <w:rPr>
          <w:rFonts w:hint="eastAsia" w:ascii="仿宋" w:hAnsi="仿宋" w:eastAsia="仿宋" w:cs="仿宋"/>
          <w:b/>
          <w:bCs/>
          <w:sz w:val="32"/>
          <w:szCs w:val="32"/>
          <w:highlight w:val="none"/>
        </w:rPr>
        <w:t xml:space="preserve">    </w:t>
      </w:r>
      <w:r>
        <w:rPr>
          <w:rFonts w:hint="eastAsia" w:ascii="仿宋" w:hAnsi="仿宋" w:eastAsia="仿宋" w:cs="仿宋"/>
          <w:bCs/>
          <w:sz w:val="32"/>
          <w:szCs w:val="32"/>
          <w:highlight w:val="none"/>
        </w:rPr>
        <w:t>（一）自评的组织工作</w:t>
      </w:r>
    </w:p>
    <w:p w14:paraId="0FE4BB73">
      <w:pPr>
        <w:spacing w:line="560" w:lineRule="exact"/>
        <w:rPr>
          <w:rFonts w:hint="eastAsia" w:ascii="仿宋" w:hAnsi="仿宋" w:eastAsia="仿宋" w:cs="仿宋"/>
          <w:sz w:val="32"/>
          <w:szCs w:val="32"/>
          <w:highlight w:val="none"/>
        </w:rPr>
      </w:pP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val="en-US" w:eastAsia="zh-CN"/>
        </w:rPr>
        <w:t>我部门依据《关于全面实施预算绩效管理的实施意见》（鹿发【2019】8号、《鹿泉区区级部门项目绩效自评管理办法》（鹿财字【2020】18号）文件，对部门2025年度专项项目进行绩效自评。</w:t>
      </w:r>
      <w:r>
        <w:rPr>
          <w:rFonts w:hint="eastAsia" w:ascii="仿宋" w:hAnsi="仿宋" w:eastAsia="仿宋" w:cs="仿宋"/>
          <w:sz w:val="32"/>
          <w:szCs w:val="32"/>
          <w:highlight w:val="none"/>
        </w:rPr>
        <w:t>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14:paraId="47F36F8B">
      <w:pPr>
        <w:numPr>
          <w:ilvl w:val="0"/>
          <w:numId w:val="2"/>
        </w:numPr>
        <w:spacing w:line="560" w:lineRule="exact"/>
        <w:ind w:left="630" w:leftChars="0" w:firstLineChars="0"/>
        <w:rPr>
          <w:rFonts w:hint="eastAsia" w:ascii="仿宋" w:hAnsi="仿宋" w:eastAsia="仿宋" w:cs="仿宋"/>
          <w:bCs/>
          <w:sz w:val="32"/>
          <w:szCs w:val="32"/>
          <w:highlight w:val="none"/>
        </w:rPr>
      </w:pPr>
      <w:r>
        <w:rPr>
          <w:rFonts w:hint="eastAsia" w:ascii="仿宋" w:hAnsi="仿宋" w:eastAsia="仿宋" w:cs="仿宋"/>
          <w:bCs/>
          <w:sz w:val="32"/>
          <w:szCs w:val="32"/>
          <w:highlight w:val="none"/>
        </w:rPr>
        <w:t>自评的方法和过程</w:t>
      </w:r>
    </w:p>
    <w:p w14:paraId="67377C3A">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绩效评价标准和评价方法。根据项目实际情况，选用恰当的标准进行评价，定量评价标准、定性评价标准、隶属度标准、客观标准等相结合，从多角度进行综合评价。</w:t>
      </w:r>
    </w:p>
    <w:p w14:paraId="5CC4192D">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绩效评价实施过程。</w:t>
      </w:r>
    </w:p>
    <w:p w14:paraId="66471DA2">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前期准备</w:t>
      </w:r>
    </w:p>
    <w:p w14:paraId="1C7BB91C">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根据有关规定及要求，认真组织人员对项目自评资料进行收集、整理，针对指标完成情况进行绩效分析。为有效及时的完成项目绩效自评工作打下坚实的基础。</w:t>
      </w:r>
    </w:p>
    <w:p w14:paraId="6B3FC57A">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组织实施</w:t>
      </w:r>
    </w:p>
    <w:p w14:paraId="0EE21100">
      <w:pPr>
        <w:spacing w:line="560" w:lineRule="exact"/>
        <w:ind w:firstLine="620" w:firstLineChars="200"/>
        <w:rPr>
          <w:rFonts w:hint="eastAsia" w:ascii="仿宋" w:hAnsi="仿宋" w:eastAsia="仿宋" w:cs="仿宋"/>
          <w:w w:val="97"/>
          <w:sz w:val="32"/>
          <w:szCs w:val="32"/>
          <w:highlight w:val="none"/>
        </w:rPr>
      </w:pPr>
      <w:r>
        <w:rPr>
          <w:rFonts w:hint="eastAsia" w:ascii="仿宋" w:hAnsi="仿宋" w:eastAsia="仿宋" w:cs="仿宋"/>
          <w:w w:val="97"/>
          <w:sz w:val="32"/>
          <w:szCs w:val="32"/>
          <w:highlight w:val="none"/>
        </w:rPr>
        <w:t>加强过程控制，认真总结项目实现绩效目标过程中存在的问题和采取的改进措施，对项目的预算编制、工程施工、材料的采购进行认真的分析研究，整个过程严格按照绩效评价管理办法进行。</w:t>
      </w:r>
    </w:p>
    <w:p w14:paraId="1DDDBADE">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（3）</w:t>
      </w:r>
      <w:r>
        <w:rPr>
          <w:rFonts w:hint="eastAsia" w:ascii="仿宋" w:hAnsi="仿宋" w:eastAsia="仿宋" w:cs="仿宋"/>
          <w:sz w:val="32"/>
          <w:szCs w:val="32"/>
          <w:highlight w:val="none"/>
        </w:rPr>
        <w:t>分析评价</w:t>
      </w:r>
    </w:p>
    <w:p w14:paraId="5CB2E7AA">
      <w:pPr>
        <w:widowControl w:val="0"/>
        <w:wordWrap/>
        <w:spacing w:line="560" w:lineRule="exact"/>
        <w:ind w:left="0" w:leftChars="0" w:right="0" w:firstLine="64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根据项目立身特点和已经确定的各项绩效指标，对照项目完成情况，逐一评价，确保评价结论真实、客观、公平、公正</w:t>
      </w:r>
      <w:r>
        <w:rPr>
          <w:rFonts w:hint="eastAsia" w:ascii="仿宋" w:hAnsi="仿宋" w:eastAsia="仿宋" w:cs="仿宋"/>
          <w:sz w:val="32"/>
          <w:szCs w:val="32"/>
          <w:highlight w:val="none"/>
          <w:lang w:eastAsia="zh-CN"/>
        </w:rPr>
        <w:t>。</w:t>
      </w:r>
    </w:p>
    <w:p w14:paraId="3D9F26F2">
      <w:pPr>
        <w:spacing w:line="560" w:lineRule="exact"/>
        <w:rPr>
          <w:rFonts w:ascii="黑体" w:hAnsi="黑体" w:eastAsia="黑体"/>
          <w:b/>
          <w:bCs/>
          <w:sz w:val="32"/>
          <w:szCs w:val="32"/>
          <w:highlight w:val="none"/>
        </w:rPr>
      </w:pPr>
      <w:r>
        <w:rPr>
          <w:rFonts w:hint="eastAsia" w:ascii="黑体" w:hAnsi="黑体" w:eastAsia="黑体"/>
          <w:sz w:val="32"/>
          <w:szCs w:val="32"/>
          <w:highlight w:val="none"/>
        </w:rPr>
        <w:t xml:space="preserve">    三、部门整体支出绩效目标实现情况及指标分析</w:t>
      </w:r>
    </w:p>
    <w:p w14:paraId="2A89BE49">
      <w:pPr>
        <w:numPr>
          <w:ilvl w:val="0"/>
          <w:numId w:val="3"/>
        </w:numPr>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总体绩效目标实现情况</w:t>
      </w:r>
    </w:p>
    <w:p w14:paraId="12E314A7">
      <w:pPr>
        <w:spacing w:line="560" w:lineRule="exact"/>
        <w:ind w:firstLine="560" w:firstLineChars="200"/>
        <w:rPr>
          <w:rFonts w:hint="eastAsia" w:ascii="仿宋" w:hAnsi="仿宋" w:eastAsia="仿宋" w:cs="楷体_GB2312"/>
          <w:b/>
          <w:bCs/>
          <w:sz w:val="32"/>
          <w:szCs w:val="32"/>
          <w:highlight w:val="none"/>
        </w:rPr>
      </w:pPr>
      <w:r>
        <w:rPr>
          <w:rFonts w:hint="eastAsia" w:ascii="Times New Roman" w:hAnsi="Times New Roman" w:eastAsia="方正仿宋_GBK" w:cs="Times New Roman"/>
          <w:kern w:val="2"/>
          <w:sz w:val="28"/>
          <w:szCs w:val="22"/>
          <w:highlight w:val="none"/>
          <w:lang w:val="en-US" w:eastAsia="zh-CN" w:bidi="ar-SA"/>
        </w:rPr>
        <w:t>2025年，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r>
        <w:rPr>
          <w:rFonts w:hint="eastAsia" w:ascii="仿宋" w:hAnsi="仿宋" w:eastAsia="仿宋" w:cs="楷体_GB2312"/>
          <w:b/>
          <w:bCs/>
          <w:sz w:val="32"/>
          <w:szCs w:val="32"/>
          <w:highlight w:val="none"/>
        </w:rPr>
        <w:t xml:space="preserve">    </w:t>
      </w:r>
    </w:p>
    <w:p w14:paraId="6D83E429">
      <w:pPr>
        <w:numPr>
          <w:ilvl w:val="0"/>
          <w:numId w:val="3"/>
        </w:numPr>
        <w:spacing w:line="560" w:lineRule="exact"/>
        <w:ind w:left="0" w:leftChars="0"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分项绩效目标实现情况及指标分析</w:t>
      </w:r>
    </w:p>
    <w:p w14:paraId="652603F8">
      <w:pPr>
        <w:widowControl w:val="0"/>
        <w:numPr>
          <w:ilvl w:val="0"/>
          <w:numId w:val="0"/>
        </w:numPr>
        <w:spacing w:line="560" w:lineRule="exact"/>
        <w:ind w:firstLine="560" w:firstLineChars="200"/>
        <w:jc w:val="both"/>
        <w:rPr>
          <w:rFonts w:hint="eastAsia" w:ascii="楷体" w:hAnsi="楷体" w:eastAsia="楷体" w:cs="楷体_GB2312"/>
          <w:bCs/>
          <w:sz w:val="32"/>
          <w:szCs w:val="32"/>
          <w:highlight w:val="none"/>
        </w:rPr>
      </w:pPr>
      <w:r>
        <w:rPr>
          <w:rFonts w:hint="eastAsia" w:ascii="Times New Roman" w:hAnsi="Times New Roman" w:eastAsia="方正仿宋_GBK" w:cs="Times New Roman"/>
          <w:kern w:val="2"/>
          <w:sz w:val="28"/>
          <w:szCs w:val="22"/>
          <w:highlight w:val="none"/>
          <w:lang w:val="en-US" w:eastAsia="zh-CN" w:bidi="ar-SA"/>
        </w:rPr>
        <w:t>根据预算绩效管理要求，我单位组织对</w:t>
      </w:r>
      <w:r>
        <w:rPr>
          <w:rFonts w:ascii="Times New Roman" w:hAnsi="Times New Roman" w:eastAsia="方正仿宋_GBK" w:cs="Times New Roman"/>
          <w:kern w:val="2"/>
          <w:sz w:val="28"/>
          <w:szCs w:val="22"/>
          <w:highlight w:val="none"/>
          <w:lang w:val="en-US" w:eastAsia="zh-CN" w:bidi="ar-SA"/>
        </w:rPr>
        <w:t>202</w:t>
      </w:r>
      <w:r>
        <w:rPr>
          <w:rFonts w:hint="eastAsia" w:ascii="Times New Roman" w:hAnsi="Times New Roman" w:eastAsia="方正仿宋_GBK" w:cs="Times New Roman"/>
          <w:kern w:val="2"/>
          <w:sz w:val="28"/>
          <w:szCs w:val="22"/>
          <w:highlight w:val="none"/>
          <w:lang w:val="en-US" w:eastAsia="zh-CN" w:bidi="ar-SA"/>
        </w:rPr>
        <w:t>5年度</w:t>
      </w:r>
      <w:r>
        <w:rPr>
          <w:rFonts w:hint="eastAsia" w:ascii="Times New Roman" w:hAnsi="Times New Roman" w:eastAsia="方正仿宋_GBK" w:cs="Times New Roman"/>
          <w:color w:val="auto"/>
          <w:kern w:val="2"/>
          <w:sz w:val="28"/>
          <w:szCs w:val="22"/>
          <w:highlight w:val="none"/>
          <w:lang w:val="en-US" w:eastAsia="zh-CN" w:bidi="ar-SA"/>
        </w:rPr>
        <w:t>136个预算项目全面开展绩效自评，共涉及资金96277.43万元。绩效自</w:t>
      </w:r>
      <w:r>
        <w:rPr>
          <w:rFonts w:hint="eastAsia" w:ascii="Times New Roman" w:hAnsi="Times New Roman" w:eastAsia="方正仿宋_GBK" w:cs="Times New Roman"/>
          <w:kern w:val="2"/>
          <w:sz w:val="28"/>
          <w:szCs w:val="22"/>
          <w:highlight w:val="none"/>
          <w:lang w:val="en-US" w:eastAsia="zh-CN" w:bidi="ar-SA"/>
        </w:rPr>
        <w:t>评情况详见下表。</w:t>
      </w:r>
    </w:p>
    <w:tbl>
      <w:tblPr>
        <w:tblStyle w:val="4"/>
        <w:tblpPr w:leftFromText="180" w:rightFromText="180" w:vertAnchor="text" w:horzAnchor="page" w:tblpX="1498" w:tblpY="1664"/>
        <w:tblOverlap w:val="never"/>
        <w:tblW w:w="90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5"/>
        <w:gridCol w:w="4237"/>
        <w:gridCol w:w="1108"/>
        <w:gridCol w:w="236"/>
        <w:gridCol w:w="1036"/>
        <w:gridCol w:w="808"/>
        <w:gridCol w:w="832"/>
        <w:gridCol w:w="160"/>
      </w:tblGrid>
      <w:tr w14:paraId="2E2A0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9082" w:type="dxa"/>
            <w:gridSpan w:val="8"/>
            <w:tcBorders>
              <w:top w:val="nil"/>
              <w:left w:val="nil"/>
              <w:bottom w:val="nil"/>
              <w:right w:val="nil"/>
            </w:tcBorders>
            <w:shd w:val="clear" w:color="auto" w:fill="auto"/>
            <w:noWrap/>
            <w:vAlign w:val="center"/>
          </w:tcPr>
          <w:p w14:paraId="2188BADE">
            <w:pPr>
              <w:jc w:val="center"/>
              <w:rPr>
                <w:rFonts w:hint="eastAsia" w:ascii="宋体" w:hAnsi="宋体" w:eastAsia="宋体" w:cs="宋体"/>
                <w:i w:val="0"/>
                <w:iCs w:val="0"/>
                <w:color w:val="000000"/>
                <w:sz w:val="22"/>
                <w:szCs w:val="22"/>
                <w:u w:val="none"/>
              </w:rPr>
            </w:pPr>
            <w:r>
              <w:rPr>
                <w:rFonts w:hint="eastAsia" w:ascii="宋体" w:hAnsi="宋体" w:eastAsia="宋体" w:cs="宋体"/>
                <w:b/>
                <w:bCs/>
                <w:i w:val="0"/>
                <w:iCs w:val="0"/>
                <w:color w:val="000000"/>
                <w:kern w:val="0"/>
                <w:sz w:val="44"/>
                <w:szCs w:val="44"/>
                <w:u w:val="none"/>
                <w:lang w:val="en-US" w:eastAsia="zh-CN" w:bidi="ar"/>
              </w:rPr>
              <w:t>部门绩效自评结果公开汇总表</w:t>
            </w:r>
          </w:p>
        </w:tc>
      </w:tr>
      <w:tr w14:paraId="4BF27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60" w:type="dxa"/>
          <w:trHeight w:val="522" w:hRule="atLeast"/>
          <w:jc w:val="center"/>
        </w:trPr>
        <w:tc>
          <w:tcPr>
            <w:tcW w:w="4902" w:type="dxa"/>
            <w:gridSpan w:val="2"/>
            <w:tcBorders>
              <w:top w:val="nil"/>
              <w:left w:val="nil"/>
              <w:bottom w:val="single" w:color="000000" w:sz="4" w:space="0"/>
              <w:right w:val="nil"/>
            </w:tcBorders>
            <w:shd w:val="clear" w:color="auto" w:fill="auto"/>
            <w:noWrap/>
            <w:vAlign w:val="center"/>
          </w:tcPr>
          <w:p w14:paraId="466968DE">
            <w:pPr>
              <w:keepNext w:val="0"/>
              <w:keepLines w:val="0"/>
              <w:widowControl/>
              <w:suppressLineNumbers w:val="0"/>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w:t>
            </w:r>
          </w:p>
        </w:tc>
        <w:tc>
          <w:tcPr>
            <w:tcW w:w="1108" w:type="dxa"/>
            <w:tcBorders>
              <w:top w:val="nil"/>
              <w:left w:val="nil"/>
              <w:bottom w:val="single" w:color="000000" w:sz="4" w:space="0"/>
              <w:right w:val="nil"/>
            </w:tcBorders>
            <w:shd w:val="clear" w:color="auto" w:fill="auto"/>
            <w:noWrap/>
            <w:vAlign w:val="center"/>
          </w:tcPr>
          <w:p w14:paraId="259D98D1">
            <w:pPr>
              <w:jc w:val="center"/>
              <w:rPr>
                <w:rFonts w:hint="eastAsia" w:ascii="仿宋" w:hAnsi="仿宋" w:eastAsia="仿宋" w:cs="仿宋"/>
                <w:i w:val="0"/>
                <w:iCs w:val="0"/>
                <w:color w:val="000000"/>
                <w:sz w:val="22"/>
                <w:szCs w:val="22"/>
                <w:u w:val="none"/>
              </w:rPr>
            </w:pPr>
          </w:p>
        </w:tc>
        <w:tc>
          <w:tcPr>
            <w:tcW w:w="236" w:type="dxa"/>
            <w:tcBorders>
              <w:top w:val="nil"/>
              <w:left w:val="nil"/>
              <w:bottom w:val="single" w:color="000000" w:sz="4" w:space="0"/>
              <w:right w:val="nil"/>
            </w:tcBorders>
            <w:shd w:val="clear" w:color="auto" w:fill="auto"/>
            <w:noWrap/>
            <w:vAlign w:val="center"/>
          </w:tcPr>
          <w:p w14:paraId="6480E0A7">
            <w:pPr>
              <w:jc w:val="center"/>
              <w:rPr>
                <w:rFonts w:hint="eastAsia" w:ascii="仿宋" w:hAnsi="仿宋" w:eastAsia="仿宋" w:cs="仿宋"/>
                <w:i w:val="0"/>
                <w:iCs w:val="0"/>
                <w:color w:val="000000"/>
                <w:sz w:val="22"/>
                <w:szCs w:val="22"/>
                <w:u w:val="none"/>
              </w:rPr>
            </w:pPr>
          </w:p>
        </w:tc>
        <w:tc>
          <w:tcPr>
            <w:tcW w:w="2676" w:type="dxa"/>
            <w:gridSpan w:val="3"/>
            <w:tcBorders>
              <w:top w:val="nil"/>
              <w:left w:val="nil"/>
              <w:bottom w:val="single" w:color="000000" w:sz="4" w:space="0"/>
              <w:right w:val="nil"/>
            </w:tcBorders>
            <w:shd w:val="clear" w:color="auto" w:fill="auto"/>
            <w:noWrap/>
            <w:vAlign w:val="center"/>
          </w:tcPr>
          <w:p w14:paraId="7B4E3698">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p>
        </w:tc>
      </w:tr>
      <w:tr w14:paraId="4EDAE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665" w:type="dxa"/>
            <w:tcBorders>
              <w:top w:val="single" w:color="000000" w:sz="4" w:space="0"/>
              <w:left w:val="single" w:color="000000" w:sz="4" w:space="0"/>
              <w:bottom w:val="nil"/>
              <w:right w:val="single" w:color="000000" w:sz="4" w:space="0"/>
            </w:tcBorders>
            <w:shd w:val="clear" w:color="auto" w:fill="auto"/>
            <w:vAlign w:val="center"/>
          </w:tcPr>
          <w:p w14:paraId="2EDCC50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4237" w:type="dxa"/>
            <w:tcBorders>
              <w:top w:val="single" w:color="000000" w:sz="4" w:space="0"/>
              <w:left w:val="single" w:color="000000" w:sz="4" w:space="0"/>
              <w:bottom w:val="nil"/>
              <w:right w:val="single" w:color="000000" w:sz="4" w:space="0"/>
            </w:tcBorders>
            <w:shd w:val="clear" w:color="auto" w:fill="auto"/>
            <w:vAlign w:val="center"/>
          </w:tcPr>
          <w:p w14:paraId="35EB7ED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08" w:type="dxa"/>
            <w:tcBorders>
              <w:top w:val="single" w:color="000000" w:sz="4" w:space="0"/>
              <w:left w:val="nil"/>
              <w:bottom w:val="single" w:color="000000" w:sz="4" w:space="0"/>
              <w:right w:val="single" w:color="000000" w:sz="4" w:space="0"/>
            </w:tcBorders>
            <w:shd w:val="clear" w:color="auto" w:fill="auto"/>
            <w:vAlign w:val="center"/>
          </w:tcPr>
          <w:p w14:paraId="7A34625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1272" w:type="dxa"/>
            <w:gridSpan w:val="2"/>
            <w:tcBorders>
              <w:top w:val="single" w:color="000000" w:sz="4" w:space="0"/>
              <w:left w:val="nil"/>
              <w:bottom w:val="single" w:color="000000" w:sz="4" w:space="0"/>
              <w:right w:val="single" w:color="000000" w:sz="4" w:space="0"/>
            </w:tcBorders>
            <w:shd w:val="clear" w:color="auto" w:fill="auto"/>
            <w:vAlign w:val="center"/>
          </w:tcPr>
          <w:p w14:paraId="1FB7883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执行数（至2025年底）</w:t>
            </w:r>
          </w:p>
        </w:tc>
        <w:tc>
          <w:tcPr>
            <w:tcW w:w="808" w:type="dxa"/>
            <w:tcBorders>
              <w:top w:val="single" w:color="000000" w:sz="4" w:space="0"/>
              <w:left w:val="single" w:color="000000" w:sz="4" w:space="0"/>
              <w:bottom w:val="nil"/>
              <w:right w:val="single" w:color="000000" w:sz="4" w:space="0"/>
            </w:tcBorders>
            <w:shd w:val="clear" w:color="auto" w:fill="auto"/>
            <w:vAlign w:val="center"/>
          </w:tcPr>
          <w:p w14:paraId="165B1E9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97A8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14:paraId="2FBC2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4371A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160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2023年鹿泉经济开发区海康路道路工程3556</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DD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298.82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92E3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253.51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C13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B2B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ACE9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6DBE3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5F4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2023年园区道路综合提升及配套工程（申兴大街）3556</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6A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1705.81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32D3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1292.18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709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95.5</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CD6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9EAE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37C6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EA4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2024年经开区重点区域扬尘污染防治网格工作经费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0A7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0.24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12E2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0.24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9F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B4D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C08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B6FE4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5ED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2025年经开区80旅加油站排水维修工程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76D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32.50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7830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32.50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165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9D71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184B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538D8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4E9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2025年经开区（花中路—太平河）电力排管工程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D4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67.66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D7E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60.87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1C1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AEB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413C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F09F6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B59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2025年经开区包村组工作经费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F2E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3810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85.80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4FE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9B7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B442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6D0F9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8C6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2025年经开区拨付公司运营费、垫付资金、工程款等相关经费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D13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F73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499.94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A0C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30CA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5003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9D068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3C0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2025年经开区财务咨询、审计、辅导服务费、契税服务费、采购项目咨询服务费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15F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598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98.84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34B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8701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F963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4A90C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8CE7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2025年经开区昌盛大街、方安大街、上庄大街、新泰大街、美泰路景观提升工程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C67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6F8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279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4A58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57FE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07054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7B6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2025年经开区昌盛大街非机动车道铺油工程(307以南)</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BF2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274.40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65F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122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AABE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2350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62811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BDA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2025年经开区昌盛大街分车带绿化提升工程(307以北)</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A1F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34.72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2F9A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34.71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847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EEF2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65DF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1C17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DB2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2025年经开区昌盛大街两侧便道维护工程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457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3C94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060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C536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3C8E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B6BD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54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2025年经开区昌盛大街西侧花园广场工程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28B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23.09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6263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23.02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E45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1CE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D3B0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3EE1F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8A7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2025年经开区党政办工作经费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E2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119.90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846D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77.30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9E5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47A5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8E4F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CE04A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C531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2025年经开区党政办工作经费(党建、宣传、人才、团委等）</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B9F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195.32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0E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167.80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F47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943E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9B3E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AC88A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0E0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2025年经开区工作人员工资、绩效及保险</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0F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49E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109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3C51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AD66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0802E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AD81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2025年经开区工作人员工资、绩效及保险</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FC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0.10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1F0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263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74B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EB7D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F342B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1FA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2025年经开区海康威视北侧地块环境提升工程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D38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47.08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DE7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46.90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E0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9749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7845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EE444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1D6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2025年经开区河北科技大学鹿泉产业创新研究院装修工程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D48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116.50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AB22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105.53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46B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E031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DF9B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38B58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466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2025年经开区河北科技大学鹿泉产业创新研究院装修工程-家具采购</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3FE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59.86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A569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59.84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988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57AD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9F68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1F35A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E51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4C5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531.00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70B9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530.16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256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7CC6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4682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70505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7C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2025年经开区纪检办公经费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4B3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986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1.76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429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DA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EFC8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BB807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1F7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2025年经开区建设管理局工作经费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E6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2262.00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57B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1077.18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69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F99B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5B9E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A0D05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03C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2025年经开区经发局工作经费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82F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163.90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18F4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154.05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7A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D9DE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7800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3842D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F7F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2025年经开区军民共建政治文化环境建设项目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87C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207.66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860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207.65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DFD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6442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3CBF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2B3A1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F8A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2025年经开区路灯设施及亮化设施管护工程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6A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5A0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CF4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CE76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70A3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9E70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E1B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2025年经开区鹿泉通信技术创新中心高压供电电力排管工程下穿石太高速公路K639+423</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9A5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57BD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98.98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CB6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D6E4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E25A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BCF63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D77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2025年经开区鹿泉通信技术创新中心高压供电电力排管工程下穿石太高速公路k639+423</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697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2.34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4C1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C6F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EAB8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7B9D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3CF3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26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2025年经开区企业服务中心工作经费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A6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903.79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9C7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552.17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3F8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358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BA3E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988AB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2FD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2025年经开区人大政协办公经费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5F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EC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0.90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2E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597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0BD5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17B6B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961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2025年经开区瑞宁路及杏苑北路路灯亮化工程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8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61.34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EEC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61.33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2C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7AA5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B261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50B07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6F9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2025年经开区三馆一站免费开放补助</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A70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DA5C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85D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9AFB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2468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30FE9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85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2025年经开区社会事务局工作经费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E6E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687.50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BED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395.58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C9D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5D50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6927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5B560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692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2025年经开区社会事务局农经工作经费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7E0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15.70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6AD9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20C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9CB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3CB2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319F2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FC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2025年经开区社会事务局人居办工作经费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CE2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80B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112.52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5C0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0964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CD18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1DF37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00B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2025年经开区社区事务综合服务中心工作经费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DBE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112.78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246E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112.78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544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DB86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23DB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40BDF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287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2025年经开区审批服务经费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9D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41.39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0F9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27.68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8B0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6147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AEB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7B36A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61F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2025年经开区数字服务中心工作经费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A48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14.70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F2D9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10.75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072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4A5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FDAC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F3F55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99E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2025年经开区投资项目咨询及环评文件技术评估机构委托服务项目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6EF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F506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101.18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64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8AC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C2A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C0399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BC6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2025年经开区土地使用税、房产税等相关税费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244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1CD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1299.28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759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BECB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679A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93C13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86E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2025年经开区卫生院及卫生站日常运营及建设提升经费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926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093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BFB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70B3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A068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A69FF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F0F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2025年经开区武装部经费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A32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EAF1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1.86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21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8EA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9151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EA061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537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2025年经开区学生奶计划实施费用</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EA9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72.51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D689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72.51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FEA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F080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E76E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7AAF0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102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2025年经开区学校经费及建设提升经费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689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1306.92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D5E0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1255.56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DD4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DCB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08AB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1A86E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B67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2025年经开区招商引资经费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8E5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BCB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45.65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CBC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A5B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2B7C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DCABF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C7F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2025年经开区重点区域扬尘污染防治网格工作经费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0B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1.44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D169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1.44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26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434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64D9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D50E7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F70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2025年经开区专项公用经费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E4D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286.64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A2B0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242.37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AD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CF9D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1AEE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0E162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74C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2025年经开区综治信访工作经费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48B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DE08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92.36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BB5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981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C502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A4850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DB5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2025年鹿泉经济开发区横山片区基础设施提升改造工程9279</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785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728.39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6B93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319.30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2E7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8D2E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47F0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1E50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88BD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2025年鹿泉区千亿级电子信息园（和平路以北）基础设施配套工程9279</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972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153.78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6DBB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153.78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7E6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5E5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EF78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5EA8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63E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2025年区级2021年优惠政策奖补资金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A8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70B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5E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EA8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77E2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663F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661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2025年区级迪爱斯新兴产业发展基地项目防洪评价报告技术咨询</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6F5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EFB7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57C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6A90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268A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204BB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FF38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2025年区级兑现泰威航空、河北建投创新科技有限公司相关奖补资金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2C0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03BE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008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79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5AC1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EA143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57A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2025年区级故城路、纬二十六路、双同路道路保洁及绿化养护项目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2C0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193.00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8C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CF4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6892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D5C8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62F7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CDD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2025年区级关于西北物流园中心区北故城村地块一（南区、北区）土壤污染状况调查</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074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40E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10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7F3C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3359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D540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9F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2025年区级光谷科技园安大一线高压线路迁改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D6F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EBD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B51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4C3C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B1F9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99E6D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79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2025年区级河北工业大学创新研究院租金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767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9B6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217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B284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8A35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0F473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D68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2025年区级基地公租房运营成本</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8E1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33.95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CBB6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33.95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628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204A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D024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F7F24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132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2025年区级鹿泉经济开发区经二十八街道路工程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7FF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EE3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81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DE9F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5273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AD8D9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233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2025年区级区总体规划环境影响报告书编制费及园区地块控规动态维护费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EDA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00B3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A34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102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EAB2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D3FA4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D3A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2025年区级石家庄西北物流产业聚集区（起步区）区域地质灾害危险性评估报告</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ED3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492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7CA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027C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CE8B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A7DEA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48E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2025年区级石家庄西北物流产业聚集区区域固定资产投资节能评估工程咨询服务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E67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59F4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DA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A7B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6256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410CC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2A5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2025年区级石家庄西北物流产业聚集区水土保持区域评估报告技术服务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11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B9C7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27A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755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9F75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974BE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65A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2025年区级石家庄西北物流产业聚集区总体规划（2020-2035年）》（2022年深化）</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5F6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5F82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98C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5194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00FC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3E037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5FD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2025年区级石家庄西北物流产业聚集区总体规划环境影响评价（地下水专题评价）技术服务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D4A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1F0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57F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040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5D92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6BEF7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3D1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2025年区级石家庄西北物流产业聚集区总体规划环境影响评价技术服务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306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75B4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5D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4627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5A14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EFBD2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3B8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2025年区级石家庄西北物流园区交通影响评价规划设计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64F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107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FD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122A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8BE0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4CAB4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9B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2025年区级西北物流计三路绿化工程施工、设计、监理、招标代理</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E5E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4AA1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C4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EB5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40CD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D23FD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258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2025年区级西北物流计三路施工、监理、设计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254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113.00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94D0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75B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BB5D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F10E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DB195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39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2025年区级西北物流南北故城片区10KV线路改迁工程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BC3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F171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8F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8F92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FF05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9CB15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EB5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2025年区级西北物流区石家庄市2022年度第220批次建设用地项目编制使用林地可行性报告及组卷报批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BB0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5.80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1BBC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0BD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71EC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C078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22952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AD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2025年区级西北物流区同阁村、双同路征地勘测定界</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68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4.26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3AA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E61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CAD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1E05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4CF55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C27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2025年区级西北物流区综合管网工程项目临时占用林地恢复绿化费及评审费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7C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BA1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91C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1488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53F3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B91DB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44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2025年区级西北物流双同路绿化亮化工程施工、设计、监理</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7A7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000C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415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24CB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086D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F1BCC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6B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2025年区级西北物流纬二十六路及故城路道路、设计、监理工程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C7C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91.00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384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91.00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8DB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28A8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9F3B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4ABA0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CFA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2025年区级西北物流纬二十六路及故城路绿化工程、 设计、监理、跟踪审计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CE9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248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CA4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D86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4C3D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3773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D2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2025年区级西北物流污水管网施工、监理、设计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3AD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DA9A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497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D9B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2233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4551F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341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2025年区级西北物流西柏坡高速辅路工程（一期）</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9A0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162.00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A562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55C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684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7639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BD1C6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B45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2025年区级西北物流西柏坡高速辅路绿化工程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368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56.00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E63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9CC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B9E4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B61B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9187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64F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2025年区级西北物流西柏坡高速辅路租地及路灯维修、电费款</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7C0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30.01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461B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16.58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CF1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17D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5545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CAE16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E9F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2025年区级西北物流园区关于“一园一策”编制资金的请示</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00A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98B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76D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7DB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20C6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1A379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CBC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2025年区级西北物流园区核心区景观绿化工程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642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E2E1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C83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AA1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E0B4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05BA7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E7E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2025年区级西北物流中心区北故城片地块3、4土壤分析污染状况调查项目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148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410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E30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B2F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9856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13F48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F43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2025年区级燕山大学研究院</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C09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A43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96B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8FF4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7D90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DB45B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669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2025年区级燕山大学研究院（基金）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C3B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F17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7B6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CA56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A2A5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D6B17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912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调整2025年河北鹿泉经济开发区人才创业基地基础设施及配套工程--地下室内工程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4F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7031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AC3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825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19D1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82F00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9BE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调整2025年河北鹿泉经济开发区人才创业基地基础设施及配套工程--地下室内工程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1E5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7D2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2D5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5EF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7636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4D674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674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调整2025年经开区PPP项目运营补贴</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6FC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431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9F8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6476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3D3D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65176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23C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调整2025年经开区PPP项目运营补贴</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3AE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B21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449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041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7C53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42D01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633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调整2025年经开区PPP项目运营补贴</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18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214.00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C760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214.00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C5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1A7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FAD9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3E3D0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773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调整2025年经开区拨付绿岛公司发展经费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2DA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DBC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E37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F4C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9000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C8620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665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调整2025年经开区拨付绿岛公司发展资金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207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800.39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76A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84C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4FC2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A2A0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8620E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249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调整2025年经开区方台新材料生产基地片区供热管网铺设工程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BC0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F61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6F9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7B4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7666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BD848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564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调整2025年经开区付军城公司资金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4C9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841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8ED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E19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E317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1556C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902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调整2025年经开区付军城公司资金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0CF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806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33B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0F73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6DDB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E24B6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D8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调整2025年经开区海康南路绿化及环境提升工程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144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75.25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F0F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75.25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7A0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CD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3B00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A3604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1D0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调整2025年经开区和平路与西三环互通立交、环城绿道周边区域拆迁补偿经费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16D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E175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E59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F2D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4FA9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D9262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787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调整2025年经开区和平路与西三环互通立交、环城绿道周边区域拆迁补偿经费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14B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6CD4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0DD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95C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C729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FE00C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477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调整2025年经开区和平路与西三环互通立交、环城绿道周边区域拆迁补偿经费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0E3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8EF2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910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3B80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FF9B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45F50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7BC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调整2025年经开区横山小区东侧场地整治</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EDC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17.98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4F7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17.97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F53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F02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CE20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BF0FD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122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调整2025年经开区华能供热一号交换站建筑工程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F2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DC9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D1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44D4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5943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F10E8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7D4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6D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82.00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E36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82.00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E6E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166C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1FDF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AF842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EE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62A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715.00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A2D7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715.00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BAB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2F19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82A3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4AB9A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6A8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625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37.67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D27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37.67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C75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604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1BBF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B8F89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6B4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0EC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67FA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766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E5A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B56A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8B984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EA8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28B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1697.00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A26E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1697.00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BCE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84C6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5357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977EF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4AB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5C5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2487.64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52C7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2487.64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FE0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CFE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40E6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6349A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9E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427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BD6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3D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6C1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C2FB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37C83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796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调整2025年经开区基础设施建设经费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43D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ECD1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A7C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5E1E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0DE2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F75E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FBA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调整2025年经开区千亿级电子信息园（和平路以北区域）电力排管工程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38D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29.60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2E8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29.60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71C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5499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1DD2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03FF1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B3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调整2025年经开区太行软件产业园一期高压供电工程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84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417.00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EF4D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0F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1A6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A2EB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81F66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052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调整2025年经开区土地使用税、房产税等相关税费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6FE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03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3DB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DF1F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BA19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61FD2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42B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调整2025年经开区五岔口西南角绿化工程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8D5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68.71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80F9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68.71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E60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66E5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3988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95D94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A79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调整2025年经开区专项公用经费（框架协议采购）</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FF4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9.88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97B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C9F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A193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2E43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624AE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AF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调整2025年鹿泉经济开发区传感器生产厂房及配套基础设施项目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BD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4217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061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00A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2B10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4D103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9F9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调整2025年鹿泉通信技术创新中心一号楼B座一、二层加固及改造项目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07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52.00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23F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C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6F69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0BD9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92E44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2CE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调整2025年区级河北工业大学创新研究院四楼2025年度租金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92C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68.80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9F7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68.80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F7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A76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4CBC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16D29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E5D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调整2025年区级河北工业大学创新研究院四楼租金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E96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73.80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0F09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73.80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85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2A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A9BA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62B80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27C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调整2025年区级河北工业大学创新研究院租金</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E20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99.00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849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98.96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C80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C0B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F85F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4E7C5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555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调整2025年区级石家庄西北物流园区交通影响评价规划设计</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101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12.68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2BB1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12.68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772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E2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70EF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BA5BF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4E2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调整2025年区级西北物流纬二十六路、故城路景观绿化工程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5C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930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FBF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470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E33C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289F8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5BB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方安大街北延道路工程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E35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FB78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8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1A6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4B11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AA60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3F6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方安大街南延道路工程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CCE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351D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17C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426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DC87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7F24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C45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河北鹿泉经济开发区人才创业基地基础设施及配套工程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F2E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5346.21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381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5346.21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C69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ACD1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F875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B2C74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211A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鹿泉经济开发区MEMS传感器产业创新基地项目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B72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9C16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16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75C3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A8A4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5814A8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6AE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鹿泉经济开发区MEMS传感器产业创新基地项目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57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4942.59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8FEC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4942.59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1BD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09D1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C486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3F03B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C44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鹿泉经济开发区电力线路迁改及入地改造工程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8CC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FDE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B2D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C17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6ECC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ADD5E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039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鹿泉经济开发区申后社区（申兴大街段）棚户区改造项目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183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188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794.00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13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5B95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0478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1647D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3D9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鹿泉经济开发区数字技术产业园</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493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17916.60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378E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2330.80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7FC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812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4680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7A6FED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B55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鹿泉经济开发区数字技术产业园</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F58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CF65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3025.00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A2F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3FD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454C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61D623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F83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鹿泉通信技术创新中心项目</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21C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2.03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73E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2.03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D5C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D0E8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924A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276EDD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492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千亿级电子信息园（和平路以北区域）电力排管工程</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226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5E2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70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3E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A2D0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3A4057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C66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园区道路综合提升及配套工程（申兴大街）项目3556</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AE1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D35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CE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D7E6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547A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EDB6F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F1B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园区道路综合提升及配套工程（申兴大街）项目9279</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CC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9259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787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3EDC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D538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41E62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C3B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追加2025年经开区昌盛大街两侧环境综合整治</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6CD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AF1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DCF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B18E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9087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65" w:type="dxa"/>
            <w:tcBorders>
              <w:top w:val="single" w:color="000000" w:sz="4" w:space="0"/>
              <w:left w:val="single" w:color="000000" w:sz="4" w:space="0"/>
              <w:bottom w:val="single" w:color="000000" w:sz="4" w:space="0"/>
              <w:right w:val="nil"/>
            </w:tcBorders>
            <w:shd w:val="clear" w:color="auto" w:fill="auto"/>
            <w:vAlign w:val="center"/>
          </w:tcPr>
          <w:p w14:paraId="0089A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4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838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追加2025年经开区环境综合整治经费</w:t>
            </w:r>
          </w:p>
        </w:tc>
        <w:tc>
          <w:tcPr>
            <w:tcW w:w="1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BE2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1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B3A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0CF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180E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bl>
    <w:p w14:paraId="166B199F">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A71433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096BE7A5">
      <w:pPr>
        <w:pStyle w:val="7"/>
        <w:ind w:firstLine="640" w:firstLineChars="200"/>
      </w:pPr>
      <w:r>
        <w:rPr>
          <w:rFonts w:hint="eastAsia" w:ascii="仿宋" w:hAnsi="仿宋" w:eastAsia="仿宋"/>
          <w:sz w:val="32"/>
          <w:szCs w:val="32"/>
          <w:lang w:val="en-US" w:eastAsia="zh-CN"/>
        </w:rPr>
        <w:t>开发区本年度整体支出情况最终得分96分，综合绩效评价等级为优秀。</w:t>
      </w:r>
    </w:p>
    <w:p w14:paraId="3FC32DB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75448C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C27367E">
      <w:pPr>
        <w:pStyle w:val="7"/>
        <w:ind w:firstLine="640" w:firstLineChars="200"/>
      </w:pPr>
      <w:r>
        <w:rPr>
          <w:rFonts w:hint="eastAsia" w:ascii="仿宋" w:hAnsi="仿宋" w:eastAsia="仿宋"/>
          <w:sz w:val="32"/>
          <w:szCs w:val="32"/>
        </w:rPr>
        <w:t>个别绩效目标不够完善，不能完整清晰体现工作活动的产出和效果，依据绩效目标所设置的绩效指标不够细化，不能完整清晰的反映活动目标完成情况。</w:t>
      </w:r>
    </w:p>
    <w:p w14:paraId="29E7B62D">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BC354AC">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科学设定绩效目标和指标</w:t>
      </w:r>
    </w:p>
    <w:p w14:paraId="3B9985A2">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0B85833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加强项目管理，完善项目监督工作</w:t>
      </w:r>
    </w:p>
    <w:p w14:paraId="49A44DB0">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部门应进一步加强对项目实施的管理，加强对项目实施全过程的监管，做到事前计划合理、事中执行监管有力、事后评价及时有效反馈。</w:t>
      </w:r>
    </w:p>
    <w:p w14:paraId="368879A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提高部门绩效管理意识</w:t>
      </w:r>
    </w:p>
    <w:p w14:paraId="48946CE4">
      <w:pPr>
        <w:keepNext w:val="0"/>
        <w:keepLines w:val="0"/>
        <w:pageBreakBefore w:val="0"/>
        <w:widowControl w:val="0"/>
        <w:kinsoku/>
        <w:wordWrap/>
        <w:overflowPunct/>
        <w:topLinePunct w:val="0"/>
        <w:autoSpaceDE/>
        <w:autoSpaceDN/>
        <w:bidi w:val="0"/>
        <w:adjustRightInd/>
        <w:snapToGrid/>
        <w:spacing w:line="60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部门在今后的工作中，应加强对预算绩效管理工作的重视，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14:paraId="7CFC7CF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06F1B605">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薛  宁    财政局负责人</w:t>
      </w:r>
    </w:p>
    <w:p w14:paraId="05238CD5">
      <w:pPr>
        <w:pStyle w:val="7"/>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于亚斌    财政局绩效负责人</w:t>
      </w:r>
    </w:p>
    <w:p w14:paraId="4C877FF2">
      <w:pPr>
        <w:pStyle w:val="7"/>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林  琨    党政办负责人</w:t>
      </w:r>
    </w:p>
    <w:p w14:paraId="048C352E">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高  飞    规划建设局负责人</w:t>
      </w:r>
    </w:p>
    <w:p w14:paraId="3E8A0C7F">
      <w:pPr>
        <w:ind w:firstLine="640"/>
        <w:rPr>
          <w:rFonts w:hint="eastAsia" w:ascii="仿宋" w:hAnsi="仿宋" w:eastAsia="仿宋"/>
          <w:sz w:val="32"/>
          <w:szCs w:val="32"/>
          <w:lang w:eastAsia="zh-CN"/>
        </w:rPr>
      </w:pPr>
      <w:r>
        <w:rPr>
          <w:rFonts w:hint="eastAsia" w:ascii="仿宋" w:hAnsi="仿宋" w:eastAsia="仿宋"/>
          <w:sz w:val="32"/>
          <w:szCs w:val="32"/>
          <w:lang w:val="en-US" w:eastAsia="zh-CN"/>
        </w:rPr>
        <w:t xml:space="preserve">姚志刚    社会事务局负责人 </w:t>
      </w:r>
      <w:r>
        <w:rPr>
          <w:rFonts w:hint="eastAsia" w:ascii="仿宋" w:hAnsi="仿宋" w:eastAsia="仿宋"/>
          <w:sz w:val="32"/>
          <w:szCs w:val="32"/>
        </w:rPr>
        <w:t xml:space="preserve">  </w:t>
      </w:r>
    </w:p>
    <w:p w14:paraId="4F4ED73B">
      <w:pPr>
        <w:pStyle w:val="7"/>
        <w:rPr>
          <w:rFonts w:hint="default"/>
          <w:lang w:val="en-US" w:eastAsia="zh-CN"/>
        </w:rPr>
      </w:pPr>
      <w:r>
        <w:rPr>
          <w:rFonts w:hint="eastAsia" w:ascii="仿宋" w:hAnsi="仿宋" w:eastAsia="仿宋"/>
          <w:sz w:val="32"/>
          <w:szCs w:val="32"/>
          <w:lang w:val="en-US" w:eastAsia="zh-CN"/>
        </w:rPr>
        <w:t xml:space="preserve">    石永刚    基础设施负责人</w:t>
      </w:r>
    </w:p>
    <w:p w14:paraId="79520A31">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张士萍    企业服务中心负责人</w:t>
      </w:r>
    </w:p>
    <w:p w14:paraId="2AD8DD7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微软雅黑 Light">
    <w:panose1 w:val="020B0502040204020203"/>
    <w:charset w:val="86"/>
    <w:family w:val="auto"/>
    <w:pitch w:val="default"/>
    <w:sig w:usb0="80000287" w:usb1="2ACF0010" w:usb2="00000016" w:usb3="00000000" w:csb0="0004001F" w:csb1="00000000"/>
  </w:font>
  <w:font w:name="方正姚体">
    <w:panose1 w:val="02010601030101010101"/>
    <w:charset w:val="86"/>
    <w:family w:val="auto"/>
    <w:pitch w:val="default"/>
    <w:sig w:usb0="00000003"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新宋体">
    <w:panose1 w:val="02010609030101010101"/>
    <w:charset w:val="86"/>
    <w:family w:val="auto"/>
    <w:pitch w:val="default"/>
    <w:sig w:usb0="00000283" w:usb1="288F0000" w:usb2="00000006" w:usb3="00000000" w:csb0="00040001" w:csb1="00000000"/>
  </w:font>
  <w:font w:name="华文宋体">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Malgun Gothic">
    <w:panose1 w:val="020B0503020000020004"/>
    <w:charset w:val="81"/>
    <w:family w:val="auto"/>
    <w:pitch w:val="default"/>
    <w:sig w:usb0="9000002F" w:usb1="29D77CFB" w:usb2="00000012" w:usb3="00000000" w:csb0="0008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1A11AE">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DF223B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30" w:firstLine="0"/>
      </w:pPr>
      <w:rPr>
        <w:rFonts w:hint="eastAsia"/>
      </w:rPr>
    </w:lvl>
  </w:abstractNum>
  <w:abstractNum w:abstractNumId="1">
    <w:nsid w:val="127B09D9"/>
    <w:multiLevelType w:val="singleLevel"/>
    <w:tmpl w:val="127B09D9"/>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UyNWQ1NjUzMDkzMjI2MWM0ZWU2MzdiZmE4YmQ4NzQifQ=="/>
  </w:docVars>
  <w:rsids>
    <w:rsidRoot w:val="0EBD2122"/>
    <w:rsid w:val="000B0260"/>
    <w:rsid w:val="007E6C1F"/>
    <w:rsid w:val="0083050D"/>
    <w:rsid w:val="00956A93"/>
    <w:rsid w:val="009E575C"/>
    <w:rsid w:val="00AF167E"/>
    <w:rsid w:val="00AF566A"/>
    <w:rsid w:val="00B478EA"/>
    <w:rsid w:val="00B6553A"/>
    <w:rsid w:val="00BC6576"/>
    <w:rsid w:val="00CE06BA"/>
    <w:rsid w:val="00F441CC"/>
    <w:rsid w:val="01427422"/>
    <w:rsid w:val="01B104CA"/>
    <w:rsid w:val="02106AB0"/>
    <w:rsid w:val="02B43A28"/>
    <w:rsid w:val="046F331E"/>
    <w:rsid w:val="05976809"/>
    <w:rsid w:val="05EA6938"/>
    <w:rsid w:val="06E3397F"/>
    <w:rsid w:val="0775649E"/>
    <w:rsid w:val="07816C75"/>
    <w:rsid w:val="07956271"/>
    <w:rsid w:val="0845254C"/>
    <w:rsid w:val="08A617B8"/>
    <w:rsid w:val="09721397"/>
    <w:rsid w:val="0B131714"/>
    <w:rsid w:val="0B3C03B1"/>
    <w:rsid w:val="0BB63BED"/>
    <w:rsid w:val="0C7A30DA"/>
    <w:rsid w:val="0C8145C1"/>
    <w:rsid w:val="0E9D21B1"/>
    <w:rsid w:val="0EB97A43"/>
    <w:rsid w:val="0EBD2122"/>
    <w:rsid w:val="0F214EAE"/>
    <w:rsid w:val="10227702"/>
    <w:rsid w:val="10FB3C68"/>
    <w:rsid w:val="11413E71"/>
    <w:rsid w:val="118C5756"/>
    <w:rsid w:val="11B71E6A"/>
    <w:rsid w:val="13CC3BA5"/>
    <w:rsid w:val="13E37A82"/>
    <w:rsid w:val="14164D9C"/>
    <w:rsid w:val="149A1E0A"/>
    <w:rsid w:val="16123F75"/>
    <w:rsid w:val="16597D82"/>
    <w:rsid w:val="16934989"/>
    <w:rsid w:val="16E81DD2"/>
    <w:rsid w:val="178F6275"/>
    <w:rsid w:val="180D6354"/>
    <w:rsid w:val="1A9F3EA8"/>
    <w:rsid w:val="1AAF0063"/>
    <w:rsid w:val="1BE140DE"/>
    <w:rsid w:val="1C314E69"/>
    <w:rsid w:val="1DC7153C"/>
    <w:rsid w:val="1E322004"/>
    <w:rsid w:val="1FBA0B75"/>
    <w:rsid w:val="22ED30BA"/>
    <w:rsid w:val="2307588F"/>
    <w:rsid w:val="242F7EE0"/>
    <w:rsid w:val="248C197D"/>
    <w:rsid w:val="252959AF"/>
    <w:rsid w:val="277A6671"/>
    <w:rsid w:val="292D35B7"/>
    <w:rsid w:val="298A00FC"/>
    <w:rsid w:val="29B6075C"/>
    <w:rsid w:val="29EC6874"/>
    <w:rsid w:val="2A34012A"/>
    <w:rsid w:val="2B69663D"/>
    <w:rsid w:val="2C6E17C2"/>
    <w:rsid w:val="2F1031FD"/>
    <w:rsid w:val="2F590A20"/>
    <w:rsid w:val="2FEE5C1B"/>
    <w:rsid w:val="305A4537"/>
    <w:rsid w:val="30CA0614"/>
    <w:rsid w:val="30F73B34"/>
    <w:rsid w:val="32817910"/>
    <w:rsid w:val="32B57813"/>
    <w:rsid w:val="33B76690"/>
    <w:rsid w:val="33EB6CFF"/>
    <w:rsid w:val="35A12947"/>
    <w:rsid w:val="37387040"/>
    <w:rsid w:val="37C56E8B"/>
    <w:rsid w:val="3868579B"/>
    <w:rsid w:val="3A127746"/>
    <w:rsid w:val="3AA77E8B"/>
    <w:rsid w:val="3B625C0A"/>
    <w:rsid w:val="3CE76DA2"/>
    <w:rsid w:val="3CEE1963"/>
    <w:rsid w:val="3D563DA5"/>
    <w:rsid w:val="3DD75419"/>
    <w:rsid w:val="3E6B54E6"/>
    <w:rsid w:val="3ED16309"/>
    <w:rsid w:val="3EE26336"/>
    <w:rsid w:val="3EF50E21"/>
    <w:rsid w:val="3F2F0297"/>
    <w:rsid w:val="433C29B6"/>
    <w:rsid w:val="436B78D3"/>
    <w:rsid w:val="44205DF6"/>
    <w:rsid w:val="44482AA0"/>
    <w:rsid w:val="45815C6A"/>
    <w:rsid w:val="46362EF9"/>
    <w:rsid w:val="47A37B5C"/>
    <w:rsid w:val="47E03DB9"/>
    <w:rsid w:val="48674224"/>
    <w:rsid w:val="49871D8C"/>
    <w:rsid w:val="4BCD1637"/>
    <w:rsid w:val="4C20600F"/>
    <w:rsid w:val="4C6A56AA"/>
    <w:rsid w:val="4C9C27FE"/>
    <w:rsid w:val="4DF27344"/>
    <w:rsid w:val="4E7445BE"/>
    <w:rsid w:val="4E9D7BB5"/>
    <w:rsid w:val="4FA57B27"/>
    <w:rsid w:val="4FDC32A3"/>
    <w:rsid w:val="503E6C32"/>
    <w:rsid w:val="50852256"/>
    <w:rsid w:val="512260B4"/>
    <w:rsid w:val="519E38E7"/>
    <w:rsid w:val="51A061BD"/>
    <w:rsid w:val="52B64307"/>
    <w:rsid w:val="52BD6ACB"/>
    <w:rsid w:val="52DC2732"/>
    <w:rsid w:val="55537534"/>
    <w:rsid w:val="55BB515F"/>
    <w:rsid w:val="561A74F1"/>
    <w:rsid w:val="56C4621F"/>
    <w:rsid w:val="56EB5639"/>
    <w:rsid w:val="57FB7AFE"/>
    <w:rsid w:val="597244E8"/>
    <w:rsid w:val="5A1924BD"/>
    <w:rsid w:val="5BBB3B13"/>
    <w:rsid w:val="5D9C1458"/>
    <w:rsid w:val="5DB51322"/>
    <w:rsid w:val="5EB71C30"/>
    <w:rsid w:val="5EC155FD"/>
    <w:rsid w:val="5ED837A7"/>
    <w:rsid w:val="5F3F7A36"/>
    <w:rsid w:val="5FF17B5B"/>
    <w:rsid w:val="5FFE63DD"/>
    <w:rsid w:val="63117EF0"/>
    <w:rsid w:val="638938A2"/>
    <w:rsid w:val="641E0C4D"/>
    <w:rsid w:val="64B85A8B"/>
    <w:rsid w:val="66AF0CE5"/>
    <w:rsid w:val="670F5804"/>
    <w:rsid w:val="68587E50"/>
    <w:rsid w:val="689D628E"/>
    <w:rsid w:val="69534762"/>
    <w:rsid w:val="699A10A4"/>
    <w:rsid w:val="6A5E6B02"/>
    <w:rsid w:val="6AC537CF"/>
    <w:rsid w:val="6AE05E52"/>
    <w:rsid w:val="6D723F67"/>
    <w:rsid w:val="6E5B14A6"/>
    <w:rsid w:val="6EC62779"/>
    <w:rsid w:val="6FF735EA"/>
    <w:rsid w:val="70323958"/>
    <w:rsid w:val="70F75785"/>
    <w:rsid w:val="711B255E"/>
    <w:rsid w:val="72ED5B8D"/>
    <w:rsid w:val="740759EF"/>
    <w:rsid w:val="74BF014E"/>
    <w:rsid w:val="75C80BC8"/>
    <w:rsid w:val="76A551D1"/>
    <w:rsid w:val="79E639D2"/>
    <w:rsid w:val="7BB51E06"/>
    <w:rsid w:val="7C387F7C"/>
    <w:rsid w:val="7DC05E8D"/>
    <w:rsid w:val="7FDE246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无间隔1"/>
    <w:basedOn w:val="1"/>
    <w:qFormat/>
    <w:uiPriority w:val="0"/>
    <w:rPr>
      <w:rFonts w:ascii="宋体" w:hAnsi="宋体" w:eastAsia="仿宋_GB2312"/>
      <w:sz w:val="32"/>
      <w:szCs w:val="32"/>
    </w:rPr>
  </w:style>
  <w:style w:type="paragraph" w:customStyle="1" w:styleId="8">
    <w:name w:val="插入文本样式-插入部门职责文件"/>
    <w:basedOn w:val="1"/>
    <w:qFormat/>
    <w:uiPriority w:val="0"/>
    <w:pPr>
      <w:spacing w:line="500" w:lineRule="exact"/>
      <w:ind w:firstLine="560"/>
    </w:pPr>
    <w:rPr>
      <w:rFonts w:eastAsia="方正仿宋_GBK"/>
      <w:sz w:val="28"/>
    </w:rPr>
  </w:style>
  <w:style w:type="paragraph" w:customStyle="1" w:styleId="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7017</Words>
  <Characters>9006</Characters>
  <Lines>4</Lines>
  <Paragraphs>1</Paragraphs>
  <TotalTime>9</TotalTime>
  <ScaleCrop>false</ScaleCrop>
  <LinksUpToDate>false</LinksUpToDate>
  <CharactersWithSpaces>9314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2025-04-22T07:28:00Z</cp:lastPrinted>
  <dcterms:modified xsi:type="dcterms:W3CDTF">2026-05-08T06:10:40Z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ies>
</file>