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B27DAE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/>
        <w:jc w:val="center"/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</w:rPr>
        <w:t>中共石家庄市鹿泉区委办公室</w:t>
      </w:r>
    </w:p>
    <w:p w14:paraId="702DDCC1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/>
        <w:jc w:val="center"/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  <w:lang w:val="en-US" w:eastAsia="zh-CN"/>
        </w:rPr>
        <w:t>5</w:t>
      </w:r>
      <w:r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</w:rPr>
        <w:t>年度整体支出绩效自评报告</w:t>
      </w:r>
    </w:p>
    <w:p w14:paraId="101618FD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/>
        <w:jc w:val="center"/>
        <w:rPr>
          <w:rFonts w:ascii="宋体" w:hAnsi="宋体" w:eastAsia="华文楷体"/>
          <w:sz w:val="32"/>
          <w:szCs w:val="32"/>
        </w:rPr>
      </w:pPr>
    </w:p>
    <w:p w14:paraId="613CF010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eastAsia="zh-CN"/>
        </w:rPr>
        <w:t>为</w:t>
      </w:r>
      <w:r>
        <w:rPr>
          <w:rFonts w:hint="eastAsia" w:ascii="宋体" w:hAnsi="宋体" w:eastAsia="仿宋_GB2312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贯彻落实石家庄市鹿泉区人民政府《关于全面实施预算绩效管理的实施意见》（鹿发〔2019〕8号）文件精神，遵循“科学性、规范性、客观性和公正性”的原则，对中共石家庄市鹿泉区委办公室202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/>
          <w:sz w:val="32"/>
          <w:szCs w:val="32"/>
        </w:rPr>
        <w:t>年整体支出情况实施了财政支出绩效自评价，形成本评价报告。</w:t>
      </w:r>
    </w:p>
    <w:p w14:paraId="7824DFAA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ascii="宋体" w:hAnsi="宋体" w:eastAsia="黑体"/>
          <w:b/>
          <w:bCs/>
          <w:sz w:val="32"/>
          <w:szCs w:val="36"/>
        </w:rPr>
      </w:pPr>
      <w:r>
        <w:rPr>
          <w:rFonts w:hint="eastAsia" w:ascii="宋体" w:hAnsi="宋体" w:eastAsia="黑体"/>
          <w:sz w:val="32"/>
          <w:szCs w:val="32"/>
        </w:rPr>
        <w:t>一、部门</w:t>
      </w:r>
      <w:r>
        <w:rPr>
          <w:rFonts w:hint="eastAsia" w:ascii="宋体" w:hAnsi="宋体" w:eastAsia="黑体"/>
          <w:sz w:val="32"/>
          <w:szCs w:val="36"/>
        </w:rPr>
        <w:t>基本情况</w:t>
      </w:r>
    </w:p>
    <w:p w14:paraId="6FB3C54A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ascii="宋体" w:hAnsi="宋体" w:eastAsia="楷体" w:cs="楷体_GB2312"/>
          <w:bCs/>
          <w:sz w:val="32"/>
          <w:szCs w:val="32"/>
        </w:rPr>
      </w:pPr>
      <w:r>
        <w:rPr>
          <w:rFonts w:hint="eastAsia" w:ascii="宋体" w:hAnsi="宋体" w:eastAsia="楷体_GB2312" w:cs="楷体_GB2312"/>
          <w:bCs/>
          <w:sz w:val="32"/>
          <w:szCs w:val="32"/>
        </w:rPr>
        <w:t>（一）部门概况</w:t>
      </w:r>
    </w:p>
    <w:p w14:paraId="3C00E1F2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1.</w:t>
      </w:r>
      <w:r>
        <w:rPr>
          <w:rFonts w:hint="eastAsia" w:ascii="宋体" w:hAnsi="宋体" w:eastAsia="仿宋_GB2312"/>
          <w:sz w:val="32"/>
          <w:szCs w:val="32"/>
        </w:rPr>
        <w:t>部门职能</w:t>
      </w:r>
    </w:p>
    <w:p w14:paraId="245C341A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我部门主要负责推动党中央和省、市、区委决策部署的落实，按照区委要求协调有关方面开展工作，承担区委运行保障具体事务。</w:t>
      </w:r>
    </w:p>
    <w:p w14:paraId="0DE33F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2.</w:t>
      </w:r>
      <w:r>
        <w:rPr>
          <w:rFonts w:hint="eastAsia" w:ascii="宋体" w:hAnsi="宋体" w:eastAsia="仿宋_GB2312"/>
          <w:sz w:val="32"/>
          <w:szCs w:val="32"/>
        </w:rPr>
        <w:t>组织机构及人员</w:t>
      </w:r>
    </w:p>
    <w:p w14:paraId="63F6027C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我部门下设正科级单位中共石家庄市鹿泉区委办公室本级，设行政股、综合资料股、综合改革股、公文法规股、督查室、保密机要股（国家安全股）、主体责任股、党务公开股、档案史志股9个股（室）和正科级事业单位区委信息中心。我部门本年末实有在职人数39人。</w:t>
      </w:r>
    </w:p>
    <w:p w14:paraId="043BD6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3.</w:t>
      </w:r>
      <w:r>
        <w:rPr>
          <w:rFonts w:hint="eastAsia" w:ascii="宋体" w:hAnsi="宋体" w:eastAsia="仿宋_GB2312"/>
          <w:sz w:val="32"/>
          <w:szCs w:val="32"/>
        </w:rPr>
        <w:t>资产等基本情况</w:t>
      </w:r>
    </w:p>
    <w:p w14:paraId="741FA0A5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本部门截止到年末资产总额为550.05万元。其中，货币资金为17.92万元；应付账款为1.48万元；预付账款为228.88万元；固定资产净值为298.46万元；无形资产为3.31万元。</w:t>
      </w:r>
    </w:p>
    <w:p w14:paraId="44406D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宋体" w:hAnsi="宋体" w:eastAsia="楷体_GB2312" w:cs="楷体_GB2312"/>
          <w:bCs/>
          <w:sz w:val="32"/>
          <w:szCs w:val="32"/>
        </w:rPr>
      </w:pPr>
      <w:r>
        <w:rPr>
          <w:rFonts w:hint="eastAsia" w:ascii="宋体" w:hAnsi="宋体" w:eastAsia="楷体_GB2312" w:cs="楷体_GB2312"/>
          <w:bCs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宋体" w:hAnsi="宋体" w:eastAsia="楷体_GB2312" w:cs="楷体_GB2312"/>
          <w:bCs/>
          <w:sz w:val="32"/>
          <w:szCs w:val="32"/>
        </w:rPr>
        <w:t>部门收支预决算情况</w:t>
      </w:r>
    </w:p>
    <w:p w14:paraId="62465E15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3" w:firstLineChars="200"/>
        <w:rPr>
          <w:rFonts w:hint="eastAsia" w:ascii="宋体" w:hAnsi="宋体" w:eastAsia="仿宋_GB2312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"/>
          <w:b/>
          <w:bCs/>
          <w:sz w:val="32"/>
          <w:szCs w:val="32"/>
          <w:lang w:eastAsia="zh-CN"/>
        </w:rPr>
        <w:t>本部门</w:t>
      </w:r>
      <w:r>
        <w:rPr>
          <w:rFonts w:hint="eastAsia" w:ascii="宋体" w:hAnsi="宋体" w:eastAsia="仿宋_GB2312" w:cs="仿宋"/>
          <w:b/>
          <w:bCs/>
          <w:sz w:val="32"/>
          <w:szCs w:val="32"/>
          <w:lang w:val="en-US" w:eastAsia="zh-CN"/>
        </w:rPr>
        <w:t>2025年度预算收支情况</w:t>
      </w:r>
    </w:p>
    <w:p w14:paraId="00F9CF3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line="578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1.收入说明</w:t>
      </w:r>
    </w:p>
    <w:p w14:paraId="5A74F1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right="0" w:firstLine="640" w:firstLineChars="200"/>
        <w:textAlignment w:val="auto"/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2025年本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</w:rPr>
        <w:t>部门年初预算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eastAsia="zh-CN"/>
        </w:rPr>
        <w:t>收入为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1020.62万元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</w:rPr>
        <w:t>，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eastAsia="zh-CN"/>
        </w:rPr>
        <w:t>均为一般公共预算拨款。</w:t>
      </w:r>
    </w:p>
    <w:p w14:paraId="56564A4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line="578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仿宋_GB2312" w:cs="仿宋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2.支出说明</w:t>
      </w:r>
    </w:p>
    <w:p w14:paraId="1F90FA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right="0" w:firstLine="640" w:firstLineChars="200"/>
        <w:textAlignment w:val="auto"/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eastAsia="zh-CN"/>
        </w:rPr>
        <w:t>本年度预算支出为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1020.62万元，基本支出741.927万元（包括人员经费610.27万元；日常公用经费131.66万元）；项目支出278.7万元。</w:t>
      </w:r>
    </w:p>
    <w:p w14:paraId="436C23F8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3" w:firstLineChars="200"/>
        <w:rPr>
          <w:rFonts w:hint="eastAsia" w:ascii="宋体" w:hAnsi="宋体" w:eastAsia="仿宋_GB2312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"/>
          <w:b/>
          <w:bCs/>
          <w:sz w:val="32"/>
          <w:szCs w:val="32"/>
          <w:lang w:eastAsia="zh-CN"/>
        </w:rPr>
        <w:t>本部门</w:t>
      </w:r>
      <w:r>
        <w:rPr>
          <w:rFonts w:hint="eastAsia" w:ascii="宋体" w:hAnsi="宋体" w:eastAsia="仿宋_GB2312" w:cs="仿宋"/>
          <w:b/>
          <w:bCs/>
          <w:sz w:val="32"/>
          <w:szCs w:val="32"/>
          <w:lang w:val="en-US" w:eastAsia="zh-CN"/>
        </w:rPr>
        <w:t>2025年度决算收支情况</w:t>
      </w:r>
    </w:p>
    <w:p w14:paraId="41CCC26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line="578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1.收入说明</w:t>
      </w:r>
    </w:p>
    <w:p w14:paraId="13F40BA0">
      <w:pPr>
        <w:keepNext w:val="0"/>
        <w:keepLines w:val="0"/>
        <w:pageBreakBefore w:val="0"/>
        <w:widowControl w:val="0"/>
        <w:kinsoku/>
        <w:overflowPunct/>
        <w:topLinePunct w:val="0"/>
        <w:autoSpaceDE w:val="0"/>
        <w:autoSpaceDN w:val="0"/>
        <w:bidi w:val="0"/>
        <w:adjustRightInd w:val="0"/>
        <w:spacing w:line="578" w:lineRule="exact"/>
        <w:ind w:left="0" w:right="0" w:firstLine="640" w:firstLineChars="200"/>
        <w:jc w:val="left"/>
        <w:rPr>
          <w:rFonts w:hint="default" w:ascii="宋体" w:hAnsi="宋体" w:eastAsia="仿宋_GB2312" w:cs="仿宋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2025年本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</w:rPr>
        <w:t>部门决算收入为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983.44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</w:rPr>
        <w:t>万元，</w:t>
      </w:r>
      <w:r>
        <w:rPr>
          <w:rFonts w:hint="eastAsia" w:ascii="宋体" w:hAnsi="宋体" w:eastAsia="仿宋_GB2312" w:cs="仿宋"/>
          <w:sz w:val="32"/>
          <w:szCs w:val="32"/>
        </w:rPr>
        <w:t>其中：财政拨款收入</w:t>
      </w: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980.54</w:t>
      </w:r>
      <w:r>
        <w:rPr>
          <w:rFonts w:hint="eastAsia" w:ascii="宋体" w:hAnsi="宋体" w:eastAsia="仿宋_GB2312" w:cs="仿宋"/>
          <w:sz w:val="32"/>
          <w:szCs w:val="32"/>
        </w:rPr>
        <w:t>万元，占</w:t>
      </w:r>
      <w:r>
        <w:rPr>
          <w:rFonts w:hint="eastAsia" w:ascii="宋体" w:hAnsi="宋体" w:eastAsia="仿宋_GB2312" w:cs="仿宋"/>
          <w:sz w:val="32"/>
          <w:szCs w:val="32"/>
          <w:lang w:eastAsia="zh-CN"/>
        </w:rPr>
        <w:t>总收入</w:t>
      </w: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99</w:t>
      </w:r>
      <w:r>
        <w:rPr>
          <w:rFonts w:hint="eastAsia" w:ascii="宋体" w:hAnsi="宋体" w:eastAsia="仿宋_GB2312" w:cs="仿宋"/>
          <w:sz w:val="32"/>
          <w:szCs w:val="32"/>
        </w:rPr>
        <w:t>%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；</w:t>
      </w:r>
      <w:r>
        <w:rPr>
          <w:rFonts w:hint="eastAsia" w:ascii="宋体" w:hAnsi="宋体" w:eastAsia="仿宋_GB2312" w:cs="仿宋"/>
          <w:sz w:val="32"/>
          <w:szCs w:val="32"/>
          <w:lang w:eastAsia="zh-CN"/>
        </w:rPr>
        <w:t>年初结转</w:t>
      </w: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2.9万元，</w:t>
      </w:r>
      <w:r>
        <w:rPr>
          <w:rFonts w:hint="eastAsia" w:ascii="宋体" w:hAnsi="宋体" w:eastAsia="仿宋_GB2312" w:cs="仿宋"/>
          <w:sz w:val="32"/>
          <w:szCs w:val="32"/>
        </w:rPr>
        <w:t>占</w:t>
      </w:r>
      <w:r>
        <w:rPr>
          <w:rFonts w:hint="eastAsia" w:ascii="宋体" w:hAnsi="宋体" w:eastAsia="仿宋_GB2312" w:cs="仿宋"/>
          <w:sz w:val="32"/>
          <w:szCs w:val="32"/>
          <w:lang w:eastAsia="zh-CN"/>
        </w:rPr>
        <w:t>总收入</w:t>
      </w: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仿宋_GB2312" w:cs="仿宋"/>
          <w:sz w:val="32"/>
          <w:szCs w:val="32"/>
        </w:rPr>
        <w:t>%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。</w:t>
      </w:r>
    </w:p>
    <w:p w14:paraId="731C40B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line="578" w:lineRule="exact"/>
        <w:ind w:left="0" w:right="0" w:firstLine="640" w:firstLineChars="200"/>
        <w:textAlignment w:val="auto"/>
        <w:outlineLvl w:val="9"/>
        <w:rPr>
          <w:rFonts w:hint="eastAsia" w:ascii="宋体" w:hAnsi="宋体" w:eastAsia="仿宋_GB2312" w:cs="仿宋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2.支出说明</w:t>
      </w:r>
    </w:p>
    <w:p w14:paraId="78BA1D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right="0" w:firstLine="640" w:firstLineChars="200"/>
        <w:textAlignment w:val="auto"/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2025年本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</w:rPr>
        <w:t>部门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决算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</w:rPr>
        <w:t>支出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eastAsia="zh-CN"/>
        </w:rPr>
        <w:t>为</w:t>
      </w:r>
      <w:r>
        <w:rPr>
          <w:rFonts w:hint="eastAsia" w:ascii="宋体" w:hAnsi="宋体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983.44万元，其中：基本支出795.92万元，占总支出的80.93%，包括人员经费支出661.01万元，日常公用支出134.91万元；项目支出187.53万元，占总支出的19.07%。</w:t>
      </w:r>
    </w:p>
    <w:p w14:paraId="72BE5F42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ascii="宋体" w:hAnsi="宋体" w:eastAsia="楷体" w:cs="楷体_GB2312"/>
          <w:bCs/>
          <w:sz w:val="32"/>
          <w:szCs w:val="32"/>
        </w:rPr>
      </w:pPr>
      <w:r>
        <w:rPr>
          <w:rFonts w:hint="eastAsia" w:ascii="宋体" w:hAnsi="宋体" w:eastAsia="楷体_GB2312" w:cs="楷体_GB2312"/>
          <w:bCs/>
          <w:sz w:val="32"/>
          <w:szCs w:val="32"/>
        </w:rPr>
        <w:t>（三）部门整体支出绩效目标、指标</w:t>
      </w:r>
    </w:p>
    <w:p w14:paraId="0DF3F787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根据区委阶段性工作目标和重点任务，围绕区委中心工作和事关全局问题深入基层调研，真正把情况摸准摸实，形成高质量的调研报告，为区委主要领导决策提供依据。高效率灵通信息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</w:rPr>
        <w:t>围绕区委领导关注的大事、要事进行信息反馈，认真办理市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委</w:t>
      </w:r>
      <w:r>
        <w:rPr>
          <w:rFonts w:hint="eastAsia" w:ascii="宋体" w:hAnsi="宋体" w:eastAsia="仿宋_GB2312"/>
          <w:sz w:val="32"/>
          <w:szCs w:val="32"/>
        </w:rPr>
        <w:t>社情民意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中心</w:t>
      </w:r>
      <w:r>
        <w:rPr>
          <w:rFonts w:hint="eastAsia" w:ascii="宋体" w:hAnsi="宋体" w:eastAsia="仿宋_GB2312"/>
          <w:sz w:val="32"/>
          <w:szCs w:val="32"/>
        </w:rPr>
        <w:t>的交办件，力争办结率达到100%。加强自身建设，切实整顿机关工作作风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</w:rPr>
        <w:t>根据省、市、区委的统一部署，办公室领导班子率先垂范，领导干部以身作则，用“以上率下、行胜于言”的榜样力量发挥示范作用。认真落实党风廉政建设有关规定，从小事入手、向细节发力，从严管理干部，以实际行动树立起为民务实清廉的良好形象。</w:t>
      </w:r>
    </w:p>
    <w:p w14:paraId="30FB8D3E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right="0" w:rightChars="0"/>
        <w:rPr>
          <w:rFonts w:hint="eastAsia" w:ascii="宋体" w:hAnsi="宋体" w:eastAsia="仿宋_GB2312" w:cs="仿宋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项目绩效总目标完成情况：2025年我部门完成各项工作任务。</w:t>
      </w:r>
    </w:p>
    <w:p w14:paraId="2B8292E5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right="0" w:rightChars="0"/>
        <w:rPr>
          <w:rFonts w:hint="eastAsia" w:ascii="宋体" w:hAnsi="宋体" w:eastAsia="仿宋"/>
          <w:sz w:val="32"/>
          <w:szCs w:val="32"/>
        </w:rPr>
      </w:pP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从整体情况来看，严格按照年初预算进行部门整体支出。在支出过程中，能严格遵守各项规章制度。</w:t>
      </w:r>
    </w:p>
    <w:p w14:paraId="1886C06F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eastAsia"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二、自评工作开展情况</w:t>
      </w:r>
    </w:p>
    <w:p w14:paraId="7FABE39F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ascii="宋体" w:hAnsi="宋体" w:eastAsia="楷体" w:cs="楷体_GB2312"/>
          <w:sz w:val="32"/>
          <w:szCs w:val="32"/>
        </w:rPr>
      </w:pPr>
      <w:r>
        <w:rPr>
          <w:rFonts w:hint="eastAsia" w:ascii="宋体" w:hAnsi="宋体" w:eastAsia="楷体_GB2312" w:cs="楷体_GB2312"/>
          <w:bCs/>
          <w:sz w:val="32"/>
          <w:szCs w:val="32"/>
        </w:rPr>
        <w:t>（一）自评的组织工作</w:t>
      </w:r>
    </w:p>
    <w:p w14:paraId="2628C8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严格落实绩效管理工作的有关规定，通过开展部门整体支出绩效评价，促进部门整体预算绩效管理工作水平的提升，强化部门支出责任，规范资金管理行为，提高财政资金使用效益，保障部门更好地履行职责。</w:t>
      </w:r>
    </w:p>
    <w:p w14:paraId="0EC66E1C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我</w:t>
      </w: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部门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组织绩效评价工作组成员及相关人员进行了培训，熟悉相关政策规定，领会绩效评价的文件精神，</w:t>
      </w:r>
      <w:r>
        <w:rPr>
          <w:rFonts w:hint="eastAsia" w:ascii="宋体" w:hAnsi="宋体" w:eastAsia="仿宋_GB2312" w:cs="仿宋_GB2312"/>
          <w:sz w:val="32"/>
          <w:szCs w:val="32"/>
        </w:rPr>
        <w:t>确保绩效评价工作落到实处，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工作组根据绩效评价指标收集了各项目的相关文件资料</w:t>
      </w:r>
      <w:r>
        <w:rPr>
          <w:rFonts w:hint="eastAsia" w:ascii="宋体" w:hAnsi="宋体" w:eastAsia="仿宋_GB2312" w:cs="仿宋_GB2312"/>
          <w:sz w:val="32"/>
          <w:szCs w:val="32"/>
        </w:rPr>
        <w:t>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并对各项</w:t>
      </w:r>
      <w:r>
        <w:rPr>
          <w:rFonts w:hint="eastAsia" w:ascii="宋体" w:hAnsi="宋体" w:eastAsia="仿宋_GB2312" w:cs="仿宋_GB2312"/>
          <w:sz w:val="32"/>
          <w:szCs w:val="32"/>
        </w:rPr>
        <w:t>数据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进行分析</w:t>
      </w:r>
      <w:r>
        <w:rPr>
          <w:rFonts w:hint="eastAsia" w:ascii="宋体" w:hAnsi="宋体" w:eastAsia="仿宋_GB2312" w:cs="仿宋_GB2312"/>
          <w:sz w:val="32"/>
          <w:szCs w:val="32"/>
        </w:rPr>
        <w:t>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根据分析结果对</w:t>
      </w:r>
      <w:r>
        <w:rPr>
          <w:rFonts w:hint="eastAsia" w:ascii="宋体" w:hAnsi="宋体" w:eastAsia="仿宋_GB2312" w:cs="仿宋_GB2312"/>
          <w:sz w:val="32"/>
          <w:szCs w:val="32"/>
        </w:rPr>
        <w:t>项目绩效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情况进行了</w:t>
      </w:r>
      <w:r>
        <w:rPr>
          <w:rFonts w:hint="eastAsia" w:ascii="宋体" w:hAnsi="宋体" w:eastAsia="仿宋_GB2312" w:cs="仿宋_GB2312"/>
          <w:sz w:val="32"/>
          <w:szCs w:val="32"/>
        </w:rPr>
        <w:t>评分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检查和核实工作。</w:t>
      </w:r>
    </w:p>
    <w:p w14:paraId="69EEB9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bidi w:val="0"/>
        <w:spacing w:line="578" w:lineRule="exact"/>
        <w:ind w:left="0" w:leftChars="0" w:right="0" w:rightChars="0" w:firstLine="640" w:firstLineChars="200"/>
        <w:rPr>
          <w:rFonts w:hint="eastAsia" w:ascii="宋体" w:hAnsi="宋体" w:eastAsia="楷体_GB2312" w:cs="楷体_GB2312"/>
          <w:bCs/>
          <w:sz w:val="32"/>
          <w:szCs w:val="32"/>
        </w:rPr>
      </w:pPr>
      <w:r>
        <w:rPr>
          <w:rFonts w:hint="eastAsia" w:ascii="宋体" w:hAnsi="宋体" w:eastAsia="楷体_GB2312" w:cs="楷体_GB2312"/>
          <w:bCs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宋体" w:hAnsi="宋体" w:eastAsia="楷体_GB2312" w:cs="楷体_GB2312"/>
          <w:bCs/>
          <w:sz w:val="32"/>
          <w:szCs w:val="32"/>
        </w:rPr>
        <w:t>自评的方法和过程</w:t>
      </w:r>
    </w:p>
    <w:p w14:paraId="6C6F80C9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本次评价工作坚持“客观、公正、科学、规范”的原则，采用业务股室自评与工作组复评相结合的方式进行。在自评的基础上，通过查账目、检查系统运行情况、查阅资料等多种方式，搜集并审核相关绩效材料，运用比较分析、因素分析、成本效益分析等方法，综合评价各项目绩效。</w:t>
      </w:r>
    </w:p>
    <w:p w14:paraId="1F6E0DA3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78" w:lineRule="exact"/>
        <w:ind w:left="0" w:right="0" w:firstLine="640" w:firstLineChars="200"/>
        <w:rPr>
          <w:rFonts w:ascii="宋体" w:hAnsi="宋体" w:eastAsia="黑体"/>
          <w:b/>
          <w:bCs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三、部门整体支出绩效目标实现情况及指标分析</w:t>
      </w:r>
    </w:p>
    <w:p w14:paraId="200F02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bidi w:val="0"/>
        <w:spacing w:line="578" w:lineRule="exact"/>
        <w:ind w:left="0" w:leftChars="0" w:right="0" w:rightChars="0" w:firstLine="640" w:firstLineChars="200"/>
        <w:rPr>
          <w:rFonts w:hint="eastAsia" w:ascii="宋体" w:hAnsi="宋体" w:eastAsia="楷体_GB2312" w:cs="楷体_GB2312"/>
          <w:bCs/>
          <w:sz w:val="32"/>
          <w:szCs w:val="32"/>
        </w:rPr>
      </w:pPr>
      <w:r>
        <w:rPr>
          <w:rFonts w:hint="eastAsia" w:ascii="宋体" w:hAnsi="宋体" w:eastAsia="楷体_GB2312" w:cs="楷体_GB2312"/>
          <w:bCs/>
          <w:kern w:val="2"/>
          <w:sz w:val="32"/>
          <w:szCs w:val="32"/>
          <w:lang w:val="en-US" w:eastAsia="zh-CN" w:bidi="ar-SA"/>
        </w:rPr>
        <w:t>（一）</w:t>
      </w:r>
      <w:r>
        <w:rPr>
          <w:rFonts w:hint="eastAsia" w:ascii="宋体" w:hAnsi="宋体" w:eastAsia="楷体_GB2312" w:cs="楷体_GB2312"/>
          <w:bCs/>
          <w:sz w:val="32"/>
          <w:szCs w:val="32"/>
        </w:rPr>
        <w:t>总体绩效目标实现情况</w:t>
      </w:r>
    </w:p>
    <w:p w14:paraId="6E6D49E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left="0" w:right="0" w:firstLine="640" w:firstLineChars="200"/>
        <w:jc w:val="both"/>
        <w:textAlignment w:val="auto"/>
        <w:rPr>
          <w:rFonts w:hint="eastAsia" w:ascii="宋体" w:hAnsi="宋体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kern w:val="2"/>
          <w:sz w:val="32"/>
          <w:szCs w:val="32"/>
          <w:lang w:val="en-US" w:eastAsia="zh-CN" w:bidi="ar-SA"/>
        </w:rPr>
        <w:t>本年度专项工作经费管理规范，按计划完成，确保了各项工作正常运转，对各项职能指标完成情况进行了自检自查,各项工作均已完成，专项资金绩效评价自评为优秀。</w:t>
      </w:r>
    </w:p>
    <w:p w14:paraId="6699098C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left="0" w:right="0" w:firstLine="640" w:firstLineChars="200"/>
        <w:jc w:val="both"/>
        <w:textAlignment w:val="auto"/>
        <w:rPr>
          <w:rFonts w:hint="eastAsia" w:ascii="宋体" w:hAnsi="宋体" w:eastAsia="楷体_GB2312" w:cs="楷体_GB2312"/>
          <w:bCs/>
          <w:sz w:val="32"/>
          <w:szCs w:val="32"/>
        </w:rPr>
      </w:pPr>
      <w:r>
        <w:rPr>
          <w:rFonts w:hint="eastAsia" w:ascii="宋体" w:hAnsi="宋体" w:eastAsia="楷体_GB2312" w:cs="楷体_GB2312"/>
          <w:bCs/>
          <w:sz w:val="32"/>
          <w:szCs w:val="32"/>
        </w:rPr>
        <w:t>（二）分项绩效目标实现情况及指标分析</w:t>
      </w:r>
    </w:p>
    <w:p w14:paraId="2D5624E5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1.</w:t>
      </w:r>
      <w:r>
        <w:rPr>
          <w:rFonts w:hint="eastAsia" w:ascii="宋体" w:hAnsi="宋体" w:eastAsia="仿宋_GB2312"/>
          <w:sz w:val="32"/>
          <w:szCs w:val="32"/>
        </w:rPr>
        <w:t>涉军工资</w:t>
      </w:r>
    </w:p>
    <w:p w14:paraId="63C8A414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 xml:space="preserve">绩效目标：对符合就业困难条件军队服役人员，实行劳务派遣托管安置，帮扶救助到位。 </w:t>
      </w:r>
    </w:p>
    <w:p w14:paraId="1776F61B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绩效指标：完成发放率100%，涉军劳务派遣补贴及时发放率100%，退役士兵安置满意度为100%。</w:t>
      </w:r>
    </w:p>
    <w:p w14:paraId="01369B98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2.</w:t>
      </w:r>
      <w:r>
        <w:rPr>
          <w:rFonts w:hint="eastAsia" w:ascii="宋体" w:hAnsi="宋体" w:eastAsia="仿宋_GB2312"/>
          <w:sz w:val="32"/>
          <w:szCs w:val="32"/>
        </w:rPr>
        <w:t>报刊征订</w:t>
      </w:r>
    </w:p>
    <w:p w14:paraId="50D9B0BA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绩效目标：用于区委刊登文件、会议纪要期刊</w:t>
      </w:r>
      <w:r>
        <w:rPr>
          <w:rFonts w:hint="eastAsia" w:ascii="宋体" w:hAnsi="宋体" w:eastAsia="仿宋_GB2312"/>
          <w:sz w:val="32"/>
          <w:szCs w:val="32"/>
          <w:lang w:eastAsia="zh-CN"/>
        </w:rPr>
        <w:t>、</w:t>
      </w:r>
      <w:r>
        <w:rPr>
          <w:rFonts w:hint="eastAsia" w:ascii="宋体" w:hAnsi="宋体" w:eastAsia="仿宋_GB2312"/>
          <w:sz w:val="32"/>
          <w:szCs w:val="32"/>
        </w:rPr>
        <w:t>党报党刊等</w:t>
      </w:r>
      <w:r>
        <w:rPr>
          <w:rFonts w:hint="eastAsia" w:ascii="宋体" w:hAnsi="宋体" w:eastAsia="仿宋_GB2312"/>
          <w:sz w:val="32"/>
          <w:szCs w:val="32"/>
          <w:lang w:eastAsia="zh-CN"/>
        </w:rPr>
        <w:t>报刊</w:t>
      </w:r>
      <w:r>
        <w:rPr>
          <w:rFonts w:hint="eastAsia" w:ascii="宋体" w:hAnsi="宋体" w:eastAsia="仿宋_GB2312"/>
          <w:sz w:val="32"/>
          <w:szCs w:val="32"/>
        </w:rPr>
        <w:t>费用。</w:t>
      </w:r>
    </w:p>
    <w:p w14:paraId="1F50AEAC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绩效指标：</w:t>
      </w:r>
      <w:r>
        <w:rPr>
          <w:rFonts w:hint="eastAsia" w:ascii="宋体" w:hAnsi="宋体" w:eastAsia="仿宋_GB2312"/>
          <w:sz w:val="32"/>
          <w:szCs w:val="32"/>
          <w:lang w:eastAsia="zh-CN"/>
        </w:rPr>
        <w:t>完成每年征订报刊，</w:t>
      </w:r>
      <w:r>
        <w:rPr>
          <w:rFonts w:hint="eastAsia" w:ascii="宋体" w:hAnsi="宋体" w:eastAsia="仿宋_GB2312"/>
          <w:sz w:val="32"/>
          <w:szCs w:val="32"/>
        </w:rPr>
        <w:t>每月</w:t>
      </w:r>
      <w:r>
        <w:rPr>
          <w:rFonts w:hint="eastAsia" w:ascii="宋体" w:hAnsi="宋体" w:eastAsia="仿宋_GB2312"/>
          <w:sz w:val="32"/>
          <w:szCs w:val="32"/>
          <w:lang w:eastAsia="zh-CN"/>
        </w:rPr>
        <w:t>按时领取各类</w:t>
      </w:r>
      <w:r>
        <w:rPr>
          <w:rFonts w:hint="eastAsia" w:ascii="宋体" w:hAnsi="宋体" w:eastAsia="仿宋_GB2312"/>
          <w:sz w:val="32"/>
          <w:szCs w:val="32"/>
        </w:rPr>
        <w:t>报刊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</w:rPr>
        <w:t>完成率100%，满意度为100%。</w:t>
      </w:r>
    </w:p>
    <w:p w14:paraId="2C369616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3.</w:t>
      </w:r>
      <w:r>
        <w:rPr>
          <w:rFonts w:hint="eastAsia" w:ascii="宋体" w:hAnsi="宋体" w:eastAsia="仿宋_GB2312"/>
          <w:sz w:val="32"/>
          <w:szCs w:val="32"/>
        </w:rPr>
        <w:t>宣传推介费</w:t>
      </w:r>
    </w:p>
    <w:p w14:paraId="602FB4B8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绩效目标：</w:t>
      </w:r>
      <w:r>
        <w:rPr>
          <w:rFonts w:hint="eastAsia" w:ascii="宋体" w:hAnsi="宋体" w:eastAsia="仿宋_GB2312"/>
          <w:sz w:val="32"/>
          <w:szCs w:val="32"/>
          <w:lang w:eastAsia="zh-CN"/>
        </w:rPr>
        <w:t>完成本年宣传推介活动，</w:t>
      </w:r>
      <w:r>
        <w:rPr>
          <w:rFonts w:hint="eastAsia" w:ascii="宋体" w:hAnsi="宋体" w:eastAsia="仿宋_GB2312"/>
          <w:sz w:val="32"/>
          <w:szCs w:val="32"/>
        </w:rPr>
        <w:t>吸引更多的外商前来鹿泉学习考察，并对鹿泉的建设招揽商机和资金有所帮助。</w:t>
      </w:r>
    </w:p>
    <w:p w14:paraId="2884926B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绩效指标：</w:t>
      </w:r>
      <w:r>
        <w:rPr>
          <w:rFonts w:hint="eastAsia" w:ascii="宋体" w:hAnsi="宋体" w:eastAsia="仿宋_GB2312"/>
          <w:sz w:val="32"/>
          <w:szCs w:val="32"/>
          <w:lang w:eastAsia="zh-CN"/>
        </w:rPr>
        <w:t>完成本年宣传推介活动，</w:t>
      </w:r>
      <w:r>
        <w:rPr>
          <w:rFonts w:hint="eastAsia" w:ascii="宋体" w:hAnsi="宋体" w:eastAsia="仿宋_GB2312"/>
          <w:sz w:val="32"/>
          <w:szCs w:val="32"/>
        </w:rPr>
        <w:t>完成率100%，满意度为100%。</w:t>
      </w:r>
    </w:p>
    <w:p w14:paraId="6DD6B190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4.</w:t>
      </w:r>
      <w:r>
        <w:rPr>
          <w:rFonts w:hint="eastAsia" w:ascii="宋体" w:hAnsi="宋体" w:eastAsia="仿宋_GB2312"/>
          <w:sz w:val="32"/>
          <w:szCs w:val="32"/>
        </w:rPr>
        <w:t>专项公用经费</w:t>
      </w:r>
    </w:p>
    <w:p w14:paraId="484C9A7D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绩效目标：用于区委</w:t>
      </w:r>
      <w:r>
        <w:rPr>
          <w:rFonts w:hint="eastAsia" w:ascii="宋体" w:hAnsi="宋体" w:eastAsia="仿宋_GB2312"/>
          <w:sz w:val="32"/>
          <w:szCs w:val="32"/>
          <w:lang w:eastAsia="zh-CN"/>
        </w:rPr>
        <w:t>各项工作</w:t>
      </w:r>
      <w:r>
        <w:rPr>
          <w:rFonts w:hint="eastAsia" w:ascii="宋体" w:hAnsi="宋体" w:eastAsia="仿宋_GB2312"/>
          <w:sz w:val="32"/>
          <w:szCs w:val="32"/>
        </w:rPr>
        <w:t>日常运转</w:t>
      </w:r>
      <w:r>
        <w:rPr>
          <w:rFonts w:hint="eastAsia" w:ascii="宋体" w:hAnsi="宋体" w:eastAsia="仿宋_GB2312"/>
          <w:sz w:val="32"/>
          <w:szCs w:val="32"/>
          <w:lang w:eastAsia="zh-CN"/>
        </w:rPr>
        <w:t>和保障</w:t>
      </w:r>
      <w:r>
        <w:rPr>
          <w:rFonts w:hint="eastAsia" w:ascii="宋体" w:hAnsi="宋体" w:eastAsia="仿宋_GB2312"/>
          <w:sz w:val="32"/>
          <w:szCs w:val="32"/>
        </w:rPr>
        <w:t>。</w:t>
      </w:r>
    </w:p>
    <w:p w14:paraId="505E5212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绩效指标：</w:t>
      </w:r>
      <w:r>
        <w:rPr>
          <w:rFonts w:hint="eastAsia" w:ascii="宋体" w:hAnsi="宋体" w:eastAsia="仿宋_GB2312"/>
          <w:sz w:val="32"/>
          <w:szCs w:val="32"/>
          <w:lang w:eastAsia="zh-CN"/>
        </w:rPr>
        <w:t>完成了区委办各项</w:t>
      </w:r>
      <w:r>
        <w:rPr>
          <w:rFonts w:hint="eastAsia" w:ascii="宋体" w:hAnsi="宋体" w:eastAsia="仿宋_GB2312"/>
          <w:sz w:val="32"/>
          <w:szCs w:val="32"/>
        </w:rPr>
        <w:t>相关业务、</w:t>
      </w:r>
      <w:r>
        <w:rPr>
          <w:rFonts w:hint="eastAsia" w:ascii="宋体" w:hAnsi="宋体" w:eastAsia="仿宋_GB2312"/>
          <w:sz w:val="32"/>
          <w:szCs w:val="32"/>
          <w:lang w:eastAsia="zh-CN"/>
        </w:rPr>
        <w:t>保障区委日常工作正常运转，</w:t>
      </w:r>
      <w:r>
        <w:rPr>
          <w:rFonts w:hint="eastAsia" w:ascii="宋体" w:hAnsi="宋体" w:eastAsia="仿宋_GB2312"/>
          <w:sz w:val="32"/>
          <w:szCs w:val="32"/>
        </w:rPr>
        <w:t>完成率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100</w:t>
      </w:r>
      <w:r>
        <w:rPr>
          <w:rFonts w:hint="eastAsia" w:ascii="宋体" w:hAnsi="宋体" w:eastAsia="仿宋_GB2312"/>
          <w:sz w:val="32"/>
          <w:szCs w:val="32"/>
        </w:rPr>
        <w:t>%，满意度为100%。</w:t>
      </w:r>
    </w:p>
    <w:p w14:paraId="4E3CC463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5.</w:t>
      </w:r>
      <w:r>
        <w:rPr>
          <w:rFonts w:hint="eastAsia" w:ascii="宋体" w:hAnsi="宋体" w:eastAsia="仿宋_GB2312"/>
          <w:sz w:val="32"/>
          <w:szCs w:val="32"/>
        </w:rPr>
        <w:t>视联网视频调度系统服务费</w:t>
      </w:r>
    </w:p>
    <w:p w14:paraId="5E81EEA2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绩效目标：按照市委《关于贯彻落实</w:t>
      </w:r>
      <w:r>
        <w:rPr>
          <w:rFonts w:hint="eastAsia" w:ascii="仿宋_GB2312" w:hAnsi="仿宋_GB2312" w:eastAsia="仿宋_GB2312" w:cs="仿宋_GB2312"/>
          <w:sz w:val="32"/>
          <w:szCs w:val="32"/>
        </w:rPr>
        <w:t>〈</w:t>
      </w:r>
      <w:r>
        <w:rPr>
          <w:rFonts w:hint="eastAsia" w:ascii="宋体" w:hAnsi="宋体" w:eastAsia="仿宋_GB2312"/>
          <w:sz w:val="32"/>
          <w:szCs w:val="32"/>
        </w:rPr>
        <w:t>河北省党委办公厅（室）系统信息化支撑平台及应用系统建设工作推荐方案〉的通知》精神，2019年10月1日前设备互联网互通后期每年服务费。</w:t>
      </w:r>
    </w:p>
    <w:p w14:paraId="4C5E44EC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绩效指标：</w:t>
      </w:r>
      <w:r>
        <w:rPr>
          <w:rFonts w:hint="eastAsia" w:ascii="宋体" w:hAnsi="宋体" w:eastAsia="仿宋_GB2312"/>
          <w:sz w:val="32"/>
          <w:szCs w:val="32"/>
          <w:lang w:eastAsia="zh-CN"/>
        </w:rPr>
        <w:t>完成了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2025年</w:t>
      </w:r>
      <w:r>
        <w:rPr>
          <w:rFonts w:hint="eastAsia" w:ascii="宋体" w:hAnsi="宋体" w:eastAsia="仿宋_GB2312"/>
          <w:sz w:val="32"/>
          <w:szCs w:val="32"/>
        </w:rPr>
        <w:t>视联网视频调度系统服务费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</w:rPr>
        <w:t>确保设备能正常有序的使用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</w:rPr>
        <w:t>完成率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100</w:t>
      </w:r>
      <w:r>
        <w:rPr>
          <w:rFonts w:hint="eastAsia" w:ascii="宋体" w:hAnsi="宋体" w:eastAsia="仿宋_GB2312"/>
          <w:sz w:val="32"/>
          <w:szCs w:val="32"/>
        </w:rPr>
        <w:t>%，满意度为100%。</w:t>
      </w:r>
    </w:p>
    <w:p w14:paraId="72C39AD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评价结论和评价等级</w:t>
      </w:r>
      <w:bookmarkStart w:id="0" w:name="_GoBack"/>
      <w:bookmarkEnd w:id="0"/>
    </w:p>
    <w:p w14:paraId="40327CF5">
      <w:pPr>
        <w:pStyle w:val="11"/>
        <w:keepNext w:val="0"/>
        <w:keepLines w:val="0"/>
        <w:pageBreakBefore w:val="0"/>
        <w:widowControl w:val="0"/>
        <w:kinsoku/>
        <w:overflowPunct/>
        <w:topLinePunct w:val="0"/>
        <w:bidi w:val="0"/>
        <w:spacing w:before="0" w:line="578" w:lineRule="exact"/>
        <w:ind w:left="0" w:right="0"/>
        <w:rPr>
          <w:rFonts w:ascii="宋体" w:hAnsi="宋体"/>
        </w:rPr>
      </w:pPr>
      <w:r>
        <w:rPr>
          <w:rFonts w:hint="eastAsia" w:ascii="宋体" w:hAnsi="宋体" w:eastAsia="仿宋_GB2312"/>
          <w:sz w:val="32"/>
          <w:szCs w:val="32"/>
        </w:rPr>
        <w:t>根据</w:t>
      </w:r>
      <w:r>
        <w:rPr>
          <w:rFonts w:hint="eastAsia" w:ascii="宋体" w:hAnsi="宋体" w:eastAsia="仿宋_GB2312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宋体" w:hAnsi="宋体" w:eastAsia="仿宋_GB2312"/>
          <w:sz w:val="32"/>
          <w:szCs w:val="32"/>
        </w:rPr>
        <w:t>，给出总得分，满分100分，得出综合绩效评价等级。</w:t>
      </w:r>
      <w:r>
        <w:rPr>
          <w:rFonts w:hint="eastAsia" w:ascii="宋体" w:hAnsi="宋体" w:eastAsia="仿宋_GB2312"/>
          <w:sz w:val="32"/>
          <w:szCs w:val="32"/>
          <w:lang w:eastAsia="zh-CN"/>
        </w:rPr>
        <w:t>部门整体支出</w:t>
      </w:r>
      <w:r>
        <w:rPr>
          <w:rFonts w:hint="eastAsia" w:ascii="宋体" w:hAnsi="宋体" w:eastAsia="仿宋_GB2312"/>
          <w:sz w:val="32"/>
          <w:szCs w:val="32"/>
        </w:rPr>
        <w:t>综合绩效评价分为4个等级：得分</w:t>
      </w:r>
      <w:r>
        <w:rPr>
          <w:rFonts w:ascii="宋体" w:hAnsi="宋体" w:eastAsia="仿宋_GB2312" w:cs="Arial"/>
          <w:sz w:val="32"/>
          <w:szCs w:val="32"/>
        </w:rPr>
        <w:t>≥</w:t>
      </w:r>
      <w:r>
        <w:rPr>
          <w:rFonts w:hint="eastAsia" w:ascii="宋体" w:hAnsi="宋体" w:eastAsia="仿宋_GB2312"/>
          <w:sz w:val="32"/>
          <w:szCs w:val="32"/>
        </w:rPr>
        <w:t>85分为优秀；75</w:t>
      </w:r>
      <w:r>
        <w:rPr>
          <w:rFonts w:ascii="宋体" w:hAnsi="宋体" w:eastAsia="仿宋_GB2312" w:cs="Arial"/>
          <w:sz w:val="32"/>
          <w:szCs w:val="32"/>
        </w:rPr>
        <w:t>≤</w:t>
      </w:r>
      <w:r>
        <w:rPr>
          <w:rFonts w:hint="eastAsia" w:ascii="宋体" w:hAnsi="宋体" w:eastAsia="仿宋_GB2312"/>
          <w:sz w:val="32"/>
          <w:szCs w:val="32"/>
        </w:rPr>
        <w:t>得分＜85分为良好；60</w:t>
      </w:r>
      <w:r>
        <w:rPr>
          <w:rFonts w:ascii="宋体" w:hAnsi="宋体" w:eastAsia="仿宋_GB2312" w:cs="Arial"/>
          <w:sz w:val="32"/>
          <w:szCs w:val="32"/>
        </w:rPr>
        <w:t>≤</w:t>
      </w:r>
      <w:r>
        <w:rPr>
          <w:rFonts w:hint="eastAsia" w:ascii="宋体" w:hAnsi="宋体" w:eastAsia="仿宋_GB2312"/>
          <w:sz w:val="32"/>
          <w:szCs w:val="32"/>
        </w:rPr>
        <w:t>得分＜75分为一般；得分＜60分为较差。</w:t>
      </w:r>
    </w:p>
    <w:tbl>
      <w:tblPr>
        <w:tblStyle w:val="9"/>
        <w:tblW w:w="884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45"/>
        <w:gridCol w:w="1794"/>
        <w:gridCol w:w="2505"/>
      </w:tblGrid>
      <w:tr w14:paraId="04268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655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614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AC8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评价等级</w:t>
            </w:r>
          </w:p>
        </w:tc>
      </w:tr>
      <w:tr w14:paraId="6BDDA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253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涉军工资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2E9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default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1BE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 w14:paraId="39454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6E0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报刊征订费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C13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default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76E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 w14:paraId="4E9E0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900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宣传推介费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821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B27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 w14:paraId="2D836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5F8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专项公用经费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5FA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1F7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 w14:paraId="1C1CD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022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视联网视频调度系统服务费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74F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default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722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 w14:paraId="4DC2EA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341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因公出国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2F3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default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545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bidi w:val="0"/>
              <w:spacing w:line="578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</w:tbl>
    <w:p w14:paraId="2046124E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五、存在的问题及改进措施</w:t>
      </w:r>
    </w:p>
    <w:p w14:paraId="7AD9EC73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楷体_GB2312" w:cs="楷体_GB2312"/>
          <w:bCs/>
          <w:sz w:val="32"/>
          <w:szCs w:val="32"/>
        </w:rPr>
      </w:pPr>
      <w:r>
        <w:rPr>
          <w:rFonts w:hint="eastAsia" w:ascii="宋体" w:hAnsi="宋体" w:eastAsia="楷体_GB2312" w:cs="楷体_GB2312"/>
          <w:bCs/>
          <w:sz w:val="32"/>
          <w:szCs w:val="32"/>
        </w:rPr>
        <w:t>（一）存在的主要问题</w:t>
      </w:r>
    </w:p>
    <w:p w14:paraId="2DEDFE81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 w:cs="仿宋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通过对各项目的绩效自评，我部门发现主要存在以下几个方面的问题：</w:t>
      </w:r>
    </w:p>
    <w:p w14:paraId="5543E3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仿宋_GB2312" w:cs="仿宋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1.预算编制工作不够完善，考虑问题不够周全。</w:t>
      </w:r>
    </w:p>
    <w:p w14:paraId="257EF627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overflowPunct/>
        <w:topLinePunct w:val="0"/>
        <w:bidi w:val="0"/>
        <w:spacing w:before="0" w:beforeAutospacing="0" w:after="0" w:afterAutospacing="0" w:line="578" w:lineRule="exact"/>
        <w:ind w:left="0" w:right="0" w:firstLine="640" w:firstLineChars="200"/>
        <w:jc w:val="both"/>
        <w:rPr>
          <w:rFonts w:hint="eastAsia" w:ascii="宋体" w:hAnsi="宋体" w:eastAsia="仿宋_GB2312" w:cs="仿宋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"/>
          <w:b w:val="0"/>
          <w:kern w:val="2"/>
          <w:sz w:val="32"/>
          <w:szCs w:val="32"/>
          <w:lang w:val="en-US" w:eastAsia="zh-CN" w:bidi="ar-SA"/>
        </w:rPr>
        <w:t>2.绩效目标有待精细化、合理化。</w:t>
      </w:r>
    </w:p>
    <w:p w14:paraId="1404E392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eastAsia" w:ascii="宋体" w:hAnsi="宋体" w:eastAsia="楷体_GB2312" w:cs="楷体_GB2312"/>
          <w:bCs/>
          <w:sz w:val="32"/>
          <w:szCs w:val="32"/>
        </w:rPr>
      </w:pPr>
      <w:r>
        <w:rPr>
          <w:rFonts w:hint="eastAsia" w:ascii="宋体" w:hAnsi="宋体" w:eastAsia="楷体_GB2312" w:cs="楷体_GB2312"/>
          <w:bCs/>
          <w:sz w:val="32"/>
          <w:szCs w:val="32"/>
        </w:rPr>
        <w:t>（二）针对问题提出具体的改进措施或建议</w:t>
      </w:r>
    </w:p>
    <w:p w14:paraId="5870F6E7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78" w:lineRule="exact"/>
        <w:ind w:left="0" w:right="0" w:firstLine="640" w:firstLineChars="200"/>
        <w:rPr>
          <w:rFonts w:hint="default" w:ascii="宋体" w:hAnsi="宋体" w:eastAsia="仿宋_GB2312" w:cs="仿宋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"/>
          <w:sz w:val="32"/>
          <w:szCs w:val="32"/>
          <w:lang w:val="en-US" w:eastAsia="zh-CN"/>
        </w:rPr>
        <w:t>在今后年度的预算编制过程中要做到提前谋划，明确任务，考虑周全，应编尽编。进一步加强预算绩效管理意识，从源头上提高预算编制的科学性和精准性，科学设定绩效指标和指标值，确保绩效目标符合规定要求，项目实施过程中加强绩效指标的追踪分析，让绩效指标的切实起到项目监控的功能。做好项目预算执行的各项前期准备工作，做到预算一经批复或下达，项目即可落实，资金即可使用。</w:t>
      </w:r>
    </w:p>
    <w:sectPr>
      <w:footerReference r:id="rId3" w:type="default"/>
      <w:pgSz w:w="11906" w:h="16838"/>
      <w:pgMar w:top="2098" w:right="1474" w:bottom="1984" w:left="1587" w:header="851" w:footer="158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Noto Sans Mono CJK JP Bold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16" w:usb3="00000000" w:csb0="6006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8C4423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791FFB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ascii="宋体" w:hAnsi="宋体"/>
                              <w:sz w:val="28"/>
                            </w:rPr>
                          </w:pP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>- 1 -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6791FFB">
                    <w:pPr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ascii="宋体" w:hAnsi="宋体"/>
                        <w:sz w:val="28"/>
                      </w:rPr>
                    </w:pPr>
                    <w:r>
                      <w:rPr>
                        <w:rFonts w:ascii="宋体" w:hAnsi="宋体"/>
                        <w:sz w:val="28"/>
                      </w:rPr>
                      <w:t xml:space="preserve">— 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</w:rPr>
                      <w:t>- 1 -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F22CC4"/>
    <w:multiLevelType w:val="singleLevel"/>
    <w:tmpl w:val="00F22CC4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MwYmNiMTU0ZTgzMzU1ODM1OGEzZjZiM2ZkMjkxMzkifQ=="/>
  </w:docVars>
  <w:rsids>
    <w:rsidRoot w:val="0EBD2122"/>
    <w:rsid w:val="00041BBF"/>
    <w:rsid w:val="000B0260"/>
    <w:rsid w:val="001B713F"/>
    <w:rsid w:val="00317DD7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B104CA"/>
    <w:rsid w:val="02106AB0"/>
    <w:rsid w:val="02B43A28"/>
    <w:rsid w:val="046F331E"/>
    <w:rsid w:val="06A739DE"/>
    <w:rsid w:val="07956271"/>
    <w:rsid w:val="09721397"/>
    <w:rsid w:val="097C1B48"/>
    <w:rsid w:val="09C01876"/>
    <w:rsid w:val="0BB63BED"/>
    <w:rsid w:val="0DCD037B"/>
    <w:rsid w:val="0EB97A43"/>
    <w:rsid w:val="0EBD2122"/>
    <w:rsid w:val="0F214EAE"/>
    <w:rsid w:val="11B71E6A"/>
    <w:rsid w:val="148844F9"/>
    <w:rsid w:val="1AAF0063"/>
    <w:rsid w:val="1BE140DE"/>
    <w:rsid w:val="1CC61A56"/>
    <w:rsid w:val="1DCA0896"/>
    <w:rsid w:val="22BE79CE"/>
    <w:rsid w:val="248C197D"/>
    <w:rsid w:val="252959AF"/>
    <w:rsid w:val="269A24F5"/>
    <w:rsid w:val="277A6671"/>
    <w:rsid w:val="289C0AD7"/>
    <w:rsid w:val="292D35B7"/>
    <w:rsid w:val="2B1C0A93"/>
    <w:rsid w:val="2EF45509"/>
    <w:rsid w:val="32817910"/>
    <w:rsid w:val="32DE46D8"/>
    <w:rsid w:val="33EB6CFF"/>
    <w:rsid w:val="34D002F4"/>
    <w:rsid w:val="35392A24"/>
    <w:rsid w:val="353C530B"/>
    <w:rsid w:val="35A12947"/>
    <w:rsid w:val="36FF1994"/>
    <w:rsid w:val="37387040"/>
    <w:rsid w:val="39885D54"/>
    <w:rsid w:val="39F95CDE"/>
    <w:rsid w:val="3B625C0A"/>
    <w:rsid w:val="3CEE1963"/>
    <w:rsid w:val="3EBE15C4"/>
    <w:rsid w:val="436B78D3"/>
    <w:rsid w:val="4C9C27FE"/>
    <w:rsid w:val="512260B4"/>
    <w:rsid w:val="52BD6ACB"/>
    <w:rsid w:val="55537534"/>
    <w:rsid w:val="561A74F1"/>
    <w:rsid w:val="56694C24"/>
    <w:rsid w:val="58726012"/>
    <w:rsid w:val="597244E8"/>
    <w:rsid w:val="5EB71C30"/>
    <w:rsid w:val="65D26342"/>
    <w:rsid w:val="66AF0CE5"/>
    <w:rsid w:val="6AC537CF"/>
    <w:rsid w:val="6C2021D1"/>
    <w:rsid w:val="6E5B14A6"/>
    <w:rsid w:val="711B255E"/>
    <w:rsid w:val="724A225B"/>
    <w:rsid w:val="76D45358"/>
    <w:rsid w:val="77EE066B"/>
    <w:rsid w:val="77FE6B23"/>
    <w:rsid w:val="7BB51E06"/>
    <w:rsid w:val="7C387F7C"/>
    <w:rsid w:val="7C4B43A2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next w:val="1"/>
    <w:qFormat/>
    <w:uiPriority w:val="0"/>
    <w:pPr>
      <w:wordWrap w:val="0"/>
      <w:ind w:left="3400"/>
      <w:jc w:val="both"/>
    </w:pPr>
    <w:rPr>
      <w:sz w:val="21"/>
      <w:lang w:val="en-US" w:eastAsia="zh-CN"/>
    </w:rPr>
  </w:style>
  <w:style w:type="paragraph" w:styleId="4">
    <w:name w:val="Body Text"/>
    <w:basedOn w:val="1"/>
    <w:qFormat/>
    <w:uiPriority w:val="0"/>
    <w:rPr>
      <w:rFonts w:ascii="Noto Sans Mono CJK JP Bold" w:hAnsi="Noto Sans Mono CJK JP Bold" w:eastAsia="Noto Sans Mono CJK JP Bold" w:cs="Noto Sans Mono CJK JP Bold"/>
      <w:sz w:val="32"/>
      <w:szCs w:val="32"/>
      <w:lang w:val="en-US" w:eastAsia="zh-CN"/>
    </w:rPr>
  </w:style>
  <w:style w:type="paragraph" w:styleId="5">
    <w:name w:val="Body Text Indent"/>
    <w:basedOn w:val="1"/>
    <w:qFormat/>
    <w:uiPriority w:val="0"/>
    <w:pPr>
      <w:spacing w:line="360" w:lineRule="auto"/>
      <w:ind w:firstLine="200" w:firstLineChars="200"/>
      <w:textAlignment w:val="baseline"/>
    </w:pPr>
    <w:rPr>
      <w:rFonts w:hint="eastAsia" w:ascii="Times New Roman" w:hAnsi="Times New Roman" w:eastAsia="宋体" w:cs="Times New Roman"/>
      <w:sz w:val="24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8">
    <w:name w:val="Body Text First Indent 2"/>
    <w:basedOn w:val="5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customStyle="1" w:styleId="11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2423</Words>
  <Characters>2635</Characters>
  <Lines>4</Lines>
  <Paragraphs>1</Paragraphs>
  <TotalTime>6</TotalTime>
  <ScaleCrop>false</ScaleCrop>
  <LinksUpToDate>false</LinksUpToDate>
  <CharactersWithSpaces>2636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赵梦瑶</cp:lastModifiedBy>
  <cp:lastPrinted>2026-05-09T06:53:00Z</cp:lastPrinted>
  <dcterms:modified xsi:type="dcterms:W3CDTF">2026-05-18T03:18:03Z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091DEC4908A44FEDB62B73ECAC645084_13</vt:lpwstr>
  </property>
  <property fmtid="{D5CDD505-2E9C-101B-9397-08002B2CF9AE}" pid="4" name="KSOTemplateDocerSaveRecord">
    <vt:lpwstr>eyJoZGlkIjoiMDA1OWI1NDhmNjg4Y2EwOGM3MGYxYTNhYWU4MGRhYTgiLCJ1c2VySWQiOiIxNzUwMTU2MzU2In0=</vt:lpwstr>
  </property>
</Properties>
</file>