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FAEC813">
      <w:pPr>
        <w:pStyle w:val="3"/>
        <w:keepNext/>
        <w:keepLines/>
        <w:pageBreakBefore w:val="0"/>
        <w:widowControl w:val="0"/>
        <w:kinsoku/>
        <w:wordWrap/>
        <w:overflowPunct/>
        <w:topLinePunct w:val="0"/>
        <w:autoSpaceDE/>
        <w:autoSpaceDN/>
        <w:bidi w:val="0"/>
        <w:adjustRightInd/>
        <w:snapToGrid/>
        <w:spacing w:before="0" w:beforeLines="0" w:after="0" w:afterLines="0" w:line="578" w:lineRule="exact"/>
        <w:jc w:val="center"/>
        <w:textAlignment w:val="auto"/>
        <w:rPr>
          <w:rFonts w:hint="eastAsia" w:ascii="宋体" w:hAnsi="宋体"/>
          <w:lang w:eastAsia="zh-CN"/>
        </w:rPr>
      </w:pPr>
      <w:r>
        <w:rPr>
          <w:rFonts w:hint="eastAsia" w:ascii="宋体" w:hAnsi="宋体"/>
          <w:lang w:eastAsia="zh-CN"/>
        </w:rPr>
        <w:t>石家庄市鹿泉区人民代表大会常务委员会</w:t>
      </w:r>
    </w:p>
    <w:p w14:paraId="0FDD9B74">
      <w:pPr>
        <w:pStyle w:val="3"/>
        <w:keepNext/>
        <w:keepLines/>
        <w:pageBreakBefore w:val="0"/>
        <w:widowControl w:val="0"/>
        <w:kinsoku/>
        <w:wordWrap/>
        <w:overflowPunct/>
        <w:topLinePunct w:val="0"/>
        <w:autoSpaceDE/>
        <w:autoSpaceDN/>
        <w:bidi w:val="0"/>
        <w:adjustRightInd/>
        <w:snapToGrid/>
        <w:spacing w:before="0" w:beforeLines="0" w:after="0" w:afterLines="0" w:line="578" w:lineRule="exact"/>
        <w:jc w:val="center"/>
        <w:textAlignment w:val="auto"/>
        <w:rPr>
          <w:rFonts w:hint="eastAsia" w:ascii="宋体" w:hAnsi="宋体" w:eastAsia="仿宋_GB2312" w:cs="仿宋_GB2312"/>
          <w:sz w:val="32"/>
          <w:szCs w:val="32"/>
          <w:lang w:eastAsia="zh-CN"/>
        </w:rPr>
      </w:pPr>
      <w:r>
        <w:rPr>
          <w:rFonts w:hint="eastAsia" w:ascii="宋体" w:hAnsi="宋体"/>
          <w:lang w:val="en-US" w:eastAsia="zh-CN"/>
        </w:rPr>
        <w:t>2025年度</w:t>
      </w:r>
      <w:r>
        <w:rPr>
          <w:rFonts w:hint="eastAsia" w:ascii="宋体" w:hAnsi="宋体"/>
          <w:lang w:eastAsia="zh-CN"/>
        </w:rPr>
        <w:t>整体支出绩效自评报告</w:t>
      </w:r>
    </w:p>
    <w:p w14:paraId="4C4C5916">
      <w:pPr>
        <w:pageBreakBefore w:val="0"/>
        <w:widowControl w:val="0"/>
        <w:kinsoku/>
        <w:wordWrap/>
        <w:overflowPunct/>
        <w:topLinePunct w:val="0"/>
        <w:autoSpaceDE/>
        <w:autoSpaceDN/>
        <w:bidi w:val="0"/>
        <w:adjustRightInd/>
        <w:snapToGrid/>
        <w:spacing w:line="550" w:lineRule="exact"/>
        <w:ind w:leftChars="0" w:firstLine="640" w:firstLineChars="200"/>
        <w:textAlignment w:val="auto"/>
        <w:rPr>
          <w:rFonts w:hint="eastAsia" w:ascii="宋体" w:hAnsi="宋体" w:eastAsia="仿宋_GB2312" w:cs="仿宋_GB2312"/>
          <w:sz w:val="32"/>
          <w:szCs w:val="32"/>
          <w:lang w:eastAsia="zh-CN"/>
        </w:rPr>
      </w:pPr>
    </w:p>
    <w:p w14:paraId="2AD785DB">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贯彻落实</w:t>
      </w:r>
      <w:r>
        <w:rPr>
          <w:rFonts w:hint="eastAsia" w:ascii="仿宋" w:hAnsi="仿宋" w:eastAsia="仿宋"/>
          <w:sz w:val="32"/>
          <w:szCs w:val="32"/>
          <w:lang w:eastAsia="zh-CN"/>
        </w:rPr>
        <w:t>石家庄市鹿泉区人民政府《关于全面实施预算绩效管理的实施意见》（鹿发﹝</w:t>
      </w:r>
      <w:r>
        <w:rPr>
          <w:rFonts w:hint="eastAsia" w:ascii="仿宋" w:hAnsi="仿宋" w:eastAsia="仿宋"/>
          <w:sz w:val="32"/>
          <w:szCs w:val="32"/>
          <w:lang w:val="en-US" w:eastAsia="zh-CN"/>
        </w:rPr>
        <w:t>2019</w:t>
      </w:r>
      <w:r>
        <w:rPr>
          <w:rFonts w:hint="eastAsia" w:ascii="仿宋" w:hAnsi="仿宋" w:eastAsia="仿宋"/>
          <w:sz w:val="32"/>
          <w:szCs w:val="32"/>
          <w:lang w:eastAsia="zh-CN"/>
        </w:rPr>
        <w:t>﹞</w:t>
      </w:r>
      <w:r>
        <w:rPr>
          <w:rFonts w:hint="eastAsia" w:ascii="仿宋" w:hAnsi="仿宋" w:eastAsia="仿宋"/>
          <w:sz w:val="32"/>
          <w:szCs w:val="32"/>
          <w:lang w:val="en-US" w:eastAsia="zh-CN"/>
        </w:rPr>
        <w:t>8号</w:t>
      </w:r>
      <w:r>
        <w:rPr>
          <w:rFonts w:hint="eastAsia" w:ascii="仿宋" w:hAnsi="仿宋" w:eastAsia="仿宋"/>
          <w:sz w:val="32"/>
          <w:szCs w:val="32"/>
          <w:lang w:eastAsia="zh-CN"/>
        </w:rPr>
        <w:t>）</w:t>
      </w:r>
      <w:r>
        <w:rPr>
          <w:rFonts w:hint="eastAsia" w:ascii="仿宋" w:hAnsi="仿宋" w:eastAsia="仿宋"/>
          <w:sz w:val="32"/>
          <w:szCs w:val="32"/>
        </w:rPr>
        <w:t>文件精神</w:t>
      </w:r>
      <w:r>
        <w:rPr>
          <w:rFonts w:hint="eastAsia" w:ascii="宋体" w:hAnsi="宋体" w:eastAsia="仿宋_GB2312" w:cs="仿宋_GB2312"/>
          <w:sz w:val="32"/>
          <w:szCs w:val="32"/>
          <w:lang w:eastAsia="zh-CN"/>
        </w:rPr>
        <w:t>，遵循“科学性、规范性、客观性和公正性”的原则，对石家庄市鹿泉区人民代表大会常务委员会</w:t>
      </w:r>
      <w:r>
        <w:rPr>
          <w:rFonts w:hint="eastAsia" w:ascii="宋体" w:hAnsi="宋体" w:eastAsia="仿宋_GB2312" w:cs="仿宋_GB2312"/>
          <w:sz w:val="32"/>
          <w:szCs w:val="32"/>
          <w:lang w:val="en-US" w:eastAsia="zh-CN"/>
        </w:rPr>
        <w:t>2025年</w:t>
      </w:r>
      <w:r>
        <w:rPr>
          <w:rFonts w:hint="eastAsia" w:ascii="宋体" w:hAnsi="宋体" w:eastAsia="仿宋_GB2312" w:cs="仿宋_GB2312"/>
          <w:sz w:val="32"/>
          <w:szCs w:val="32"/>
          <w:lang w:eastAsia="zh-CN"/>
        </w:rPr>
        <w:t>整体支出情况实施了财政支出绩效自评价，形成本评价报告。</w:t>
      </w:r>
      <w:r>
        <w:rPr>
          <w:rFonts w:hint="eastAsia" w:ascii="仿宋" w:hAnsi="仿宋" w:eastAsia="仿宋"/>
          <w:sz w:val="32"/>
          <w:szCs w:val="32"/>
        </w:rPr>
        <w:t xml:space="preserve">  </w:t>
      </w:r>
    </w:p>
    <w:p w14:paraId="04296B4E">
      <w:pPr>
        <w:widowControl w:val="0"/>
        <w:wordWrap/>
        <w:adjustRightInd w:val="0"/>
        <w:snapToGrid w:val="0"/>
        <w:spacing w:line="560" w:lineRule="exact"/>
        <w:ind w:left="0" w:leftChars="0" w:right="0" w:firstLine="640" w:firstLineChars="200"/>
        <w:textAlignment w:val="auto"/>
        <w:outlineLvl w:val="9"/>
        <w:rPr>
          <w:rFonts w:ascii="黑体" w:hAnsi="黑体" w:eastAsia="黑体"/>
          <w:b/>
          <w:bCs/>
          <w:sz w:val="32"/>
          <w:szCs w:val="36"/>
        </w:rPr>
      </w:pPr>
      <w:r>
        <w:rPr>
          <w:rFonts w:hint="eastAsia" w:ascii="黑体" w:hAnsi="黑体" w:eastAsia="黑体"/>
          <w:sz w:val="32"/>
          <w:szCs w:val="32"/>
        </w:rPr>
        <w:t>一、</w:t>
      </w:r>
      <w:r>
        <w:rPr>
          <w:rFonts w:hint="eastAsia" w:ascii="黑体" w:hAnsi="黑体" w:eastAsia="黑体"/>
          <w:sz w:val="32"/>
          <w:szCs w:val="32"/>
          <w:lang w:eastAsia="zh-CN"/>
        </w:rPr>
        <w:t>部门</w:t>
      </w:r>
      <w:r>
        <w:rPr>
          <w:rFonts w:hint="eastAsia" w:ascii="黑体" w:hAnsi="黑体" w:eastAsia="黑体"/>
          <w:sz w:val="32"/>
          <w:szCs w:val="36"/>
        </w:rPr>
        <w:t>基本情况</w:t>
      </w:r>
    </w:p>
    <w:p w14:paraId="4CA303A8">
      <w:pPr>
        <w:widowControl w:val="0"/>
        <w:wordWrap/>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rPr>
        <w:t>（一）</w:t>
      </w:r>
      <w:r>
        <w:rPr>
          <w:rFonts w:hint="eastAsia" w:ascii="仿宋" w:hAnsi="仿宋" w:eastAsia="仿宋" w:cs="楷体_GB2312"/>
          <w:b/>
          <w:bCs/>
          <w:sz w:val="32"/>
          <w:szCs w:val="32"/>
          <w:lang w:eastAsia="zh-CN"/>
        </w:rPr>
        <w:t>部门</w:t>
      </w:r>
      <w:r>
        <w:rPr>
          <w:rFonts w:hint="eastAsia" w:ascii="仿宋" w:hAnsi="仿宋" w:eastAsia="仿宋" w:cs="楷体_GB2312"/>
          <w:b/>
          <w:bCs/>
          <w:sz w:val="32"/>
          <w:szCs w:val="32"/>
        </w:rPr>
        <w:t>概况</w:t>
      </w:r>
    </w:p>
    <w:p w14:paraId="32955B95">
      <w:pPr>
        <w:widowControl w:val="0"/>
        <w:wordWrap/>
        <w:adjustRightInd w:val="0"/>
        <w:snapToGrid w:val="0"/>
        <w:spacing w:line="560" w:lineRule="exact"/>
        <w:ind w:left="0" w:leftChars="0" w:right="0" w:firstLine="640" w:firstLineChars="200"/>
        <w:textAlignment w:val="auto"/>
        <w:outlineLvl w:val="9"/>
        <w:rPr>
          <w:rFonts w:hint="eastAsia" w:ascii="黑体" w:eastAsia="黑体" w:cs="黑体"/>
          <w:b w:val="0"/>
          <w:bCs w:val="0"/>
          <w:kern w:val="0"/>
          <w:sz w:val="32"/>
          <w:szCs w:val="32"/>
          <w:lang w:eastAsia="zh-CN"/>
        </w:rPr>
      </w:pPr>
      <w:r>
        <w:rPr>
          <w:rFonts w:hint="eastAsia" w:ascii="黑体" w:eastAsia="黑体" w:cs="黑体"/>
          <w:b w:val="0"/>
          <w:bCs w:val="0"/>
          <w:kern w:val="0"/>
          <w:sz w:val="32"/>
          <w:szCs w:val="32"/>
          <w:lang w:eastAsia="zh-CN"/>
        </w:rPr>
        <w:t>部门</w:t>
      </w:r>
      <w:r>
        <w:rPr>
          <w:rFonts w:hint="eastAsia" w:ascii="黑体" w:eastAsia="黑体" w:cs="黑体"/>
          <w:b w:val="0"/>
          <w:bCs w:val="0"/>
          <w:kern w:val="0"/>
          <w:sz w:val="32"/>
          <w:szCs w:val="32"/>
        </w:rPr>
        <w:t>职</w:t>
      </w:r>
      <w:r>
        <w:rPr>
          <w:rFonts w:hint="eastAsia" w:ascii="黑体" w:eastAsia="黑体" w:cs="黑体"/>
          <w:b w:val="0"/>
          <w:bCs w:val="0"/>
          <w:kern w:val="0"/>
          <w:sz w:val="32"/>
          <w:szCs w:val="32"/>
          <w:lang w:eastAsia="zh-CN"/>
        </w:rPr>
        <w:t>能</w:t>
      </w:r>
    </w:p>
    <w:p w14:paraId="012F7AC5">
      <w:pPr>
        <w:ind w:firstLine="560"/>
        <w:rPr>
          <w:rFonts w:hint="eastAsia" w:ascii="楷体" w:hAnsi="楷体" w:eastAsia="楷体" w:cs="楷体"/>
          <w:sz w:val="32"/>
          <w:szCs w:val="32"/>
        </w:rPr>
      </w:pPr>
      <w:r>
        <w:rPr>
          <w:rFonts w:hint="eastAsia" w:ascii="楷体" w:hAnsi="楷体" w:eastAsia="楷体" w:cs="楷体"/>
          <w:sz w:val="32"/>
          <w:szCs w:val="32"/>
          <w:lang w:val="en-US" w:eastAsia="zh-CN"/>
        </w:rPr>
        <w:t>1、</w:t>
      </w:r>
      <w:r>
        <w:rPr>
          <w:rFonts w:hint="eastAsia" w:ascii="楷体" w:hAnsi="楷体" w:eastAsia="楷体" w:cs="楷体"/>
          <w:sz w:val="32"/>
          <w:szCs w:val="32"/>
        </w:rPr>
        <w:t>人大监督</w:t>
      </w:r>
    </w:p>
    <w:p w14:paraId="79E8DF13">
      <w:pPr>
        <w:ind w:firstLine="560"/>
        <w:rPr>
          <w:rFonts w:hint="eastAsia" w:ascii="仿宋_GB2312" w:eastAsia="仿宋_GB2312"/>
          <w:sz w:val="32"/>
          <w:szCs w:val="32"/>
        </w:rPr>
      </w:pPr>
      <w:r>
        <w:rPr>
          <w:rFonts w:hint="eastAsia" w:ascii="仿宋_GB2312" w:eastAsia="仿宋_GB2312"/>
          <w:sz w:val="32"/>
          <w:szCs w:val="32"/>
          <w:lang w:eastAsia="zh-CN"/>
        </w:rPr>
        <w:t>（</w:t>
      </w:r>
      <w:r>
        <w:rPr>
          <w:rFonts w:hint="eastAsia" w:ascii="仿宋_GB2312" w:eastAsia="仿宋_GB2312"/>
          <w:sz w:val="32"/>
          <w:szCs w:val="32"/>
          <w:lang w:val="en-US" w:eastAsia="zh-CN"/>
        </w:rPr>
        <w:t>1</w:t>
      </w:r>
      <w:r>
        <w:rPr>
          <w:rFonts w:hint="eastAsia" w:ascii="仿宋_GB2312" w:eastAsia="仿宋_GB2312"/>
          <w:sz w:val="32"/>
          <w:szCs w:val="32"/>
          <w:lang w:eastAsia="zh-CN"/>
        </w:rPr>
        <w:t>）</w:t>
      </w:r>
      <w:r>
        <w:rPr>
          <w:rFonts w:hint="eastAsia" w:ascii="仿宋_GB2312" w:eastAsia="仿宋_GB2312"/>
          <w:sz w:val="32"/>
          <w:szCs w:val="32"/>
        </w:rPr>
        <w:t>监督宪法和法律在我区行政区域内正确实施。</w:t>
      </w:r>
    </w:p>
    <w:p w14:paraId="1A7FC21C">
      <w:pPr>
        <w:ind w:firstLine="560"/>
        <w:rPr>
          <w:rFonts w:hint="eastAsia" w:ascii="仿宋_GB2312" w:eastAsia="仿宋_GB2312"/>
          <w:sz w:val="32"/>
          <w:szCs w:val="32"/>
        </w:rPr>
      </w:pPr>
      <w:r>
        <w:rPr>
          <w:rFonts w:hint="eastAsia" w:ascii="仿宋_GB2312" w:eastAsia="仿宋_GB2312"/>
          <w:sz w:val="32"/>
          <w:szCs w:val="32"/>
          <w:lang w:eastAsia="zh-CN"/>
        </w:rPr>
        <w:t>（</w:t>
      </w:r>
      <w:r>
        <w:rPr>
          <w:rFonts w:hint="eastAsia" w:ascii="仿宋_GB2312" w:eastAsia="仿宋_GB2312"/>
          <w:sz w:val="32"/>
          <w:szCs w:val="32"/>
          <w:lang w:val="en-US" w:eastAsia="zh-CN"/>
        </w:rPr>
        <w:t>2</w:t>
      </w:r>
      <w:r>
        <w:rPr>
          <w:rFonts w:hint="eastAsia" w:ascii="仿宋_GB2312" w:eastAsia="仿宋_GB2312"/>
          <w:sz w:val="32"/>
          <w:szCs w:val="32"/>
          <w:lang w:eastAsia="zh-CN"/>
        </w:rPr>
        <w:t>）</w:t>
      </w:r>
      <w:r>
        <w:rPr>
          <w:rFonts w:hint="eastAsia" w:ascii="仿宋_GB2312" w:eastAsia="仿宋_GB2312"/>
          <w:sz w:val="32"/>
          <w:szCs w:val="32"/>
        </w:rPr>
        <w:t>监督一府两院依法开展工作。</w:t>
      </w:r>
    </w:p>
    <w:p w14:paraId="23A4AAE3">
      <w:pPr>
        <w:ind w:firstLine="560"/>
        <w:rPr>
          <w:rFonts w:hint="eastAsia" w:ascii="仿宋_GB2312" w:eastAsia="仿宋_GB2312"/>
          <w:sz w:val="32"/>
          <w:szCs w:val="32"/>
        </w:rPr>
      </w:pPr>
      <w:r>
        <w:rPr>
          <w:rFonts w:hint="eastAsia" w:ascii="仿宋_GB2312" w:eastAsia="仿宋_GB2312"/>
          <w:sz w:val="32"/>
          <w:szCs w:val="32"/>
          <w:lang w:eastAsia="zh-CN"/>
        </w:rPr>
        <w:t>（</w:t>
      </w:r>
      <w:r>
        <w:rPr>
          <w:rFonts w:hint="eastAsia" w:ascii="仿宋_GB2312" w:eastAsia="仿宋_GB2312"/>
          <w:sz w:val="32"/>
          <w:szCs w:val="32"/>
          <w:lang w:val="en-US" w:eastAsia="zh-CN"/>
        </w:rPr>
        <w:t>3</w:t>
      </w:r>
      <w:r>
        <w:rPr>
          <w:rFonts w:hint="eastAsia" w:ascii="仿宋_GB2312" w:eastAsia="仿宋_GB2312"/>
          <w:sz w:val="32"/>
          <w:szCs w:val="32"/>
          <w:lang w:eastAsia="zh-CN"/>
        </w:rPr>
        <w:t>）监督区本级预算按照区人民代表大会通过的预算有效</w:t>
      </w:r>
      <w:r>
        <w:rPr>
          <w:rFonts w:hint="eastAsia" w:ascii="仿宋_GB2312" w:eastAsia="仿宋_GB2312"/>
          <w:sz w:val="32"/>
          <w:szCs w:val="32"/>
        </w:rPr>
        <w:t>实施。</w:t>
      </w:r>
    </w:p>
    <w:p w14:paraId="1EF519A1">
      <w:pPr>
        <w:ind w:firstLine="560"/>
        <w:rPr>
          <w:rFonts w:ascii="仿宋_GB2312" w:eastAsia="仿宋_GB2312"/>
          <w:sz w:val="32"/>
          <w:szCs w:val="32"/>
        </w:rPr>
      </w:pPr>
      <w:r>
        <w:rPr>
          <w:rFonts w:hint="eastAsia" w:ascii="仿宋_GB2312" w:eastAsia="仿宋_GB2312"/>
          <w:sz w:val="32"/>
          <w:szCs w:val="32"/>
          <w:lang w:eastAsia="zh-CN"/>
        </w:rPr>
        <w:t>（</w:t>
      </w:r>
      <w:r>
        <w:rPr>
          <w:rFonts w:hint="eastAsia" w:ascii="仿宋_GB2312" w:eastAsia="仿宋_GB2312"/>
          <w:sz w:val="32"/>
          <w:szCs w:val="32"/>
          <w:lang w:val="en-US" w:eastAsia="zh-CN"/>
        </w:rPr>
        <w:t>4</w:t>
      </w:r>
      <w:r>
        <w:rPr>
          <w:rFonts w:hint="eastAsia" w:ascii="仿宋_GB2312" w:eastAsia="仿宋_GB2312"/>
          <w:sz w:val="32"/>
          <w:szCs w:val="32"/>
          <w:lang w:eastAsia="zh-CN"/>
        </w:rPr>
        <w:t>）</w:t>
      </w:r>
      <w:r>
        <w:rPr>
          <w:rFonts w:hint="eastAsia" w:ascii="仿宋_GB2312" w:eastAsia="仿宋_GB2312"/>
          <w:sz w:val="32"/>
          <w:szCs w:val="32"/>
        </w:rPr>
        <w:t>监督经济和社会发展计划有效实施。</w:t>
      </w:r>
    </w:p>
    <w:p w14:paraId="7C43C9FC">
      <w:pPr>
        <w:ind w:firstLine="640" w:firstLineChars="200"/>
        <w:rPr>
          <w:rFonts w:hint="eastAsia" w:ascii="楷体" w:hAnsi="楷体" w:eastAsia="楷体" w:cs="楷体"/>
          <w:sz w:val="32"/>
          <w:szCs w:val="32"/>
        </w:rPr>
      </w:pPr>
      <w:r>
        <w:rPr>
          <w:rFonts w:hint="eastAsia" w:ascii="楷体" w:hAnsi="楷体" w:eastAsia="楷体" w:cs="楷体"/>
          <w:sz w:val="32"/>
          <w:szCs w:val="32"/>
          <w:lang w:val="en-US" w:eastAsia="zh-CN"/>
        </w:rPr>
        <w:t>2、</w:t>
      </w:r>
      <w:r>
        <w:rPr>
          <w:rFonts w:hint="eastAsia" w:ascii="楷体" w:hAnsi="楷体" w:eastAsia="楷体" w:cs="楷体"/>
          <w:sz w:val="32"/>
          <w:szCs w:val="32"/>
        </w:rPr>
        <w:t>人大会议</w:t>
      </w:r>
    </w:p>
    <w:p w14:paraId="04FC0217">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sz w:val="32"/>
          <w:szCs w:val="32"/>
        </w:rPr>
      </w:pPr>
      <w:r>
        <w:rPr>
          <w:rFonts w:hint="eastAsia" w:ascii="仿宋_GB2312" w:eastAsia="仿宋_GB2312"/>
          <w:sz w:val="32"/>
          <w:szCs w:val="32"/>
          <w:lang w:eastAsia="zh-CN"/>
        </w:rPr>
        <w:t>（</w:t>
      </w:r>
      <w:r>
        <w:rPr>
          <w:rFonts w:hint="eastAsia" w:ascii="仿宋_GB2312" w:eastAsia="仿宋_GB2312"/>
          <w:sz w:val="32"/>
          <w:szCs w:val="32"/>
          <w:lang w:val="en-US" w:eastAsia="zh-CN"/>
        </w:rPr>
        <w:t>1</w:t>
      </w:r>
      <w:r>
        <w:rPr>
          <w:rFonts w:hint="eastAsia" w:ascii="仿宋_GB2312" w:eastAsia="仿宋_GB2312"/>
          <w:sz w:val="32"/>
          <w:szCs w:val="32"/>
          <w:lang w:eastAsia="zh-CN"/>
        </w:rPr>
        <w:t>）</w:t>
      </w:r>
      <w:r>
        <w:rPr>
          <w:rFonts w:hint="eastAsia" w:ascii="仿宋_GB2312" w:eastAsia="仿宋_GB2312"/>
          <w:sz w:val="32"/>
          <w:szCs w:val="32"/>
        </w:rPr>
        <w:t>在人大代表和区人大</w:t>
      </w:r>
      <w:r>
        <w:rPr>
          <w:rFonts w:hint="eastAsia" w:ascii="仿宋_GB2312" w:eastAsia="仿宋_GB2312"/>
          <w:sz w:val="32"/>
          <w:szCs w:val="32"/>
          <w:lang w:eastAsia="zh-CN"/>
        </w:rPr>
        <w:t>常务委员会</w:t>
      </w:r>
      <w:r>
        <w:rPr>
          <w:rFonts w:hint="eastAsia" w:ascii="仿宋_GB2312" w:eastAsia="仿宋_GB2312"/>
          <w:sz w:val="32"/>
          <w:szCs w:val="32"/>
        </w:rPr>
        <w:t>充分发表审议意见的基础上，作出我区经济社会发展计划、区总预算和区本级预算等决议。</w:t>
      </w:r>
    </w:p>
    <w:p w14:paraId="0EF4DB6A">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sz w:val="32"/>
          <w:szCs w:val="32"/>
        </w:rPr>
      </w:pPr>
      <w:r>
        <w:rPr>
          <w:rFonts w:hint="eastAsia" w:ascii="仿宋_GB2312" w:eastAsia="仿宋_GB2312"/>
          <w:sz w:val="32"/>
          <w:szCs w:val="32"/>
          <w:lang w:eastAsia="zh-CN"/>
        </w:rPr>
        <w:t>（</w:t>
      </w:r>
      <w:r>
        <w:rPr>
          <w:rFonts w:hint="eastAsia" w:ascii="仿宋_GB2312" w:eastAsia="仿宋_GB2312"/>
          <w:sz w:val="32"/>
          <w:szCs w:val="32"/>
          <w:lang w:val="en-US" w:eastAsia="zh-CN"/>
        </w:rPr>
        <w:t>2</w:t>
      </w:r>
      <w:r>
        <w:rPr>
          <w:rFonts w:hint="eastAsia" w:ascii="仿宋_GB2312" w:eastAsia="仿宋_GB2312"/>
          <w:sz w:val="32"/>
          <w:szCs w:val="32"/>
          <w:lang w:eastAsia="zh-CN"/>
        </w:rPr>
        <w:t>）</w:t>
      </w:r>
      <w:r>
        <w:rPr>
          <w:rFonts w:hint="eastAsia" w:ascii="仿宋_GB2312" w:eastAsia="仿宋_GB2312"/>
          <w:sz w:val="32"/>
          <w:szCs w:val="32"/>
        </w:rPr>
        <w:t>通过听取和审议一府两院等工作报告，作出有关报告的决议。</w:t>
      </w:r>
    </w:p>
    <w:p w14:paraId="759186E8">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sz w:val="32"/>
          <w:szCs w:val="32"/>
        </w:rPr>
      </w:pPr>
      <w:r>
        <w:rPr>
          <w:rFonts w:hint="eastAsia" w:ascii="仿宋_GB2312" w:eastAsia="仿宋_GB2312"/>
          <w:sz w:val="32"/>
          <w:szCs w:val="32"/>
          <w:lang w:eastAsia="zh-CN"/>
        </w:rPr>
        <w:t>（</w:t>
      </w:r>
      <w:r>
        <w:rPr>
          <w:rFonts w:hint="eastAsia" w:ascii="仿宋_GB2312" w:eastAsia="仿宋_GB2312"/>
          <w:sz w:val="32"/>
          <w:szCs w:val="32"/>
          <w:lang w:val="en-US" w:eastAsia="zh-CN"/>
        </w:rPr>
        <w:t>3</w:t>
      </w:r>
      <w:r>
        <w:rPr>
          <w:rFonts w:hint="eastAsia" w:ascii="仿宋_GB2312" w:eastAsia="仿宋_GB2312"/>
          <w:sz w:val="32"/>
          <w:szCs w:val="32"/>
          <w:lang w:eastAsia="zh-CN"/>
        </w:rPr>
        <w:t>）</w:t>
      </w:r>
      <w:r>
        <w:rPr>
          <w:rFonts w:hint="eastAsia" w:ascii="仿宋_GB2312" w:eastAsia="仿宋_GB2312"/>
          <w:sz w:val="32"/>
          <w:szCs w:val="32"/>
        </w:rPr>
        <w:t>通过质询、专题询问和工作评议的方式就一府两院的工作进行监督。</w:t>
      </w:r>
    </w:p>
    <w:p w14:paraId="099192AA">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sz w:val="32"/>
          <w:szCs w:val="32"/>
        </w:rPr>
      </w:pPr>
      <w:r>
        <w:rPr>
          <w:rFonts w:hint="eastAsia" w:ascii="仿宋_GB2312" w:eastAsia="仿宋_GB2312"/>
          <w:sz w:val="32"/>
          <w:szCs w:val="32"/>
          <w:lang w:eastAsia="zh-CN"/>
        </w:rPr>
        <w:t>（</w:t>
      </w:r>
      <w:r>
        <w:rPr>
          <w:rFonts w:hint="eastAsia" w:ascii="仿宋_GB2312" w:eastAsia="仿宋_GB2312"/>
          <w:sz w:val="32"/>
          <w:szCs w:val="32"/>
          <w:lang w:val="en-US" w:eastAsia="zh-CN"/>
        </w:rPr>
        <w:t>4</w:t>
      </w:r>
      <w:r>
        <w:rPr>
          <w:rFonts w:hint="eastAsia" w:ascii="仿宋_GB2312" w:eastAsia="仿宋_GB2312"/>
          <w:sz w:val="32"/>
          <w:szCs w:val="32"/>
          <w:lang w:eastAsia="zh-CN"/>
        </w:rPr>
        <w:t>）</w:t>
      </w:r>
      <w:r>
        <w:rPr>
          <w:rFonts w:hint="eastAsia" w:ascii="仿宋_GB2312" w:eastAsia="仿宋_GB2312"/>
          <w:sz w:val="32"/>
          <w:szCs w:val="32"/>
        </w:rPr>
        <w:t>为保证我区重大决策的科学性和法定性，实施作出有关我区重大问题的决定。</w:t>
      </w:r>
    </w:p>
    <w:p w14:paraId="459D700D">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lang w:eastAsia="zh-CN"/>
        </w:rPr>
        <w:t>（</w:t>
      </w:r>
      <w:r>
        <w:rPr>
          <w:rFonts w:hint="eastAsia" w:ascii="仿宋_GB2312" w:eastAsia="仿宋_GB2312"/>
          <w:sz w:val="32"/>
          <w:szCs w:val="32"/>
          <w:lang w:val="en-US" w:eastAsia="zh-CN"/>
        </w:rPr>
        <w:t>5</w:t>
      </w:r>
      <w:r>
        <w:rPr>
          <w:rFonts w:hint="eastAsia" w:ascii="仿宋_GB2312" w:eastAsia="仿宋_GB2312"/>
          <w:sz w:val="32"/>
          <w:szCs w:val="32"/>
          <w:lang w:eastAsia="zh-CN"/>
        </w:rPr>
        <w:t>）</w:t>
      </w:r>
      <w:r>
        <w:rPr>
          <w:rFonts w:hint="eastAsia" w:ascii="仿宋_GB2312" w:eastAsia="仿宋_GB2312"/>
          <w:sz w:val="32"/>
          <w:szCs w:val="32"/>
        </w:rPr>
        <w:t>高效、精细</w:t>
      </w:r>
      <w:r>
        <w:rPr>
          <w:rFonts w:hint="eastAsia" w:ascii="仿宋_GB2312" w:eastAsia="仿宋_GB2312"/>
          <w:sz w:val="32"/>
          <w:szCs w:val="32"/>
          <w:lang w:eastAsia="zh-CN"/>
        </w:rPr>
        <w:t>地</w:t>
      </w:r>
      <w:r>
        <w:rPr>
          <w:rFonts w:hint="eastAsia" w:ascii="仿宋_GB2312" w:eastAsia="仿宋_GB2312"/>
          <w:sz w:val="32"/>
          <w:szCs w:val="32"/>
        </w:rPr>
        <w:t>筹备区人</w:t>
      </w:r>
      <w:r>
        <w:rPr>
          <w:rFonts w:hint="eastAsia" w:ascii="仿宋_GB2312" w:eastAsia="仿宋_GB2312"/>
          <w:sz w:val="32"/>
          <w:szCs w:val="32"/>
          <w:lang w:eastAsia="zh-CN"/>
        </w:rPr>
        <w:t>民</w:t>
      </w:r>
      <w:r>
        <w:rPr>
          <w:rFonts w:hint="eastAsia" w:ascii="仿宋_GB2312" w:eastAsia="仿宋_GB2312"/>
          <w:sz w:val="32"/>
          <w:szCs w:val="32"/>
        </w:rPr>
        <w:t>代</w:t>
      </w:r>
      <w:r>
        <w:rPr>
          <w:rFonts w:hint="eastAsia" w:ascii="仿宋_GB2312" w:eastAsia="仿宋_GB2312"/>
          <w:sz w:val="32"/>
          <w:szCs w:val="32"/>
          <w:lang w:eastAsia="zh-CN"/>
        </w:rPr>
        <w:t>表大</w:t>
      </w:r>
      <w:r>
        <w:rPr>
          <w:rFonts w:hint="eastAsia" w:ascii="仿宋_GB2312" w:eastAsia="仿宋_GB2312"/>
          <w:sz w:val="32"/>
          <w:szCs w:val="32"/>
        </w:rPr>
        <w:t>会</w:t>
      </w:r>
      <w:r>
        <w:rPr>
          <w:rFonts w:hint="eastAsia" w:ascii="仿宋_GB2312" w:eastAsia="仿宋_GB2312"/>
          <w:sz w:val="32"/>
          <w:szCs w:val="32"/>
          <w:lang w:eastAsia="zh-CN"/>
        </w:rPr>
        <w:t>。</w:t>
      </w:r>
    </w:p>
    <w:p w14:paraId="58059ED2">
      <w:pPr>
        <w:ind w:firstLine="560"/>
        <w:rPr>
          <w:rFonts w:hint="eastAsia" w:ascii="楷体" w:hAnsi="楷体" w:eastAsia="楷体" w:cs="楷体"/>
          <w:sz w:val="32"/>
          <w:szCs w:val="32"/>
        </w:rPr>
      </w:pPr>
      <w:r>
        <w:rPr>
          <w:rFonts w:hint="eastAsia" w:ascii="楷体" w:hAnsi="楷体" w:eastAsia="楷体" w:cs="楷体"/>
          <w:sz w:val="32"/>
          <w:szCs w:val="32"/>
          <w:lang w:val="en-US" w:eastAsia="zh-CN"/>
        </w:rPr>
        <w:t>3、</w:t>
      </w:r>
      <w:r>
        <w:rPr>
          <w:rFonts w:hint="eastAsia" w:ascii="楷体" w:hAnsi="楷体" w:eastAsia="楷体" w:cs="楷体"/>
          <w:sz w:val="32"/>
          <w:szCs w:val="32"/>
        </w:rPr>
        <w:t>选举和任免</w:t>
      </w:r>
    </w:p>
    <w:p w14:paraId="0993A8E9">
      <w:pPr>
        <w:ind w:firstLine="560"/>
        <w:rPr>
          <w:rFonts w:hint="eastAsia" w:ascii="仿宋_GB2312" w:eastAsia="仿宋_GB2312"/>
          <w:sz w:val="32"/>
          <w:szCs w:val="32"/>
        </w:rPr>
      </w:pPr>
      <w:r>
        <w:rPr>
          <w:rFonts w:hint="eastAsia" w:ascii="仿宋_GB2312" w:eastAsia="仿宋_GB2312"/>
          <w:sz w:val="32"/>
          <w:szCs w:val="32"/>
          <w:lang w:eastAsia="zh-CN"/>
        </w:rPr>
        <w:t>（</w:t>
      </w:r>
      <w:r>
        <w:rPr>
          <w:rFonts w:hint="eastAsia" w:ascii="仿宋_GB2312" w:eastAsia="仿宋_GB2312"/>
          <w:sz w:val="32"/>
          <w:szCs w:val="32"/>
          <w:lang w:val="en-US" w:eastAsia="zh-CN"/>
        </w:rPr>
        <w:t>1</w:t>
      </w:r>
      <w:r>
        <w:rPr>
          <w:rFonts w:hint="eastAsia" w:ascii="仿宋_GB2312" w:eastAsia="仿宋_GB2312"/>
          <w:sz w:val="32"/>
          <w:szCs w:val="32"/>
          <w:lang w:eastAsia="zh-CN"/>
        </w:rPr>
        <w:t>）</w:t>
      </w:r>
      <w:r>
        <w:rPr>
          <w:rFonts w:hint="eastAsia" w:ascii="仿宋_GB2312" w:eastAsia="仿宋_GB2312"/>
          <w:sz w:val="32"/>
          <w:szCs w:val="32"/>
        </w:rPr>
        <w:t>根据一府两院的工作需要和区委建议，在充分酝酿和审议的基础上，选举产生一府两院的领导成员，确保选出能力突出、责任心强的同志担任一府两院的领导同志。</w:t>
      </w:r>
    </w:p>
    <w:p w14:paraId="41731C86">
      <w:pPr>
        <w:ind w:firstLine="560"/>
        <w:rPr>
          <w:rFonts w:hint="eastAsia" w:ascii="仿宋_GB2312" w:eastAsia="仿宋_GB2312"/>
          <w:sz w:val="32"/>
          <w:szCs w:val="32"/>
        </w:rPr>
      </w:pPr>
      <w:r>
        <w:rPr>
          <w:rFonts w:hint="eastAsia" w:ascii="仿宋_GB2312" w:eastAsia="仿宋_GB2312"/>
          <w:sz w:val="32"/>
          <w:szCs w:val="32"/>
          <w:lang w:eastAsia="zh-CN"/>
        </w:rPr>
        <w:t>（</w:t>
      </w:r>
      <w:r>
        <w:rPr>
          <w:rFonts w:hint="eastAsia" w:ascii="仿宋_GB2312" w:eastAsia="仿宋_GB2312"/>
          <w:sz w:val="32"/>
          <w:szCs w:val="32"/>
          <w:lang w:val="en-US" w:eastAsia="zh-CN"/>
        </w:rPr>
        <w:t>2</w:t>
      </w:r>
      <w:r>
        <w:rPr>
          <w:rFonts w:hint="eastAsia" w:ascii="仿宋_GB2312" w:eastAsia="仿宋_GB2312"/>
          <w:sz w:val="32"/>
          <w:szCs w:val="32"/>
          <w:lang w:eastAsia="zh-CN"/>
        </w:rPr>
        <w:t>）</w:t>
      </w:r>
      <w:r>
        <w:rPr>
          <w:rFonts w:hint="eastAsia" w:ascii="仿宋_GB2312" w:eastAsia="仿宋_GB2312"/>
          <w:sz w:val="32"/>
          <w:szCs w:val="32"/>
        </w:rPr>
        <w:t>为确保有关选举的法律法规符合实际，在充分考察调研的基础上，实施对其进行修改。</w:t>
      </w:r>
    </w:p>
    <w:p w14:paraId="58565F47">
      <w:pPr>
        <w:ind w:firstLine="560"/>
        <w:rPr>
          <w:rFonts w:ascii="仿宋_GB2312" w:eastAsia="仿宋_GB2312"/>
          <w:sz w:val="32"/>
          <w:szCs w:val="32"/>
        </w:rPr>
      </w:pPr>
      <w:r>
        <w:rPr>
          <w:rFonts w:hint="eastAsia" w:ascii="仿宋_GB2312" w:eastAsia="仿宋_GB2312"/>
          <w:sz w:val="32"/>
          <w:szCs w:val="32"/>
          <w:lang w:eastAsia="zh-CN"/>
        </w:rPr>
        <w:t>（</w:t>
      </w:r>
      <w:r>
        <w:rPr>
          <w:rFonts w:hint="eastAsia" w:ascii="仿宋_GB2312" w:eastAsia="仿宋_GB2312"/>
          <w:sz w:val="32"/>
          <w:szCs w:val="32"/>
          <w:lang w:val="en-US" w:eastAsia="zh-CN"/>
        </w:rPr>
        <w:t>3</w:t>
      </w:r>
      <w:r>
        <w:rPr>
          <w:rFonts w:hint="eastAsia" w:ascii="仿宋_GB2312" w:eastAsia="仿宋_GB2312"/>
          <w:sz w:val="32"/>
          <w:szCs w:val="32"/>
          <w:lang w:eastAsia="zh-CN"/>
        </w:rPr>
        <w:t>）</w:t>
      </w:r>
      <w:r>
        <w:rPr>
          <w:rFonts w:hint="eastAsia" w:ascii="仿宋_GB2312" w:eastAsia="仿宋_GB2312"/>
          <w:sz w:val="32"/>
          <w:szCs w:val="32"/>
        </w:rPr>
        <w:t>对区政府组成人员和区人民法院、区人民检察院主要负责人进行目标责任监督，确保依法履行职责，完成目标任务。</w:t>
      </w:r>
    </w:p>
    <w:p w14:paraId="571644C5">
      <w:pPr>
        <w:ind w:firstLine="560"/>
        <w:rPr>
          <w:rFonts w:hint="eastAsia" w:ascii="楷体" w:hAnsi="楷体" w:eastAsia="楷体" w:cs="楷体"/>
          <w:sz w:val="32"/>
          <w:szCs w:val="32"/>
        </w:rPr>
      </w:pPr>
      <w:r>
        <w:rPr>
          <w:rFonts w:hint="eastAsia" w:ascii="楷体" w:hAnsi="楷体" w:eastAsia="楷体" w:cs="楷体"/>
          <w:sz w:val="32"/>
          <w:szCs w:val="32"/>
          <w:lang w:val="en-US" w:eastAsia="zh-CN"/>
        </w:rPr>
        <w:t>4、</w:t>
      </w:r>
      <w:r>
        <w:rPr>
          <w:rFonts w:hint="eastAsia" w:ascii="楷体" w:hAnsi="楷体" w:eastAsia="楷体" w:cs="楷体"/>
          <w:sz w:val="32"/>
          <w:szCs w:val="32"/>
        </w:rPr>
        <w:t>人大事务管理</w:t>
      </w:r>
    </w:p>
    <w:p w14:paraId="4D0BEA95">
      <w:pPr>
        <w:autoSpaceDE w:val="0"/>
        <w:autoSpaceDN w:val="0"/>
        <w:adjustRightInd w:val="0"/>
        <w:spacing w:line="360" w:lineRule="auto"/>
        <w:ind w:right="198" w:firstLine="640" w:firstLineChars="200"/>
        <w:rPr>
          <w:rFonts w:hint="eastAsia" w:ascii="仿宋_GB2312" w:eastAsia="仿宋_GB2312"/>
          <w:sz w:val="32"/>
          <w:szCs w:val="32"/>
          <w:lang w:eastAsia="zh-CN"/>
        </w:rPr>
      </w:pPr>
      <w:r>
        <w:rPr>
          <w:rFonts w:hint="eastAsia" w:ascii="仿宋_GB2312" w:eastAsia="仿宋_GB2312"/>
          <w:sz w:val="32"/>
          <w:szCs w:val="32"/>
        </w:rPr>
        <w:t>确保新闻宣传工作正常开展，信息系统运行正常，会议表决系统运转良好，机关基础设施运转良好，人大公报等正常出版，信访工作平稳。</w:t>
      </w:r>
    </w:p>
    <w:p w14:paraId="08474320">
      <w:pPr>
        <w:keepNext/>
        <w:keepLines/>
        <w:spacing w:line="580" w:lineRule="exact"/>
        <w:ind w:firstLine="640" w:firstLineChars="200"/>
        <w:jc w:val="left"/>
        <w:outlineLvl w:val="0"/>
        <w:rPr>
          <w:rFonts w:hint="eastAsia" w:ascii="黑体" w:eastAsia="黑体" w:cs="黑体"/>
          <w:kern w:val="0"/>
          <w:sz w:val="32"/>
          <w:szCs w:val="32"/>
        </w:rPr>
      </w:pPr>
      <w:r>
        <w:rPr>
          <w:rFonts w:hint="eastAsia" w:ascii="黑体" w:eastAsia="黑体" w:cs="黑体"/>
          <w:kern w:val="0"/>
          <w:sz w:val="32"/>
          <w:szCs w:val="32"/>
        </w:rPr>
        <w:t>机构设置</w:t>
      </w:r>
    </w:p>
    <w:p w14:paraId="49AD3F85">
      <w:pPr>
        <w:spacing w:after="0" w:line="560" w:lineRule="exact"/>
        <w:ind w:firstLine="640" w:firstLineChars="200"/>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lang w:eastAsia="zh-CN"/>
        </w:rPr>
        <w:t>本单位属</w:t>
      </w:r>
      <w:r>
        <w:rPr>
          <w:rFonts w:hint="eastAsia" w:ascii="仿宋_GB2312" w:hAnsi="仿宋_GB2312" w:eastAsia="仿宋_GB2312" w:cs="仿宋_GB2312"/>
          <w:kern w:val="0"/>
          <w:sz w:val="32"/>
          <w:szCs w:val="32"/>
        </w:rPr>
        <w:t>独立核算</w:t>
      </w:r>
      <w:r>
        <w:rPr>
          <w:rFonts w:hint="eastAsia" w:ascii="仿宋_GB2312" w:hAnsi="仿宋_GB2312" w:eastAsia="仿宋_GB2312" w:cs="仿宋_GB2312"/>
          <w:kern w:val="0"/>
          <w:sz w:val="32"/>
          <w:szCs w:val="32"/>
          <w:lang w:eastAsia="zh-CN"/>
        </w:rPr>
        <w:t>部门，</w:t>
      </w:r>
      <w:r>
        <w:rPr>
          <w:rFonts w:hint="eastAsia" w:ascii="仿宋_GB2312" w:hAnsi="仿宋_GB2312" w:eastAsia="仿宋_GB2312" w:cs="仿宋_GB2312"/>
          <w:kern w:val="0"/>
          <w:sz w:val="32"/>
          <w:szCs w:val="32"/>
        </w:rPr>
        <w:t>共</w:t>
      </w:r>
      <w:r>
        <w:rPr>
          <w:rFonts w:hint="eastAsia" w:ascii="仿宋_GB2312" w:hAnsi="仿宋_GB2312" w:eastAsia="仿宋_GB2312" w:cs="仿宋_GB2312"/>
          <w:kern w:val="0"/>
          <w:sz w:val="32"/>
          <w:szCs w:val="32"/>
          <w:lang w:val="en-US" w:eastAsia="zh-CN"/>
        </w:rPr>
        <w:t>1</w:t>
      </w:r>
      <w:r>
        <w:rPr>
          <w:rFonts w:hint="eastAsia" w:ascii="仿宋_GB2312" w:hAnsi="仿宋_GB2312" w:eastAsia="仿宋_GB2312" w:cs="仿宋_GB2312"/>
          <w:kern w:val="0"/>
          <w:sz w:val="32"/>
          <w:szCs w:val="32"/>
        </w:rPr>
        <w:t>个，具体情况如下：</w:t>
      </w:r>
    </w:p>
    <w:p w14:paraId="536FBD5C">
      <w:pPr>
        <w:pStyle w:val="13"/>
        <w:rPr>
          <w:rFonts w:hint="eastAsia" w:ascii="仿宋_GB2312" w:hAnsi="仿宋_GB2312" w:eastAsia="仿宋_GB2312" w:cs="仿宋_GB2312"/>
          <w:kern w:val="0"/>
          <w:sz w:val="32"/>
          <w:szCs w:val="32"/>
        </w:rPr>
      </w:pPr>
    </w:p>
    <w:p w14:paraId="065E27A0">
      <w:pPr>
        <w:rPr>
          <w:rFonts w:hint="eastAsia"/>
        </w:rPr>
      </w:pPr>
    </w:p>
    <w:tbl>
      <w:tblPr>
        <w:tblStyle w:val="10"/>
        <w:tblpPr w:leftFromText="180" w:rightFromText="180" w:vertAnchor="text" w:horzAnchor="page" w:tblpXSpec="center" w:tblpY="10"/>
        <w:tblOverlap w:val="never"/>
        <w:tblW w:w="86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1"/>
        <w:gridCol w:w="3821"/>
        <w:gridCol w:w="1796"/>
        <w:gridCol w:w="2389"/>
      </w:tblGrid>
      <w:tr w14:paraId="577BBF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691" w:type="dxa"/>
            <w:noWrap w:val="0"/>
            <w:vAlign w:val="center"/>
          </w:tcPr>
          <w:p w14:paraId="20307002">
            <w:pPr>
              <w:spacing w:after="0" w:line="560" w:lineRule="exact"/>
              <w:ind w:left="0" w:leftChars="0" w:firstLine="0" w:firstLineChars="0"/>
              <w:jc w:val="center"/>
              <w:rPr>
                <w:rFonts w:hint="eastAsia" w:ascii="仿宋_GB2312" w:hAnsi="仿宋_GB2312" w:eastAsia="仿宋_GB2312" w:cs="仿宋_GB2312"/>
                <w:b/>
                <w:bCs/>
                <w:kern w:val="0"/>
                <w:sz w:val="32"/>
                <w:szCs w:val="32"/>
              </w:rPr>
            </w:pPr>
            <w:r>
              <w:rPr>
                <w:rFonts w:hint="eastAsia" w:ascii="仿宋_GB2312" w:hAnsi="仿宋_GB2312" w:eastAsia="仿宋_GB2312" w:cs="仿宋_GB2312"/>
                <w:b/>
                <w:bCs/>
                <w:kern w:val="0"/>
                <w:sz w:val="32"/>
                <w:szCs w:val="32"/>
                <w:lang w:eastAsia="zh-CN"/>
              </w:rPr>
              <w:t>序</w:t>
            </w:r>
            <w:r>
              <w:rPr>
                <w:rFonts w:hint="eastAsia" w:ascii="仿宋_GB2312" w:hAnsi="仿宋_GB2312" w:eastAsia="仿宋_GB2312" w:cs="仿宋_GB2312"/>
                <w:b/>
                <w:bCs/>
                <w:kern w:val="0"/>
                <w:sz w:val="32"/>
                <w:szCs w:val="32"/>
              </w:rPr>
              <w:t>号</w:t>
            </w:r>
          </w:p>
        </w:tc>
        <w:tc>
          <w:tcPr>
            <w:tcW w:w="3821" w:type="dxa"/>
            <w:noWrap w:val="0"/>
            <w:vAlign w:val="center"/>
          </w:tcPr>
          <w:p w14:paraId="31B9F2B6">
            <w:pPr>
              <w:spacing w:after="0" w:line="560" w:lineRule="exact"/>
              <w:ind w:left="0" w:leftChars="0" w:firstLine="0" w:firstLineChars="0"/>
              <w:jc w:val="center"/>
              <w:rPr>
                <w:rFonts w:hint="eastAsia" w:ascii="仿宋_GB2312" w:hAnsi="仿宋_GB2312" w:eastAsia="仿宋_GB2312" w:cs="仿宋_GB2312"/>
                <w:b/>
                <w:bCs/>
                <w:kern w:val="0"/>
                <w:sz w:val="32"/>
                <w:szCs w:val="32"/>
              </w:rPr>
            </w:pPr>
            <w:r>
              <w:rPr>
                <w:rFonts w:hint="eastAsia" w:ascii="仿宋_GB2312" w:hAnsi="仿宋_GB2312" w:eastAsia="仿宋_GB2312" w:cs="仿宋_GB2312"/>
                <w:b/>
                <w:bCs/>
                <w:kern w:val="0"/>
                <w:sz w:val="32"/>
                <w:szCs w:val="32"/>
                <w:lang w:eastAsia="zh-CN"/>
              </w:rPr>
              <w:t>部门</w:t>
            </w:r>
            <w:r>
              <w:rPr>
                <w:rFonts w:hint="eastAsia" w:ascii="仿宋_GB2312" w:hAnsi="仿宋_GB2312" w:eastAsia="仿宋_GB2312" w:cs="仿宋_GB2312"/>
                <w:b/>
                <w:bCs/>
                <w:kern w:val="0"/>
                <w:sz w:val="32"/>
                <w:szCs w:val="32"/>
              </w:rPr>
              <w:t>名称</w:t>
            </w:r>
          </w:p>
        </w:tc>
        <w:tc>
          <w:tcPr>
            <w:tcW w:w="1796" w:type="dxa"/>
            <w:noWrap w:val="0"/>
            <w:vAlign w:val="center"/>
          </w:tcPr>
          <w:p w14:paraId="3A50A18F">
            <w:pPr>
              <w:spacing w:after="0" w:line="560" w:lineRule="exact"/>
              <w:ind w:left="0" w:leftChars="0" w:firstLine="0" w:firstLineChars="0"/>
              <w:jc w:val="center"/>
              <w:rPr>
                <w:rFonts w:hint="eastAsia" w:ascii="仿宋_GB2312" w:hAnsi="仿宋_GB2312" w:eastAsia="仿宋_GB2312" w:cs="仿宋_GB2312"/>
                <w:b/>
                <w:bCs/>
                <w:kern w:val="0"/>
                <w:sz w:val="32"/>
                <w:szCs w:val="32"/>
              </w:rPr>
            </w:pPr>
            <w:r>
              <w:rPr>
                <w:rFonts w:hint="eastAsia" w:ascii="仿宋_GB2312" w:hAnsi="仿宋_GB2312" w:eastAsia="仿宋_GB2312" w:cs="仿宋_GB2312"/>
                <w:b/>
                <w:bCs/>
                <w:kern w:val="0"/>
                <w:sz w:val="32"/>
                <w:szCs w:val="32"/>
                <w:lang w:eastAsia="zh-CN"/>
              </w:rPr>
              <w:t>单位</w:t>
            </w:r>
            <w:r>
              <w:rPr>
                <w:rFonts w:hint="eastAsia" w:ascii="仿宋_GB2312" w:hAnsi="仿宋_GB2312" w:eastAsia="仿宋_GB2312" w:cs="仿宋_GB2312"/>
                <w:b/>
                <w:bCs/>
                <w:kern w:val="0"/>
                <w:sz w:val="32"/>
                <w:szCs w:val="32"/>
              </w:rPr>
              <w:t>基本性质</w:t>
            </w:r>
          </w:p>
        </w:tc>
        <w:tc>
          <w:tcPr>
            <w:tcW w:w="2389" w:type="dxa"/>
            <w:noWrap w:val="0"/>
            <w:vAlign w:val="center"/>
          </w:tcPr>
          <w:p w14:paraId="3045FB74">
            <w:pPr>
              <w:spacing w:after="0" w:line="560" w:lineRule="exact"/>
              <w:ind w:left="0" w:leftChars="0" w:firstLine="0" w:firstLineChars="0"/>
              <w:jc w:val="center"/>
              <w:rPr>
                <w:rFonts w:hint="eastAsia" w:ascii="仿宋_GB2312" w:hAnsi="仿宋_GB2312" w:eastAsia="仿宋_GB2312" w:cs="仿宋_GB2312"/>
                <w:b/>
                <w:bCs/>
                <w:kern w:val="0"/>
                <w:sz w:val="32"/>
                <w:szCs w:val="32"/>
              </w:rPr>
            </w:pPr>
            <w:r>
              <w:rPr>
                <w:rFonts w:hint="eastAsia" w:ascii="仿宋_GB2312" w:hAnsi="仿宋_GB2312" w:eastAsia="仿宋_GB2312" w:cs="仿宋_GB2312"/>
                <w:b/>
                <w:bCs/>
                <w:kern w:val="0"/>
                <w:sz w:val="32"/>
                <w:szCs w:val="32"/>
              </w:rPr>
              <w:t>经费形式</w:t>
            </w:r>
          </w:p>
        </w:tc>
      </w:tr>
      <w:tr w14:paraId="523168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691" w:type="dxa"/>
            <w:noWrap w:val="0"/>
            <w:vAlign w:val="center"/>
          </w:tcPr>
          <w:p w14:paraId="45C98D39">
            <w:pPr>
              <w:spacing w:after="0" w:line="560" w:lineRule="exact"/>
              <w:ind w:firstLine="640" w:firstLineChars="200"/>
              <w:jc w:val="center"/>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1</w:t>
            </w:r>
          </w:p>
        </w:tc>
        <w:tc>
          <w:tcPr>
            <w:tcW w:w="3821" w:type="dxa"/>
            <w:noWrap w:val="0"/>
            <w:vAlign w:val="center"/>
          </w:tcPr>
          <w:p w14:paraId="3FB9AB91">
            <w:pPr>
              <w:spacing w:after="0" w:line="560" w:lineRule="exact"/>
              <w:ind w:left="0" w:leftChars="0" w:firstLine="0" w:firstLineChars="0"/>
              <w:jc w:val="center"/>
              <w:rPr>
                <w:rFonts w:hint="eastAsia" w:ascii="仿宋_GB2312" w:hAnsi="仿宋_GB2312" w:eastAsia="仿宋_GB2312" w:cs="仿宋_GB2312"/>
                <w:kern w:val="0"/>
                <w:sz w:val="32"/>
                <w:szCs w:val="32"/>
                <w:lang w:eastAsia="zh-CN"/>
              </w:rPr>
            </w:pPr>
            <w:r>
              <w:rPr>
                <w:rFonts w:hint="eastAsia" w:ascii="仿宋_GB2312" w:hAnsi="仿宋_GB2312" w:eastAsia="仿宋_GB2312" w:cs="仿宋_GB2312"/>
                <w:kern w:val="0"/>
                <w:sz w:val="32"/>
                <w:szCs w:val="32"/>
                <w:lang w:eastAsia="zh-CN"/>
              </w:rPr>
              <w:t>石家庄市鹿泉区人民代表大会常务委员会</w:t>
            </w:r>
          </w:p>
        </w:tc>
        <w:tc>
          <w:tcPr>
            <w:tcW w:w="1796" w:type="dxa"/>
            <w:noWrap w:val="0"/>
            <w:vAlign w:val="center"/>
          </w:tcPr>
          <w:p w14:paraId="426F779C">
            <w:pPr>
              <w:spacing w:after="0" w:line="560" w:lineRule="exact"/>
              <w:ind w:left="0" w:leftChars="0" w:firstLine="0" w:firstLineChars="0"/>
              <w:jc w:val="center"/>
              <w:rPr>
                <w:rFonts w:hint="eastAsia" w:ascii="仿宋_GB2312" w:hAnsi="仿宋_GB2312" w:eastAsia="仿宋_GB2312" w:cs="仿宋_GB2312"/>
                <w:kern w:val="0"/>
                <w:sz w:val="32"/>
                <w:szCs w:val="32"/>
                <w:lang w:eastAsia="zh-CN"/>
              </w:rPr>
            </w:pPr>
            <w:r>
              <w:rPr>
                <w:rFonts w:hint="eastAsia" w:ascii="仿宋_GB2312" w:hAnsi="仿宋_GB2312" w:eastAsia="仿宋_GB2312" w:cs="仿宋_GB2312"/>
                <w:kern w:val="0"/>
                <w:sz w:val="32"/>
                <w:szCs w:val="32"/>
                <w:lang w:eastAsia="zh-CN"/>
              </w:rPr>
              <w:t>行政单位</w:t>
            </w:r>
          </w:p>
        </w:tc>
        <w:tc>
          <w:tcPr>
            <w:tcW w:w="2389" w:type="dxa"/>
            <w:noWrap w:val="0"/>
            <w:vAlign w:val="center"/>
          </w:tcPr>
          <w:p w14:paraId="452FF293">
            <w:pPr>
              <w:spacing w:after="0" w:line="560" w:lineRule="exact"/>
              <w:ind w:left="0" w:leftChars="0" w:firstLine="0" w:firstLineChars="0"/>
              <w:jc w:val="center"/>
              <w:rPr>
                <w:rFonts w:hint="eastAsia" w:ascii="仿宋_GB2312" w:hAnsi="仿宋_GB2312" w:eastAsia="仿宋_GB2312" w:cs="仿宋_GB2312"/>
                <w:kern w:val="0"/>
                <w:sz w:val="32"/>
                <w:szCs w:val="32"/>
                <w:lang w:eastAsia="zh-CN"/>
              </w:rPr>
            </w:pPr>
            <w:r>
              <w:rPr>
                <w:rFonts w:hint="eastAsia" w:ascii="仿宋_GB2312" w:hAnsi="仿宋_GB2312" w:eastAsia="仿宋_GB2312" w:cs="仿宋_GB2312"/>
                <w:kern w:val="0"/>
                <w:sz w:val="32"/>
                <w:szCs w:val="32"/>
                <w:lang w:eastAsia="zh-CN"/>
              </w:rPr>
              <w:t>财政拨款</w:t>
            </w:r>
          </w:p>
        </w:tc>
      </w:tr>
    </w:tbl>
    <w:p w14:paraId="258DA7B9">
      <w:pPr>
        <w:spacing w:line="64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区人大常委会机关设</w:t>
      </w:r>
      <w:r>
        <w:rPr>
          <w:rFonts w:hint="eastAsia" w:ascii="仿宋_GB2312" w:hAnsi="仿宋_GB2312" w:eastAsia="仿宋_GB2312" w:cs="仿宋_GB2312"/>
          <w:sz w:val="32"/>
          <w:szCs w:val="32"/>
          <w:lang w:eastAsia="zh-CN"/>
        </w:rPr>
        <w:t>工作</w:t>
      </w:r>
      <w:r>
        <w:rPr>
          <w:rFonts w:hint="eastAsia" w:ascii="仿宋_GB2312" w:hAnsi="仿宋_GB2312" w:eastAsia="仿宋_GB2312" w:cs="仿宋_GB2312"/>
          <w:sz w:val="32"/>
          <w:szCs w:val="32"/>
        </w:rPr>
        <w:t>机构</w:t>
      </w:r>
      <w:r>
        <w:rPr>
          <w:rFonts w:hint="eastAsia" w:ascii="仿宋_GB2312" w:hAnsi="仿宋_GB2312" w:eastAsia="仿宋_GB2312" w:cs="仿宋_GB2312"/>
          <w:sz w:val="32"/>
          <w:szCs w:val="32"/>
          <w:lang w:val="en-US" w:eastAsia="zh-CN"/>
        </w:rPr>
        <w:t>2个、</w:t>
      </w:r>
      <w:r>
        <w:rPr>
          <w:rFonts w:hint="eastAsia" w:ascii="仿宋_GB2312" w:hAnsi="仿宋_GB2312" w:eastAsia="仿宋_GB2312" w:cs="仿宋_GB2312"/>
          <w:sz w:val="32"/>
          <w:szCs w:val="32"/>
        </w:rPr>
        <w:t>工作委员会</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个</w:t>
      </w:r>
      <w:r>
        <w:rPr>
          <w:rFonts w:hint="eastAsia" w:ascii="仿宋_GB2312" w:hAnsi="仿宋_GB2312" w:eastAsia="仿宋_GB2312" w:cs="仿宋_GB2312"/>
          <w:sz w:val="32"/>
          <w:szCs w:val="32"/>
          <w:lang w:eastAsia="zh-CN"/>
        </w:rPr>
        <w:t>。两个机构</w:t>
      </w:r>
      <w:r>
        <w:rPr>
          <w:rFonts w:hint="eastAsia" w:ascii="仿宋_GB2312" w:hAnsi="仿宋_GB2312" w:eastAsia="仿宋_GB2312" w:cs="仿宋_GB2312"/>
          <w:sz w:val="32"/>
          <w:szCs w:val="32"/>
        </w:rPr>
        <w:t>即：办公室</w:t>
      </w:r>
      <w:r>
        <w:rPr>
          <w:rFonts w:hint="eastAsia" w:ascii="仿宋_GB2312" w:hAnsi="仿宋_GB2312" w:eastAsia="仿宋_GB2312" w:cs="仿宋_GB2312"/>
          <w:sz w:val="32"/>
          <w:szCs w:val="32"/>
          <w:lang w:val="en-US" w:eastAsia="zh-CN"/>
        </w:rPr>
        <w:t>(信访办公室)</w:t>
      </w:r>
      <w:r>
        <w:rPr>
          <w:rFonts w:hint="eastAsia" w:ascii="仿宋_GB2312" w:hAnsi="仿宋_GB2312" w:eastAsia="仿宋_GB2312" w:cs="仿宋_GB2312"/>
          <w:sz w:val="32"/>
          <w:szCs w:val="32"/>
        </w:rPr>
        <w:t>、代表工作委员会</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4个工作委员会即：</w:t>
      </w:r>
      <w:r>
        <w:rPr>
          <w:rFonts w:hint="eastAsia" w:ascii="仿宋_GB2312" w:hAnsi="仿宋_GB2312" w:eastAsia="仿宋_GB2312" w:cs="仿宋_GB2312"/>
          <w:sz w:val="32"/>
          <w:szCs w:val="32"/>
          <w:lang w:eastAsia="zh-CN"/>
        </w:rPr>
        <w:t>法制</w:t>
      </w:r>
      <w:r>
        <w:rPr>
          <w:rFonts w:hint="eastAsia" w:ascii="仿宋_GB2312" w:hAnsi="仿宋_GB2312" w:eastAsia="仿宋_GB2312" w:cs="仿宋_GB2312"/>
          <w:sz w:val="32"/>
          <w:szCs w:val="32"/>
        </w:rPr>
        <w:t>工作委员会、</w:t>
      </w:r>
      <w:r>
        <w:rPr>
          <w:rFonts w:hint="eastAsia" w:ascii="仿宋_GB2312" w:hAnsi="仿宋_GB2312" w:eastAsia="仿宋_GB2312" w:cs="仿宋_GB2312"/>
          <w:sz w:val="32"/>
          <w:szCs w:val="32"/>
          <w:lang w:eastAsia="zh-CN"/>
        </w:rPr>
        <w:t>预算</w:t>
      </w:r>
      <w:r>
        <w:rPr>
          <w:rFonts w:hint="eastAsia" w:ascii="仿宋_GB2312" w:hAnsi="仿宋_GB2312" w:eastAsia="仿宋_GB2312" w:cs="仿宋_GB2312"/>
          <w:sz w:val="32"/>
          <w:szCs w:val="32"/>
        </w:rPr>
        <w:t>工作委员会、教育科学文化卫生工作委员会</w:t>
      </w:r>
      <w:r>
        <w:rPr>
          <w:rFonts w:hint="eastAsia" w:ascii="仿宋_GB2312" w:hAnsi="仿宋_GB2312" w:eastAsia="仿宋_GB2312" w:cs="仿宋_GB2312"/>
          <w:sz w:val="32"/>
          <w:szCs w:val="32"/>
          <w:lang w:eastAsia="zh-CN"/>
        </w:rPr>
        <w:t>、城乡建设和环境资源委员会</w:t>
      </w:r>
      <w:r>
        <w:rPr>
          <w:rFonts w:hint="eastAsia" w:ascii="仿宋_GB2312" w:hAnsi="仿宋_GB2312" w:eastAsia="仿宋_GB2312" w:cs="仿宋_GB2312"/>
          <w:sz w:val="32"/>
          <w:szCs w:val="32"/>
        </w:rPr>
        <w:t>。</w:t>
      </w:r>
    </w:p>
    <w:p w14:paraId="22D81308">
      <w:pPr>
        <w:pStyle w:val="13"/>
        <w:ind w:left="0" w:leftChars="0" w:firstLine="640" w:firstLineChars="200"/>
        <w:rPr>
          <w:rFonts w:hint="default" w:eastAsia="仿宋_GB2312"/>
          <w:lang w:val="en-US" w:eastAsia="zh-CN"/>
        </w:rPr>
      </w:pPr>
      <w:r>
        <w:rPr>
          <w:rFonts w:hint="eastAsia" w:ascii="仿宋_GB2312" w:hAnsi="仿宋_GB2312" w:eastAsia="仿宋_GB2312" w:cs="仿宋_GB2312"/>
          <w:sz w:val="32"/>
          <w:szCs w:val="32"/>
          <w:lang w:val="en-US" w:eastAsia="zh-CN"/>
        </w:rPr>
        <w:t>1、2个</w:t>
      </w:r>
      <w:r>
        <w:rPr>
          <w:rFonts w:hint="eastAsia" w:ascii="仿宋_GB2312" w:hAnsi="仿宋_GB2312" w:eastAsia="仿宋_GB2312" w:cs="仿宋_GB2312"/>
          <w:sz w:val="32"/>
          <w:szCs w:val="32"/>
          <w:lang w:eastAsia="zh-CN"/>
        </w:rPr>
        <w:t>工作机构</w:t>
      </w:r>
    </w:p>
    <w:p w14:paraId="7198100E">
      <w:pPr>
        <w:spacing w:line="64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lang w:val="en-US" w:eastAsia="zh-CN"/>
        </w:rPr>
        <w:t>1</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办公室(信访办公室)</w:t>
      </w:r>
    </w:p>
    <w:p w14:paraId="375C6178">
      <w:pPr>
        <w:spacing w:line="64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负责机关日常工作的综合协调和督查督办，负责机关政务值班，文电，会务，机要，保密，档案，宣传，政务公开，安全生产等工作，负责人大系统的联系交流和公务接待工作；负责区人大常委会各类会议，考察，视察，检查，调查，访问，慰问等活动的组织协调工作；负责人大有关重大决策部署的督查落实，负责对区人大常委会年度工作计划，重要意见和建议落实情况进行督促检查；负责协调区人大常委会各工作委员会对一府一委两院工作进行监督；负责综合协调上级人大和本级人大开展的联动监督工作；负责人大理论研究，为常委会领导提供参考意见；负责区人大及其常委会改革任务的协调推进落实；负责起草机关重要文件，综合文稿，承担主要领导同志调研，考察的文字服务等相关工作；负责区人大及其常委会宣传报道工作，负责机关信息化建设等工作，负责常委会公报编发工作；负责机关和所属单位财务，国有资产管理工作；负责机关和所属单位机构编制，人事管理，教育培训，人才队伍建设和老干部服务等工作；负责机关党建，思想政治，精神文明建设及群团等工作；负责机关和所属单位党风廉政建设具体工作及内部审计工作。</w:t>
      </w:r>
    </w:p>
    <w:p w14:paraId="478161F7">
      <w:pPr>
        <w:spacing w:line="64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负责区人大信访形势分析，提出加强和改进信访工作意见建议，拟订区人大常委会信访工作制度；负责群众来信，来访，来电的受理，登记，接待，督办工作；负责上级人大及区级领导批转的信访事项办理及重点信访案件调度工作；负责区人大常委会领导公开接访和包联案件的组织协调工作。</w:t>
      </w:r>
    </w:p>
    <w:p w14:paraId="329CF3CC">
      <w:pPr>
        <w:spacing w:line="640" w:lineRule="exact"/>
        <w:ind w:firstLine="64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lang w:val="en-US" w:eastAsia="zh-CN"/>
        </w:rPr>
        <w:t>2</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代表工作委员会</w:t>
      </w:r>
    </w:p>
    <w:p w14:paraId="5E672733">
      <w:pPr>
        <w:spacing w:line="64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负责地方组织法</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选举法</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代表法等法律法规贯彻实施中的检查</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咨询</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解释工作；配合完成市人大代表选举，指导乡镇人大换届选举工作；参与区人民代表大会选举，承办区一府一委两院提请的人事任免事项；组织开展民生实事人大代表票决工作；负责制定</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完善区人大代表管理制度，规范代表履职工作；承办区人大常委会组成人员对区政府工作部门主要负责人履职评议相关工作；负责驻鹿全国</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省</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市</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区人大代表联络，协调参加省</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市</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区人大和区一府一委两院活动；负责区人大代表议案建议，批评和意见相关工作；负责区人大常委会代表资格审查委员会具体工作；指导乡镇人大做好代表家(站)工作，开展"双联双评"活动。</w:t>
      </w:r>
    </w:p>
    <w:p w14:paraId="0237A797">
      <w:pPr>
        <w:spacing w:line="64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4个工作委员会</w:t>
      </w:r>
    </w:p>
    <w:p w14:paraId="640DBC50">
      <w:pPr>
        <w:spacing w:line="640" w:lineRule="exact"/>
        <w:ind w:firstLine="64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lang w:val="en-US" w:eastAsia="zh-CN"/>
        </w:rPr>
        <w:t>1）</w:t>
      </w:r>
      <w:r>
        <w:rPr>
          <w:rFonts w:hint="eastAsia" w:ascii="仿宋_GB2312" w:hAnsi="仿宋_GB2312" w:eastAsia="仿宋_GB2312" w:cs="仿宋_GB2312"/>
          <w:b/>
          <w:bCs/>
          <w:sz w:val="32"/>
          <w:szCs w:val="32"/>
        </w:rPr>
        <w:t>区人大常委会法制工作委员会</w:t>
      </w:r>
    </w:p>
    <w:p w14:paraId="6E9DAD4F">
      <w:pPr>
        <w:spacing w:line="64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负责区一府一委两院规范性文件和乡镇人民代表大会决议</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决定的备案和审查工作；负责对区一府一委两院依法行政</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公正司法进行监督；负责对涉及监察和司法方面的法律</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法规执行情况及有关决议</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决定执行情况进行检查，依法进行监督；负责区人大常委会任命的区人民法院法官</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区人民检察院检察官的履职评议相关工作；负责审议关于监察和司法方面的专项工作报告，并组织开展视察或专题调研；负责督促办理监察和司法方面的代表议案</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建议等相关工作；负责牵头做好上级人大有关法律法规及草案的征求意见工作。</w:t>
      </w:r>
    </w:p>
    <w:p w14:paraId="2153FAC5">
      <w:pPr>
        <w:spacing w:line="64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lang w:val="en-US" w:eastAsia="zh-CN"/>
        </w:rPr>
        <w:t>2）</w:t>
      </w:r>
      <w:r>
        <w:rPr>
          <w:rFonts w:hint="eastAsia" w:ascii="仿宋_GB2312" w:hAnsi="仿宋_GB2312" w:eastAsia="仿宋_GB2312" w:cs="仿宋_GB2312"/>
          <w:b/>
          <w:bCs/>
          <w:sz w:val="32"/>
          <w:szCs w:val="32"/>
        </w:rPr>
        <w:t>区人大常委会预算工作委员会</w:t>
      </w:r>
    </w:p>
    <w:p w14:paraId="73FFC706">
      <w:pPr>
        <w:spacing w:line="64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负责为人大预算决算审查监督</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国有资产监督做好服务工作；负责对涉及财政经济方面的法律</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法规执行情况及有关决议</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决定执行情况进行检查，依法进行监督；负责审议区政府关于财政经济方面的专项工作报告，并组织开展视察或专题调研；负责起草财政经济方面决议</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决定草案；负责督促办理财政经济方面的代表议案</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建议等相关工作；负责做好有关法律法规及草案的征求意见工作。</w:t>
      </w:r>
    </w:p>
    <w:p w14:paraId="5552FC39">
      <w:pPr>
        <w:spacing w:line="640" w:lineRule="exact"/>
        <w:ind w:firstLine="64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lang w:val="en-US" w:eastAsia="zh-CN"/>
        </w:rPr>
        <w:t>3）</w:t>
      </w:r>
      <w:r>
        <w:rPr>
          <w:rFonts w:hint="eastAsia" w:ascii="仿宋_GB2312" w:hAnsi="仿宋_GB2312" w:eastAsia="仿宋_GB2312" w:cs="仿宋_GB2312"/>
          <w:b/>
          <w:bCs/>
          <w:sz w:val="32"/>
          <w:szCs w:val="32"/>
        </w:rPr>
        <w:t xml:space="preserve">区人大常委会教育科学文化卫生工作委员会 </w:t>
      </w:r>
    </w:p>
    <w:p w14:paraId="167DD8DC">
      <w:pPr>
        <w:spacing w:line="64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负责对涉及教育科学文化卫生方面的法律</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法规执行情况及有关决议</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决定执行情况进行检查，依法进行监督；负责审议区政府关于教育科学文化卫生方面的专项工作报告，并组织开展视察或专题调研；负责起草教育科学文化卫生方面决议</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决定草案；负责督促办理教育科学文化卫生方面的代表议案</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建议等相关工作；负责做好有关法律法规及草案的征求意见工作。</w:t>
      </w:r>
    </w:p>
    <w:p w14:paraId="751E505F">
      <w:pPr>
        <w:spacing w:line="64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负责对涉及民族侨务外事方面的法律</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法规执行情况及有关决议</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决定执行情况进行检查，依法进行监督；负责审议区政府关于民族侨务外事方面的专项工作报告，并组织开展视察或专题调研；负责起草民族侨务外事方面决议</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决定草案；负责督促办理民族侨务外事方面的代表议案</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建议等相关工作；负责做好有关法律法规及草案的征求意见工作。</w:t>
      </w:r>
    </w:p>
    <w:p w14:paraId="264CF297">
      <w:pPr>
        <w:spacing w:line="64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lang w:val="en-US" w:eastAsia="zh-CN"/>
        </w:rPr>
        <w:t>4</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区人大常委会城乡建设和环境资源工作委员会</w:t>
      </w:r>
    </w:p>
    <w:p w14:paraId="61935A0D">
      <w:pPr>
        <w:spacing w:line="64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负责对涉及城乡建设和环境资源方面的法律</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法规执行情况及有关决议</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决定执行情况进行检查，依法进行监督；负责审议区政府关于城乡建设和环境资源方面的专项工作报告，并组织开展视察或专题调研；负责起草城乡建设和环境资源方面决议</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决定草案；负责督促办理城乡建设和环境资源方面的代表议案</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建议等相关工作；负责做好有关法律法规及草案的征求意见工作。</w:t>
      </w:r>
    </w:p>
    <w:p w14:paraId="2710F482">
      <w:pPr>
        <w:spacing w:line="64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负责对涉及农业农村方面的法律</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法规执行情况及有关决议</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决定执行情况进行检查，依法进行监督；负责审议区政府关于农业农村方面的专项工作报告，并组织开展视察或专题调研；</w:t>
      </w:r>
    </w:p>
    <w:p w14:paraId="271E83F8">
      <w:pPr>
        <w:spacing w:line="64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负责起草农业农村方面决议</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决定草案；负责督促办理农业农村方面的代表议案</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建议等相关工作；负责做好有关法律法规及草案的征求意见工作。</w:t>
      </w:r>
    </w:p>
    <w:p w14:paraId="715E3DAD">
      <w:pPr>
        <w:keepNext/>
        <w:keepLines/>
        <w:spacing w:line="580" w:lineRule="exact"/>
        <w:ind w:firstLine="640" w:firstLineChars="200"/>
        <w:jc w:val="left"/>
        <w:outlineLvl w:val="0"/>
        <w:rPr>
          <w:rFonts w:hint="eastAsia" w:ascii="黑体" w:eastAsia="黑体" w:cs="黑体"/>
          <w:kern w:val="0"/>
          <w:sz w:val="32"/>
          <w:szCs w:val="32"/>
          <w:lang w:eastAsia="zh-CN"/>
        </w:rPr>
      </w:pPr>
      <w:r>
        <w:rPr>
          <w:rFonts w:hint="eastAsia" w:ascii="黑体" w:eastAsia="黑体" w:cs="黑体"/>
          <w:kern w:val="0"/>
          <w:sz w:val="32"/>
          <w:szCs w:val="32"/>
          <w:lang w:eastAsia="zh-CN"/>
        </w:rPr>
        <w:t>人员情况</w:t>
      </w:r>
    </w:p>
    <w:p w14:paraId="513C6923">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eastAsia="zh-CN"/>
        </w:rPr>
        <w:t>石家庄市鹿泉区人民代表大会常务委员会行政编制</w:t>
      </w:r>
      <w:r>
        <w:rPr>
          <w:rFonts w:hint="eastAsia" w:ascii="仿宋" w:hAnsi="仿宋" w:eastAsia="仿宋"/>
          <w:sz w:val="32"/>
          <w:szCs w:val="32"/>
          <w:lang w:val="en-US" w:eastAsia="zh-CN"/>
        </w:rPr>
        <w:t>20人，在职人员20人，事业编制10人，在岗10人。</w:t>
      </w:r>
    </w:p>
    <w:p w14:paraId="26A3A095">
      <w:pPr>
        <w:widowControl w:val="0"/>
        <w:wordWrap/>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val="en-US" w:eastAsia="zh-CN"/>
        </w:rPr>
        <w:t>（二）</w:t>
      </w:r>
      <w:r>
        <w:rPr>
          <w:rFonts w:hint="eastAsia" w:ascii="仿宋" w:hAnsi="仿宋" w:eastAsia="仿宋" w:cs="楷体_GB2312"/>
          <w:b/>
          <w:bCs/>
          <w:sz w:val="32"/>
          <w:szCs w:val="32"/>
          <w:lang w:eastAsia="zh-CN"/>
        </w:rPr>
        <w:t>部门收支预决算情况</w:t>
      </w:r>
    </w:p>
    <w:p w14:paraId="4C6BE837">
      <w:pPr>
        <w:pStyle w:val="14"/>
        <w:keepNext w:val="0"/>
        <w:keepLines w:val="0"/>
        <w:pageBreakBefore w:val="0"/>
        <w:widowControl w:val="0"/>
        <w:kinsoku/>
        <w:wordWrap/>
        <w:overflowPunct/>
        <w:topLinePunct w:val="0"/>
        <w:autoSpaceDE/>
        <w:autoSpaceDN/>
        <w:bidi w:val="0"/>
        <w:spacing w:line="580" w:lineRule="exact"/>
        <w:ind w:left="0" w:leftChars="0" w:firstLine="640" w:firstLineChars="200"/>
        <w:textAlignment w:val="auto"/>
        <w:rPr>
          <w:rFonts w:hint="eastAsia" w:ascii="仿宋_GB2312" w:eastAsia="仿宋_GB2312" w:cs="仿宋_GB2312" w:hAnsiTheme="minorHAnsi"/>
          <w:kern w:val="0"/>
          <w:sz w:val="32"/>
          <w:szCs w:val="32"/>
          <w:lang w:val="en-US" w:eastAsia="zh-CN" w:bidi="ar-SA"/>
        </w:rPr>
      </w:pPr>
      <w:r>
        <w:rPr>
          <w:rFonts w:hint="eastAsia" w:ascii="仿宋_GB2312" w:eastAsia="仿宋_GB2312" w:cs="仿宋_GB2312" w:hAnsiTheme="minorHAnsi"/>
          <w:kern w:val="0"/>
          <w:sz w:val="32"/>
          <w:szCs w:val="32"/>
          <w:lang w:val="en-US" w:eastAsia="zh-CN" w:bidi="ar-SA"/>
        </w:rPr>
        <w:t>2025年预算收入</w:t>
      </w:r>
      <w:r>
        <w:rPr>
          <w:rFonts w:hint="eastAsia" w:ascii="仿宋_GB2312" w:hAnsi="仿宋_GB2312" w:eastAsia="仿宋_GB2312" w:cs="仿宋_GB2312"/>
          <w:kern w:val="2"/>
          <w:sz w:val="32"/>
          <w:szCs w:val="32"/>
          <w:lang w:val="en-US" w:eastAsia="zh-CN" w:bidi="ar-SA"/>
        </w:rPr>
        <w:t>919.60</w:t>
      </w:r>
      <w:r>
        <w:rPr>
          <w:rFonts w:hint="eastAsia" w:ascii="仿宋_GB2312" w:eastAsia="仿宋_GB2312" w:cs="仿宋_GB2312" w:hAnsiTheme="minorHAnsi"/>
          <w:kern w:val="0"/>
          <w:sz w:val="32"/>
          <w:szCs w:val="32"/>
          <w:lang w:val="en-US" w:eastAsia="zh-CN" w:bidi="ar-SA"/>
        </w:rPr>
        <w:t>万元，均为一般公共预算收入。</w:t>
      </w:r>
    </w:p>
    <w:p w14:paraId="6C9478F5">
      <w:pPr>
        <w:pStyle w:val="14"/>
        <w:keepNext w:val="0"/>
        <w:keepLines w:val="0"/>
        <w:pageBreakBefore w:val="0"/>
        <w:widowControl w:val="0"/>
        <w:kinsoku/>
        <w:wordWrap/>
        <w:overflowPunct/>
        <w:topLinePunct w:val="0"/>
        <w:autoSpaceDE/>
        <w:autoSpaceDN/>
        <w:bidi w:val="0"/>
        <w:spacing w:line="580" w:lineRule="exact"/>
        <w:ind w:left="0" w:leftChars="0" w:firstLine="640" w:firstLineChars="200"/>
        <w:textAlignment w:val="auto"/>
        <w:rPr>
          <w:rFonts w:hint="eastAsia" w:ascii="仿宋_GB2312" w:eastAsia="仿宋_GB2312" w:cs="仿宋_GB2312" w:hAnsiTheme="minorHAnsi"/>
          <w:kern w:val="0"/>
          <w:sz w:val="32"/>
          <w:szCs w:val="32"/>
          <w:lang w:val="en-US" w:eastAsia="zh-CN" w:bidi="ar-SA"/>
        </w:rPr>
      </w:pPr>
      <w:r>
        <w:rPr>
          <w:rFonts w:hint="eastAsia" w:ascii="仿宋_GB2312" w:eastAsia="仿宋_GB2312" w:cs="仿宋_GB2312" w:hAnsiTheme="minorHAnsi"/>
          <w:kern w:val="0"/>
          <w:sz w:val="32"/>
          <w:szCs w:val="32"/>
          <w:lang w:val="en-US" w:eastAsia="zh-CN" w:bidi="ar-SA"/>
        </w:rPr>
        <w:t>2025年单位支出预算为</w:t>
      </w:r>
      <w:r>
        <w:rPr>
          <w:rFonts w:hint="eastAsia" w:ascii="仿宋_GB2312" w:hAnsi="仿宋_GB2312" w:eastAsia="仿宋_GB2312" w:cs="仿宋_GB2312"/>
          <w:kern w:val="2"/>
          <w:sz w:val="32"/>
          <w:szCs w:val="32"/>
          <w:lang w:val="en-US" w:eastAsia="zh-CN" w:bidi="ar-SA"/>
        </w:rPr>
        <w:t>919.60</w:t>
      </w:r>
      <w:r>
        <w:rPr>
          <w:rFonts w:hint="eastAsia" w:ascii="仿宋_GB2312" w:eastAsia="仿宋_GB2312" w:cs="仿宋_GB2312" w:hAnsiTheme="minorHAnsi"/>
          <w:kern w:val="0"/>
          <w:sz w:val="32"/>
          <w:szCs w:val="32"/>
          <w:lang w:val="en-US" w:eastAsia="zh-CN" w:bidi="ar-SA"/>
        </w:rPr>
        <w:t>万元，其中基本支出</w:t>
      </w:r>
      <w:r>
        <w:rPr>
          <w:rFonts w:hint="eastAsia" w:ascii="仿宋_GB2312" w:hAnsi="仿宋_GB2312" w:eastAsia="仿宋_GB2312" w:cs="仿宋_GB2312"/>
          <w:kern w:val="2"/>
          <w:sz w:val="32"/>
          <w:szCs w:val="32"/>
          <w:lang w:val="en-US" w:eastAsia="zh-CN" w:bidi="ar-SA"/>
        </w:rPr>
        <w:t>822.21</w:t>
      </w:r>
      <w:r>
        <w:rPr>
          <w:rFonts w:hint="eastAsia" w:ascii="仿宋_GB2312" w:eastAsia="仿宋_GB2312" w:cs="仿宋_GB2312" w:hAnsiTheme="minorHAnsi"/>
          <w:kern w:val="0"/>
          <w:sz w:val="32"/>
          <w:szCs w:val="32"/>
          <w:lang w:val="en-US" w:eastAsia="zh-CN" w:bidi="ar-SA"/>
        </w:rPr>
        <w:t>万元，包括人员经费</w:t>
      </w:r>
      <w:r>
        <w:rPr>
          <w:rFonts w:hint="eastAsia" w:ascii="仿宋_GB2312" w:hAnsi="仿宋_GB2312" w:eastAsia="仿宋_GB2312" w:cs="仿宋_GB2312"/>
          <w:kern w:val="2"/>
          <w:sz w:val="32"/>
          <w:szCs w:val="32"/>
          <w:lang w:val="en-US" w:eastAsia="zh-CN" w:bidi="ar-SA"/>
        </w:rPr>
        <w:t>731.94</w:t>
      </w:r>
      <w:r>
        <w:rPr>
          <w:rFonts w:hint="eastAsia" w:ascii="仿宋_GB2312" w:eastAsia="仿宋_GB2312" w:cs="仿宋_GB2312" w:hAnsiTheme="minorHAnsi"/>
          <w:kern w:val="0"/>
          <w:sz w:val="32"/>
          <w:szCs w:val="32"/>
          <w:lang w:val="en-US" w:eastAsia="zh-CN" w:bidi="ar-SA"/>
        </w:rPr>
        <w:t>万元和日常公用经费</w:t>
      </w:r>
      <w:r>
        <w:rPr>
          <w:rFonts w:hint="eastAsia" w:ascii="仿宋_GB2312" w:hAnsi="仿宋_GB2312" w:eastAsia="仿宋_GB2312" w:cs="仿宋_GB2312"/>
          <w:kern w:val="2"/>
          <w:sz w:val="32"/>
          <w:szCs w:val="32"/>
          <w:lang w:val="en-US" w:eastAsia="zh-CN" w:bidi="ar-SA"/>
        </w:rPr>
        <w:t>90.27</w:t>
      </w:r>
      <w:r>
        <w:rPr>
          <w:rFonts w:hint="eastAsia" w:ascii="仿宋_GB2312" w:eastAsia="仿宋_GB2312" w:cs="仿宋_GB2312" w:hAnsiTheme="minorHAnsi"/>
          <w:kern w:val="0"/>
          <w:sz w:val="32"/>
          <w:szCs w:val="32"/>
          <w:lang w:val="en-US" w:eastAsia="zh-CN" w:bidi="ar-SA"/>
        </w:rPr>
        <w:t>万元；项目支出</w:t>
      </w:r>
      <w:r>
        <w:rPr>
          <w:rFonts w:hint="eastAsia" w:ascii="仿宋_GB2312" w:hAnsi="仿宋_GB2312" w:eastAsia="仿宋_GB2312" w:cs="仿宋_GB2312"/>
          <w:kern w:val="2"/>
          <w:sz w:val="32"/>
          <w:szCs w:val="32"/>
          <w:lang w:val="en-US" w:eastAsia="zh-CN" w:bidi="ar-SA"/>
        </w:rPr>
        <w:t>97.39</w:t>
      </w:r>
      <w:r>
        <w:rPr>
          <w:rFonts w:hint="eastAsia" w:ascii="仿宋_GB2312" w:eastAsia="仿宋_GB2312" w:cs="仿宋_GB2312" w:hAnsiTheme="minorHAnsi"/>
          <w:kern w:val="0"/>
          <w:sz w:val="32"/>
          <w:szCs w:val="32"/>
          <w:lang w:val="en-US" w:eastAsia="zh-CN" w:bidi="ar-SA"/>
        </w:rPr>
        <w:t>万元，主要为人大会议支出35万元，人大代表工作支出0.84万元，代表履职能力提升支出18.51万元，一般行政事务管理5.15万元，人大监督26.38万元，退役安置支出11.51万元，其他支出0万元。</w:t>
      </w:r>
    </w:p>
    <w:p w14:paraId="54DFF7DA">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eastAsia="仿宋_GB2312" w:cs="仿宋_GB2312" w:hAnsiTheme="minorHAnsi"/>
          <w:kern w:val="0"/>
          <w:sz w:val="32"/>
          <w:szCs w:val="32"/>
          <w:lang w:val="en-US" w:eastAsia="zh-CN" w:bidi="ar-SA"/>
        </w:rPr>
      </w:pPr>
      <w:r>
        <w:rPr>
          <w:rFonts w:hint="eastAsia" w:ascii="仿宋_GB2312" w:eastAsia="仿宋_GB2312" w:cs="仿宋_GB2312" w:hAnsiTheme="minorHAnsi"/>
          <w:kern w:val="0"/>
          <w:sz w:val="32"/>
          <w:szCs w:val="32"/>
          <w:lang w:val="en-US" w:eastAsia="zh-CN" w:bidi="ar-SA"/>
        </w:rPr>
        <w:t>202</w:t>
      </w:r>
      <w:r>
        <w:rPr>
          <w:rFonts w:hint="eastAsia" w:ascii="仿宋_GB2312" w:eastAsia="仿宋_GB2312" w:cs="仿宋_GB2312"/>
          <w:kern w:val="0"/>
          <w:sz w:val="32"/>
          <w:szCs w:val="32"/>
          <w:lang w:val="en-US" w:eastAsia="zh-CN" w:bidi="ar-SA"/>
        </w:rPr>
        <w:t>5</w:t>
      </w:r>
      <w:r>
        <w:rPr>
          <w:rFonts w:hint="eastAsia" w:ascii="仿宋_GB2312" w:eastAsia="仿宋_GB2312" w:cs="仿宋_GB2312" w:hAnsiTheme="minorHAnsi"/>
          <w:kern w:val="0"/>
          <w:sz w:val="32"/>
          <w:szCs w:val="32"/>
          <w:lang w:val="en-US" w:eastAsia="zh-CN" w:bidi="ar-SA"/>
        </w:rPr>
        <w:t>年度决算财政拨款本年支出</w:t>
      </w:r>
      <w:r>
        <w:rPr>
          <w:rFonts w:hint="eastAsia" w:ascii="仿宋_GB2312" w:hAnsi="仿宋_GB2312" w:eastAsia="仿宋_GB2312" w:cs="仿宋_GB2312"/>
          <w:kern w:val="2"/>
          <w:sz w:val="32"/>
          <w:szCs w:val="32"/>
          <w:lang w:val="en-US" w:eastAsia="zh-CN" w:bidi="ar-SA"/>
        </w:rPr>
        <w:t>919.60</w:t>
      </w:r>
      <w:r>
        <w:rPr>
          <w:rFonts w:hint="eastAsia" w:ascii="仿宋_GB2312" w:eastAsia="仿宋_GB2312" w:cs="仿宋_GB2312" w:hAnsiTheme="minorHAnsi"/>
          <w:kern w:val="0"/>
          <w:sz w:val="32"/>
          <w:szCs w:val="32"/>
          <w:lang w:val="en-US" w:eastAsia="zh-CN" w:bidi="ar-SA"/>
        </w:rPr>
        <w:t>万元，均为一般公共预算财政拨款本年支出，其中：基本支出</w:t>
      </w:r>
      <w:r>
        <w:rPr>
          <w:rFonts w:hint="eastAsia" w:ascii="仿宋_GB2312" w:hAnsi="仿宋_GB2312" w:eastAsia="仿宋_GB2312" w:cs="仿宋_GB2312"/>
          <w:kern w:val="2"/>
          <w:sz w:val="32"/>
          <w:szCs w:val="32"/>
          <w:lang w:val="en-US" w:eastAsia="zh-CN" w:bidi="ar-SA"/>
        </w:rPr>
        <w:t>822.21</w:t>
      </w:r>
      <w:r>
        <w:rPr>
          <w:rFonts w:hint="eastAsia" w:ascii="仿宋_GB2312" w:eastAsia="仿宋_GB2312" w:cs="仿宋_GB2312" w:hAnsiTheme="minorHAnsi"/>
          <w:kern w:val="0"/>
          <w:sz w:val="32"/>
          <w:szCs w:val="32"/>
          <w:lang w:val="en-US" w:eastAsia="zh-CN" w:bidi="ar-SA"/>
        </w:rPr>
        <w:t>万元，项目支出</w:t>
      </w:r>
      <w:r>
        <w:rPr>
          <w:rFonts w:hint="eastAsia" w:ascii="仿宋_GB2312" w:hAnsi="仿宋_GB2312" w:eastAsia="仿宋_GB2312" w:cs="仿宋_GB2312"/>
          <w:kern w:val="2"/>
          <w:sz w:val="32"/>
          <w:szCs w:val="32"/>
          <w:lang w:val="en-US" w:eastAsia="zh-CN" w:bidi="ar-SA"/>
        </w:rPr>
        <w:t>97.39</w:t>
      </w:r>
      <w:r>
        <w:rPr>
          <w:rFonts w:hint="eastAsia" w:ascii="仿宋_GB2312" w:eastAsia="仿宋_GB2312" w:cs="仿宋_GB2312" w:hAnsiTheme="minorHAnsi"/>
          <w:kern w:val="0"/>
          <w:sz w:val="32"/>
          <w:szCs w:val="32"/>
          <w:lang w:val="en-US" w:eastAsia="zh-CN" w:bidi="ar-SA"/>
        </w:rPr>
        <w:t>万元，基本建设类项目0万元。</w:t>
      </w:r>
    </w:p>
    <w:p w14:paraId="043B74AB">
      <w:pPr>
        <w:widowControl w:val="0"/>
        <w:wordWrap/>
        <w:adjustRightInd w:val="0"/>
        <w:snapToGrid w:val="0"/>
        <w:spacing w:line="560" w:lineRule="exact"/>
        <w:ind w:right="0" w:firstLine="321" w:firstLineChars="1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（三）部门整体支出绩效目标、指标</w:t>
      </w:r>
    </w:p>
    <w:p w14:paraId="201817F6">
      <w:pPr>
        <w:numPr>
          <w:ilvl w:val="0"/>
          <w:numId w:val="0"/>
        </w:numPr>
        <w:tabs>
          <w:tab w:val="left" w:pos="640"/>
        </w:tabs>
        <w:spacing w:line="64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在区人民代表大会闭会期间，根据我区的具体情况和实际需要，审议决定我区政治、经济、科学、教育、文化、卫生、环境与资源保护、民政、民族等工作的重大事项以及人民群众普遍关注和迫切要求解决的重大问题；审查和批准国民经济和社会发展计划、预算在执行过程中所必须作的部分调整方案。监督区人民政府、区监察委员会、区人民法院和区检察院的工作。在区委的坚强领导下，坚持以习近平新时代中国特色社会主义思想为指导，深入学习贯彻党的二十大和二十届历次全会精神，坚持党的领导、人民当家作主和依法治国有机统一，矢志不渝坚持好、完善好、运行好人民代表大会制度，认真履行宪法法律赋予的职责，倾力书写主动作为、感恩奋进的人大答卷。</w:t>
      </w:r>
    </w:p>
    <w:p w14:paraId="72B618E9">
      <w:pPr>
        <w:pStyle w:val="8"/>
        <w:pageBreakBefore w:val="0"/>
        <w:widowControl w:val="0"/>
        <w:kinsoku/>
        <w:wordWrap/>
        <w:overflowPunct/>
        <w:topLinePunct w:val="0"/>
        <w:autoSpaceDE/>
        <w:autoSpaceDN/>
        <w:bidi w:val="0"/>
        <w:spacing w:line="540" w:lineRule="exact"/>
        <w:ind w:right="0" w:rightChars="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项目绩效总目标完成情况：2025年我部门完成各项工作任务。</w:t>
      </w:r>
    </w:p>
    <w:p w14:paraId="4E0E839E">
      <w:pPr>
        <w:pStyle w:val="8"/>
        <w:pageBreakBefore w:val="0"/>
        <w:widowControl w:val="0"/>
        <w:kinsoku/>
        <w:wordWrap/>
        <w:overflowPunct/>
        <w:topLinePunct w:val="0"/>
        <w:autoSpaceDE/>
        <w:autoSpaceDN/>
        <w:bidi w:val="0"/>
        <w:spacing w:line="540" w:lineRule="exact"/>
        <w:ind w:right="0" w:rightChars="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从整体情况来看，严格按照年初预算进行部门整体支出。在支出过程中，能严格遵守各项规章制度。</w:t>
      </w:r>
    </w:p>
    <w:p w14:paraId="616D3B6B">
      <w:pPr>
        <w:pageBreakBefore w:val="0"/>
        <w:widowControl w:val="0"/>
        <w:kinsoku/>
        <w:wordWrap/>
        <w:overflowPunct/>
        <w:topLinePunct w:val="0"/>
        <w:autoSpaceDE/>
        <w:autoSpaceDN/>
        <w:bidi w:val="0"/>
        <w:adjustRightInd w:val="0"/>
        <w:snapToGrid w:val="0"/>
        <w:spacing w:line="540" w:lineRule="exact"/>
        <w:ind w:left="0" w:leftChars="0" w:right="0" w:rightChars="0" w:firstLine="640" w:firstLineChars="200"/>
        <w:textAlignment w:val="auto"/>
        <w:outlineLvl w:val="9"/>
        <w:rPr>
          <w:rFonts w:ascii="黑体" w:hAnsi="黑体" w:eastAsia="黑体"/>
          <w:sz w:val="32"/>
          <w:szCs w:val="32"/>
        </w:rPr>
      </w:pPr>
      <w:r>
        <w:rPr>
          <w:rFonts w:hint="eastAsia" w:ascii="黑体" w:hAnsi="黑体" w:eastAsia="黑体"/>
          <w:sz w:val="32"/>
          <w:szCs w:val="32"/>
        </w:rPr>
        <w:t>二、自评工作</w:t>
      </w:r>
      <w:r>
        <w:rPr>
          <w:rFonts w:hint="eastAsia" w:ascii="黑体" w:hAnsi="黑体" w:eastAsia="黑体"/>
          <w:sz w:val="32"/>
          <w:szCs w:val="32"/>
          <w:lang w:eastAsia="zh-CN"/>
        </w:rPr>
        <w:t>开展</w:t>
      </w:r>
      <w:r>
        <w:rPr>
          <w:rFonts w:hint="eastAsia" w:ascii="黑体" w:hAnsi="黑体" w:eastAsia="黑体"/>
          <w:sz w:val="32"/>
          <w:szCs w:val="32"/>
        </w:rPr>
        <w:t>情况</w:t>
      </w:r>
    </w:p>
    <w:p w14:paraId="0C60C080">
      <w:pPr>
        <w:pageBreakBefore w:val="0"/>
        <w:widowControl w:val="0"/>
        <w:kinsoku/>
        <w:wordWrap/>
        <w:overflowPunct/>
        <w:topLinePunct w:val="0"/>
        <w:autoSpaceDE/>
        <w:autoSpaceDN/>
        <w:bidi w:val="0"/>
        <w:spacing w:line="540" w:lineRule="exact"/>
        <w:ind w:left="0" w:leftChars="0" w:right="0" w:rightChars="0" w:firstLine="643" w:firstLineChars="200"/>
        <w:textAlignment w:val="auto"/>
        <w:outlineLvl w:val="9"/>
        <w:rPr>
          <w:rFonts w:ascii="仿宋" w:hAnsi="仿宋" w:eastAsia="仿宋" w:cs="楷体_GB2312"/>
          <w:sz w:val="32"/>
          <w:szCs w:val="32"/>
          <w:highlight w:val="yellow"/>
        </w:rPr>
      </w:pPr>
      <w:r>
        <w:rPr>
          <w:rFonts w:hint="eastAsia" w:ascii="仿宋" w:hAnsi="仿宋" w:eastAsia="仿宋" w:cs="楷体_GB2312"/>
          <w:b/>
          <w:bCs/>
          <w:sz w:val="32"/>
          <w:szCs w:val="32"/>
          <w:highlight w:val="none"/>
        </w:rPr>
        <w:t>（一）自评的组织工作</w:t>
      </w:r>
    </w:p>
    <w:p w14:paraId="3F881D1A">
      <w:pPr>
        <w:pageBreakBefore w:val="0"/>
        <w:widowControl w:val="0"/>
        <w:kinsoku/>
        <w:wordWrap/>
        <w:overflowPunct/>
        <w:topLinePunct w:val="0"/>
        <w:autoSpaceDE/>
        <w:autoSpaceDN/>
        <w:bidi w:val="0"/>
        <w:spacing w:line="540" w:lineRule="exact"/>
        <w:ind w:left="0" w:leftChars="0" w:right="0" w:rightChars="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 xml:space="preserve"> </w:t>
      </w:r>
      <w:r>
        <w:rPr>
          <w:rFonts w:hint="eastAsia" w:ascii="仿宋" w:hAnsi="仿宋" w:eastAsia="仿宋"/>
          <w:sz w:val="32"/>
          <w:szCs w:val="32"/>
          <w:lang w:val="en-US" w:eastAsia="zh-CN"/>
        </w:rPr>
        <w:t>严格落实《中华人民共和国</w:t>
      </w:r>
      <w:bookmarkStart w:id="0" w:name="_GoBack"/>
      <w:bookmarkEnd w:id="0"/>
      <w:r>
        <w:rPr>
          <w:rFonts w:hint="eastAsia" w:ascii="仿宋" w:hAnsi="仿宋" w:eastAsia="仿宋"/>
          <w:sz w:val="32"/>
          <w:szCs w:val="32"/>
          <w:lang w:val="en-US" w:eastAsia="zh-CN"/>
        </w:rPr>
        <w:t>预算法》及省、市、区绩效管理工作的有关规定，通过开展部门整体支出绩效评价，促进部门整体预算绩效管理工作水平的提升，强化部门支出责任，规范资金管理行为，提高财政资金使用效益，保障部门更好地履行职责。</w:t>
      </w:r>
    </w:p>
    <w:p w14:paraId="192DC615">
      <w:pPr>
        <w:pStyle w:val="8"/>
        <w:pageBreakBefore w:val="0"/>
        <w:widowControl w:val="0"/>
        <w:kinsoku/>
        <w:wordWrap/>
        <w:overflowPunct/>
        <w:topLinePunct w:val="0"/>
        <w:autoSpaceDE/>
        <w:autoSpaceDN/>
        <w:bidi w:val="0"/>
        <w:spacing w:line="540" w:lineRule="exact"/>
        <w:ind w:right="0" w:rightChars="0"/>
        <w:rPr>
          <w:rFonts w:ascii="仿宋" w:hAnsi="仿宋" w:eastAsia="仿宋"/>
          <w:sz w:val="32"/>
          <w:szCs w:val="32"/>
        </w:rPr>
      </w:pPr>
      <w:r>
        <w:rPr>
          <w:rFonts w:hint="eastAsia" w:ascii="仿宋" w:hAnsi="仿宋" w:eastAsia="仿宋"/>
          <w:sz w:val="32"/>
          <w:szCs w:val="32"/>
          <w:lang w:val="en-US" w:eastAsia="zh-CN"/>
        </w:rPr>
        <w:t>根据区财政局《关于开展2026年绩效自评工作的通知》相关要求，对2025年部门所有区级预算项目进行绩效自评.我部门收到通知后高度重视，对此项工作进行了安排部署，成立部门预算项目绩效评价领导小组，严格按照文件要求对标对表，通过查账目、检查系统运行情况等方式，认真对照绩效自评，对我部门2025年区级预算项目进行自查自评，形成绩效评价报告。</w:t>
      </w:r>
    </w:p>
    <w:p w14:paraId="48680623">
      <w:pPr>
        <w:pageBreakBefore w:val="0"/>
        <w:widowControl w:val="0"/>
        <w:numPr>
          <w:ilvl w:val="0"/>
          <w:numId w:val="1"/>
        </w:numPr>
        <w:kinsoku/>
        <w:wordWrap/>
        <w:overflowPunct/>
        <w:topLinePunct w:val="0"/>
        <w:autoSpaceDE/>
        <w:autoSpaceDN/>
        <w:bidi w:val="0"/>
        <w:spacing w:line="540" w:lineRule="exact"/>
        <w:ind w:left="642" w:leftChars="0" w:right="0" w:rightChars="0" w:firstLine="0" w:firstLineChars="0"/>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rPr>
        <w:t>自评的方法和过程</w:t>
      </w:r>
    </w:p>
    <w:p w14:paraId="6BAF7061">
      <w:pPr>
        <w:pStyle w:val="8"/>
        <w:keepNext w:val="0"/>
        <w:keepLines w:val="0"/>
        <w:pageBreakBefore w:val="0"/>
        <w:widowControl w:val="0"/>
        <w:kinsoku/>
        <w:wordWrap/>
        <w:overflowPunct/>
        <w:topLinePunct w:val="0"/>
        <w:autoSpaceDE/>
        <w:autoSpaceDN/>
        <w:bidi w:val="0"/>
        <w:adjustRightInd/>
        <w:snapToGrid/>
        <w:spacing w:line="540" w:lineRule="exact"/>
        <w:ind w:left="0" w:leftChars="0" w:right="0" w:rightChars="0" w:firstLine="640" w:firstLineChars="200"/>
        <w:textAlignment w:val="baseline"/>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绩效自评方法和过程主要如下：</w:t>
      </w:r>
    </w:p>
    <w:p w14:paraId="51861424">
      <w:pPr>
        <w:pStyle w:val="8"/>
        <w:keepNext w:val="0"/>
        <w:keepLines w:val="0"/>
        <w:pageBreakBefore w:val="0"/>
        <w:widowControl w:val="0"/>
        <w:numPr>
          <w:ilvl w:val="0"/>
          <w:numId w:val="2"/>
        </w:numPr>
        <w:kinsoku/>
        <w:wordWrap/>
        <w:overflowPunct/>
        <w:topLinePunct w:val="0"/>
        <w:autoSpaceDE/>
        <w:autoSpaceDN/>
        <w:bidi w:val="0"/>
        <w:adjustRightInd/>
        <w:snapToGrid/>
        <w:spacing w:line="540" w:lineRule="exact"/>
        <w:ind w:left="0" w:leftChars="0" w:right="0" w:rightChars="0" w:firstLine="640" w:firstLineChars="200"/>
        <w:textAlignment w:val="baseline"/>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核实数据：对2025年度部门整体支出数据的准确性、真实性进行核实，将2024年度和2025年度部门整体支出情况进行分析比较；</w:t>
      </w:r>
    </w:p>
    <w:p w14:paraId="1D636B15">
      <w:pPr>
        <w:pStyle w:val="8"/>
        <w:keepNext w:val="0"/>
        <w:keepLines w:val="0"/>
        <w:pageBreakBefore w:val="0"/>
        <w:widowControl w:val="0"/>
        <w:numPr>
          <w:ilvl w:val="0"/>
          <w:numId w:val="2"/>
        </w:numPr>
        <w:kinsoku/>
        <w:wordWrap/>
        <w:overflowPunct/>
        <w:topLinePunct w:val="0"/>
        <w:autoSpaceDE/>
        <w:autoSpaceDN/>
        <w:bidi w:val="0"/>
        <w:adjustRightInd/>
        <w:snapToGrid/>
        <w:spacing w:line="540" w:lineRule="exact"/>
        <w:ind w:left="0" w:leftChars="0" w:right="0" w:rightChars="0" w:firstLine="640" w:firstLineChars="200"/>
        <w:textAlignment w:val="baseline"/>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查阅资料:查阅2025年度预算安排、预算追加、资金管理、经费支出、资产管理等相关文件资料和财务凭证；</w:t>
      </w:r>
    </w:p>
    <w:p w14:paraId="1C0992BE">
      <w:pPr>
        <w:pStyle w:val="8"/>
        <w:keepNext w:val="0"/>
        <w:keepLines w:val="0"/>
        <w:pageBreakBefore w:val="0"/>
        <w:widowControl w:val="0"/>
        <w:numPr>
          <w:ilvl w:val="0"/>
          <w:numId w:val="2"/>
        </w:numPr>
        <w:kinsoku/>
        <w:wordWrap/>
        <w:overflowPunct/>
        <w:topLinePunct w:val="0"/>
        <w:autoSpaceDE/>
        <w:autoSpaceDN/>
        <w:bidi w:val="0"/>
        <w:adjustRightInd/>
        <w:snapToGrid/>
        <w:spacing w:line="540" w:lineRule="exact"/>
        <w:ind w:left="0" w:leftChars="0" w:right="0" w:rightChars="0" w:firstLine="640" w:firstLineChars="200"/>
        <w:textAlignment w:val="baseline"/>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归纳汇总:对收集的评价材料结合本单位情况进行综合分析、归纳汇总；</w:t>
      </w:r>
    </w:p>
    <w:p w14:paraId="44DA5FB5">
      <w:pPr>
        <w:pStyle w:val="8"/>
        <w:keepNext w:val="0"/>
        <w:keepLines w:val="0"/>
        <w:pageBreakBefore w:val="0"/>
        <w:widowControl w:val="0"/>
        <w:numPr>
          <w:ilvl w:val="0"/>
          <w:numId w:val="2"/>
        </w:numPr>
        <w:kinsoku/>
        <w:wordWrap/>
        <w:overflowPunct/>
        <w:topLinePunct w:val="0"/>
        <w:autoSpaceDE/>
        <w:autoSpaceDN/>
        <w:bidi w:val="0"/>
        <w:adjustRightInd/>
        <w:snapToGrid/>
        <w:spacing w:line="540" w:lineRule="exact"/>
        <w:ind w:left="0" w:leftChars="0" w:right="0" w:rightChars="0" w:firstLine="640" w:firstLineChars="200"/>
        <w:textAlignment w:val="baseline"/>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根据评价材料结合各项评价指标进行分析评价；</w:t>
      </w:r>
    </w:p>
    <w:p w14:paraId="387167C1">
      <w:pPr>
        <w:pStyle w:val="8"/>
        <w:keepNext w:val="0"/>
        <w:keepLines w:val="0"/>
        <w:pageBreakBefore w:val="0"/>
        <w:widowControl w:val="0"/>
        <w:numPr>
          <w:ilvl w:val="0"/>
          <w:numId w:val="0"/>
        </w:numPr>
        <w:kinsoku/>
        <w:wordWrap/>
        <w:overflowPunct/>
        <w:topLinePunct w:val="0"/>
        <w:autoSpaceDE/>
        <w:autoSpaceDN/>
        <w:bidi w:val="0"/>
        <w:adjustRightInd/>
        <w:snapToGrid/>
        <w:spacing w:line="540" w:lineRule="exact"/>
        <w:ind w:right="0" w:rightChars="0" w:firstLine="640" w:firstLineChars="200"/>
        <w:textAlignment w:val="baseline"/>
        <w:rPr>
          <w:rFonts w:hint="eastAsia"/>
        </w:rPr>
      </w:pPr>
      <w:r>
        <w:rPr>
          <w:rFonts w:hint="eastAsia" w:ascii="仿宋" w:hAnsi="仿宋" w:eastAsia="仿宋" w:cs="仿宋"/>
          <w:sz w:val="32"/>
          <w:szCs w:val="32"/>
          <w:lang w:val="en-US" w:eastAsia="zh-CN"/>
        </w:rPr>
        <w:t>5、形成部门整体支出绩效自评报告。</w:t>
      </w:r>
    </w:p>
    <w:p w14:paraId="65D9FE21">
      <w:pPr>
        <w:pageBreakBefore w:val="0"/>
        <w:widowControl w:val="0"/>
        <w:kinsoku/>
        <w:wordWrap/>
        <w:overflowPunct/>
        <w:topLinePunct w:val="0"/>
        <w:autoSpaceDE/>
        <w:autoSpaceDN/>
        <w:bidi w:val="0"/>
        <w:spacing w:line="540" w:lineRule="exact"/>
        <w:ind w:left="0" w:leftChars="0" w:right="0" w:rightChars="0" w:firstLine="640" w:firstLineChars="200"/>
        <w:textAlignment w:val="auto"/>
        <w:outlineLvl w:val="9"/>
        <w:rPr>
          <w:rFonts w:hint="eastAsia" w:ascii="黑体" w:hAnsi="黑体" w:eastAsia="黑体"/>
          <w:b/>
          <w:bCs/>
          <w:sz w:val="32"/>
          <w:szCs w:val="32"/>
          <w:lang w:eastAsia="zh-CN"/>
        </w:rPr>
      </w:pPr>
      <w:r>
        <w:rPr>
          <w:rFonts w:hint="eastAsia" w:ascii="黑体" w:hAnsi="黑体" w:eastAsia="黑体"/>
          <w:sz w:val="32"/>
          <w:szCs w:val="32"/>
        </w:rPr>
        <w:t>三、</w:t>
      </w:r>
      <w:r>
        <w:rPr>
          <w:rFonts w:hint="eastAsia" w:ascii="黑体" w:hAnsi="黑体" w:eastAsia="黑体"/>
          <w:sz w:val="32"/>
          <w:szCs w:val="32"/>
          <w:lang w:eastAsia="zh-CN"/>
        </w:rPr>
        <w:t>部门整体支出</w:t>
      </w:r>
      <w:r>
        <w:rPr>
          <w:rFonts w:hint="eastAsia" w:ascii="黑体" w:hAnsi="黑体" w:eastAsia="黑体"/>
          <w:sz w:val="32"/>
          <w:szCs w:val="32"/>
        </w:rPr>
        <w:t>绩效</w:t>
      </w:r>
      <w:r>
        <w:rPr>
          <w:rFonts w:hint="eastAsia" w:ascii="黑体" w:hAnsi="黑体" w:eastAsia="黑体"/>
          <w:sz w:val="32"/>
          <w:szCs w:val="32"/>
          <w:lang w:eastAsia="zh-CN"/>
        </w:rPr>
        <w:t>目标实现情况及指标分析</w:t>
      </w:r>
    </w:p>
    <w:p w14:paraId="29F905A6">
      <w:pPr>
        <w:pageBreakBefore w:val="0"/>
        <w:widowControl w:val="0"/>
        <w:numPr>
          <w:ilvl w:val="0"/>
          <w:numId w:val="3"/>
        </w:numPr>
        <w:kinsoku/>
        <w:wordWrap/>
        <w:overflowPunct/>
        <w:topLinePunct w:val="0"/>
        <w:autoSpaceDE/>
        <w:autoSpaceDN/>
        <w:bidi w:val="0"/>
        <w:spacing w:line="540" w:lineRule="exact"/>
        <w:ind w:left="0" w:leftChars="0" w:right="0" w:rightChars="0" w:firstLine="643" w:firstLineChars="20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lang w:eastAsia="zh-CN"/>
        </w:rPr>
        <w:t>总体绩效目标实现情况</w:t>
      </w:r>
    </w:p>
    <w:p w14:paraId="234E2437">
      <w:pPr>
        <w:spacing w:line="640" w:lineRule="exact"/>
        <w:ind w:firstLine="640"/>
        <w:rPr>
          <w:rFonts w:hint="eastAsia" w:ascii="仿宋" w:hAnsi="仿宋" w:eastAsia="仿宋" w:cs="仿宋"/>
          <w:sz w:val="32"/>
          <w:szCs w:val="32"/>
          <w:lang w:val="en-US" w:eastAsia="zh-CN"/>
        </w:rPr>
      </w:pPr>
      <w:r>
        <w:rPr>
          <w:rFonts w:hint="eastAsia" w:ascii="仿宋_GB2312" w:hAnsi="仿宋_GB2312" w:eastAsia="仿宋_GB2312" w:cs="仿宋_GB2312"/>
          <w:sz w:val="32"/>
          <w:szCs w:val="32"/>
          <w:lang w:val="en-US" w:eastAsia="zh-CN"/>
        </w:rPr>
        <w:t>2025年是“十四五”规划收官之年，也是“十五五”规划谋篇布局之年。区人大常委会在区委的坚强领导下，坚持以习近平新时代中国特色社会主义思想为指导，深入学习贯彻党的二十大和二十届历次全会精神，坚持党的领导、人民当家作主和依法治国有机统一，矢志不渝坚持好、完善好、运行好人民代表大会制度，认真履行宪法法律赋予的职责，倾力书写主动作为、感恩奋进的人大答卷。全年共召开常委会会议12次、主任会议12次，听取和审议专项工作及计划、预决算、审计等报告44个，开展专题询问1次，依法作出决议决定33项，开展集中视察调研92次，提出意见建议200余条，满意度测评27次，依法任免国家机关工作人员77人次，为鹿泉高质量发展和民主法治建设贡献了人大智慧和力量。</w:t>
      </w:r>
    </w:p>
    <w:p w14:paraId="6BF268AF">
      <w:pPr>
        <w:pageBreakBefore w:val="0"/>
        <w:widowControl w:val="0"/>
        <w:numPr>
          <w:ilvl w:val="0"/>
          <w:numId w:val="3"/>
        </w:numPr>
        <w:kinsoku/>
        <w:wordWrap/>
        <w:overflowPunct/>
        <w:topLinePunct w:val="0"/>
        <w:autoSpaceDE/>
        <w:autoSpaceDN/>
        <w:bidi w:val="0"/>
        <w:spacing w:line="540" w:lineRule="exact"/>
        <w:ind w:left="0" w:leftChars="0" w:right="0" w:rightChars="0" w:firstLine="643" w:firstLineChars="200"/>
        <w:textAlignment w:val="auto"/>
        <w:outlineLvl w:val="9"/>
        <w:rPr>
          <w:rFonts w:hint="eastAsia" w:ascii="仿宋" w:hAnsi="仿宋" w:eastAsia="仿宋" w:cs="楷体_GB2312"/>
          <w:b/>
          <w:bCs/>
          <w:sz w:val="32"/>
          <w:szCs w:val="32"/>
          <w:lang w:val="en-US" w:eastAsia="zh-CN"/>
        </w:rPr>
      </w:pPr>
      <w:r>
        <w:rPr>
          <w:rFonts w:hint="eastAsia" w:ascii="仿宋" w:hAnsi="仿宋" w:eastAsia="仿宋" w:cs="楷体_GB2312"/>
          <w:b/>
          <w:bCs/>
          <w:sz w:val="32"/>
          <w:szCs w:val="32"/>
          <w:lang w:val="en-US" w:eastAsia="zh-CN"/>
        </w:rPr>
        <w:t>分项绩效目标</w:t>
      </w:r>
    </w:p>
    <w:p w14:paraId="2F202ED6">
      <w:pPr>
        <w:pStyle w:val="15"/>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1、监督工作</w:t>
      </w:r>
    </w:p>
    <w:p w14:paraId="1F57B6F2">
      <w:pPr>
        <w:pStyle w:val="15"/>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绩效目标：按照区人大常委会2025年监督工作思路，完成监督工作任务。</w:t>
      </w:r>
    </w:p>
    <w:p w14:paraId="5CFA7955">
      <w:pPr>
        <w:pStyle w:val="15"/>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绩效指标：监督工作任务完成率</w:t>
      </w:r>
    </w:p>
    <w:p w14:paraId="1CDA7421">
      <w:pPr>
        <w:pStyle w:val="15"/>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2、人大会议</w:t>
      </w:r>
    </w:p>
    <w:p w14:paraId="0542FD86">
      <w:pPr>
        <w:pStyle w:val="15"/>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绩效目标：召开区人民代表大会3次，区人大常委会会议12次，机关各部门根据工作需要召开会议。</w:t>
      </w:r>
    </w:p>
    <w:p w14:paraId="1A7431F4">
      <w:pPr>
        <w:pStyle w:val="15"/>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绩效指标：会议召开率、会议任务完成率 </w:t>
      </w:r>
    </w:p>
    <w:p w14:paraId="653876B3">
      <w:pPr>
        <w:pStyle w:val="15"/>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3、选举任免工作</w:t>
      </w:r>
    </w:p>
    <w:p w14:paraId="2F0D81C7">
      <w:pPr>
        <w:pStyle w:val="15"/>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绩效目标：依法依规完成人大选举及常委会人事任免工作。</w:t>
      </w:r>
    </w:p>
    <w:p w14:paraId="57D093E2">
      <w:pPr>
        <w:pStyle w:val="15"/>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绩效指标：工作完成率、任务实现率</w:t>
      </w:r>
    </w:p>
    <w:p w14:paraId="10DCBEF1">
      <w:pPr>
        <w:pStyle w:val="15"/>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4、人大代表工作</w:t>
      </w:r>
    </w:p>
    <w:p w14:paraId="535C58A7">
      <w:pPr>
        <w:pStyle w:val="15"/>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绩效目标：按照工作需要，依法依规组织市人大代表、区人大常委会组成人员及区人大代表进行执法检查和集中视察；开展代表建议督办；组织对常委会组成人员及代表培训。</w:t>
      </w:r>
    </w:p>
    <w:p w14:paraId="0DEE37AF">
      <w:pPr>
        <w:pStyle w:val="15"/>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绩效指标： 执法检查和集中视察任务完成率、代表建议督办完成率、培训计划完成率。</w:t>
      </w:r>
    </w:p>
    <w:p w14:paraId="61FC9CC2">
      <w:pPr>
        <w:pStyle w:val="15"/>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5、人大事务管理</w:t>
      </w:r>
    </w:p>
    <w:p w14:paraId="198FA5E0">
      <w:pPr>
        <w:pStyle w:val="15"/>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绩效目标：按照2025年区人大常委会机关工作思路，完成机关人事、财务、会务、接待、公文办理、党建、信访、宣传、纪检监察组及机关纪委、离退休人员服务、信息化建设与维护、基础设施建设与维护、文印、后勤服务以及领导交办的其他工作，努力将区人大常委会机关建设成为作风一流、业务一流、服务一流、纪律一流的代表机关和工作机关。</w:t>
      </w:r>
    </w:p>
    <w:p w14:paraId="389352C2">
      <w:pPr>
        <w:pStyle w:val="15"/>
        <w:rPr>
          <w:rFonts w:hint="eastAsia" w:ascii="黑体" w:hAnsi="黑体" w:eastAsia="黑体"/>
          <w:sz w:val="32"/>
          <w:szCs w:val="32"/>
        </w:rPr>
      </w:pPr>
      <w:r>
        <w:rPr>
          <w:rFonts w:hint="eastAsia" w:ascii="仿宋" w:hAnsi="仿宋" w:eastAsia="仿宋" w:cs="仿宋"/>
          <w:kern w:val="2"/>
          <w:sz w:val="32"/>
          <w:szCs w:val="32"/>
          <w:lang w:val="en-US" w:eastAsia="zh-CN" w:bidi="ar-SA"/>
        </w:rPr>
        <w:t>绩效指标：工作任务完成率</w:t>
      </w:r>
    </w:p>
    <w:p w14:paraId="1E552717">
      <w:pPr>
        <w:widowControl w:val="0"/>
        <w:wordWrap/>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四、评价结论和评价等级</w:t>
      </w:r>
    </w:p>
    <w:p w14:paraId="5D3EA779">
      <w:pPr>
        <w:pStyle w:val="15"/>
        <w:rPr>
          <w:rFonts w:hint="eastAsia" w:ascii="仿宋" w:hAnsi="仿宋" w:eastAsia="仿宋"/>
          <w:sz w:val="32"/>
          <w:szCs w:val="32"/>
        </w:rPr>
      </w:pPr>
      <w:r>
        <w:rPr>
          <w:rFonts w:hint="eastAsia" w:ascii="仿宋" w:hAnsi="仿宋" w:eastAsia="仿宋"/>
          <w:sz w:val="32"/>
          <w:szCs w:val="32"/>
        </w:rPr>
        <w:t>根据</w:t>
      </w:r>
      <w:r>
        <w:rPr>
          <w:rFonts w:hint="eastAsia" w:ascii="仿宋" w:hAnsi="仿宋" w:eastAsia="仿宋"/>
          <w:sz w:val="32"/>
          <w:szCs w:val="32"/>
          <w:lang w:eastAsia="zh-CN"/>
        </w:rPr>
        <w:t>部门职责定位和各项工作履职情况进行综合评价</w:t>
      </w:r>
      <w:r>
        <w:rPr>
          <w:rFonts w:hint="eastAsia" w:ascii="仿宋" w:hAnsi="仿宋" w:eastAsia="仿宋"/>
          <w:sz w:val="32"/>
          <w:szCs w:val="32"/>
        </w:rPr>
        <w:t>，给出总得分，满分100分，得出综合绩效评价等级。</w:t>
      </w:r>
      <w:r>
        <w:rPr>
          <w:rFonts w:hint="eastAsia" w:ascii="仿宋" w:hAnsi="仿宋" w:eastAsia="仿宋"/>
          <w:sz w:val="32"/>
          <w:szCs w:val="32"/>
          <w:lang w:eastAsia="zh-CN"/>
        </w:rPr>
        <w:t>部门整体支出</w:t>
      </w:r>
      <w:r>
        <w:rPr>
          <w:rFonts w:hint="eastAsia" w:ascii="仿宋" w:hAnsi="仿宋" w:eastAsia="仿宋"/>
          <w:sz w:val="32"/>
          <w:szCs w:val="32"/>
        </w:rPr>
        <w:t>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p w14:paraId="7ED86743">
      <w:pPr>
        <w:pStyle w:val="15"/>
        <w:rPr>
          <w:rFonts w:hint="eastAsia" w:ascii="仿宋" w:hAnsi="仿宋" w:eastAsia="仿宋"/>
          <w:sz w:val="32"/>
          <w:szCs w:val="32"/>
        </w:rPr>
      </w:pPr>
    </w:p>
    <w:p w14:paraId="01144FF4">
      <w:pPr>
        <w:pStyle w:val="15"/>
        <w:rPr>
          <w:rFonts w:hint="eastAsia" w:ascii="仿宋" w:hAnsi="仿宋" w:eastAsia="仿宋"/>
          <w:sz w:val="32"/>
          <w:szCs w:val="32"/>
        </w:rPr>
      </w:pPr>
    </w:p>
    <w:p w14:paraId="58268554">
      <w:pPr>
        <w:pStyle w:val="15"/>
        <w:rPr>
          <w:rFonts w:hint="eastAsia" w:ascii="仿宋" w:hAnsi="仿宋" w:eastAsia="仿宋"/>
          <w:sz w:val="32"/>
          <w:szCs w:val="32"/>
        </w:rPr>
      </w:pPr>
    </w:p>
    <w:p w14:paraId="1C173E83">
      <w:pPr>
        <w:pStyle w:val="15"/>
        <w:rPr>
          <w:rFonts w:hint="eastAsia" w:ascii="仿宋" w:hAnsi="仿宋" w:eastAsia="仿宋"/>
          <w:sz w:val="32"/>
          <w:szCs w:val="32"/>
        </w:rPr>
      </w:pPr>
    </w:p>
    <w:p w14:paraId="0009BB06">
      <w:pPr>
        <w:pStyle w:val="15"/>
        <w:rPr>
          <w:rFonts w:hint="eastAsia" w:ascii="仿宋" w:hAnsi="仿宋" w:eastAsia="仿宋"/>
          <w:sz w:val="32"/>
          <w:szCs w:val="32"/>
        </w:rPr>
      </w:pPr>
    </w:p>
    <w:p w14:paraId="45FFF057">
      <w:pPr>
        <w:pStyle w:val="15"/>
        <w:rPr>
          <w:rFonts w:hint="eastAsia" w:ascii="仿宋" w:hAnsi="仿宋" w:eastAsia="仿宋"/>
          <w:sz w:val="32"/>
          <w:szCs w:val="32"/>
        </w:rPr>
      </w:pPr>
    </w:p>
    <w:p w14:paraId="230F6774">
      <w:pPr>
        <w:pStyle w:val="15"/>
        <w:rPr>
          <w:rFonts w:hint="eastAsia" w:ascii="仿宋" w:hAnsi="仿宋" w:eastAsia="仿宋"/>
          <w:sz w:val="32"/>
          <w:szCs w:val="32"/>
        </w:rPr>
      </w:pPr>
    </w:p>
    <w:p w14:paraId="4C07ADAC">
      <w:pPr>
        <w:pStyle w:val="15"/>
        <w:rPr>
          <w:rFonts w:hint="eastAsia" w:ascii="仿宋" w:hAnsi="仿宋" w:eastAsia="仿宋"/>
          <w:sz w:val="32"/>
          <w:szCs w:val="32"/>
        </w:rPr>
      </w:pPr>
    </w:p>
    <w:tbl>
      <w:tblPr>
        <w:tblStyle w:val="9"/>
        <w:tblpPr w:leftFromText="180" w:rightFromText="180" w:vertAnchor="text" w:horzAnchor="page" w:tblpXSpec="center" w:tblpY="548"/>
        <w:tblOverlap w:val="never"/>
        <w:tblW w:w="8258"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09"/>
        <w:gridCol w:w="915"/>
        <w:gridCol w:w="1733"/>
        <w:gridCol w:w="1275"/>
        <w:gridCol w:w="1215"/>
        <w:gridCol w:w="480"/>
        <w:gridCol w:w="735"/>
        <w:gridCol w:w="720"/>
        <w:gridCol w:w="776"/>
      </w:tblGrid>
      <w:tr w14:paraId="1679B1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514" w:hRule="atLeast"/>
          <w:jc w:val="center"/>
        </w:trPr>
        <w:tc>
          <w:tcPr>
            <w:tcW w:w="8258" w:type="dxa"/>
            <w:gridSpan w:val="9"/>
            <w:tcBorders>
              <w:top w:val="nil"/>
              <w:left w:val="nil"/>
              <w:bottom w:val="nil"/>
              <w:right w:val="nil"/>
            </w:tcBorders>
            <w:shd w:val="clear" w:color="auto" w:fill="auto"/>
            <w:noWrap/>
            <w:vAlign w:val="center"/>
          </w:tcPr>
          <w:p w14:paraId="56AB55DB">
            <w:pPr>
              <w:keepNext w:val="0"/>
              <w:keepLines w:val="0"/>
              <w:widowControl/>
              <w:suppressLineNumbers w:val="0"/>
              <w:jc w:val="center"/>
              <w:textAlignment w:val="center"/>
              <w:rPr>
                <w:rFonts w:hint="eastAsia" w:ascii="宋体" w:hAnsi="宋体" w:eastAsia="宋体" w:cs="宋体"/>
                <w:i w:val="0"/>
                <w:iCs w:val="0"/>
                <w:color w:val="auto"/>
                <w:kern w:val="0"/>
                <w:sz w:val="44"/>
                <w:szCs w:val="44"/>
                <w:u w:val="none"/>
                <w:lang w:val="en-US" w:eastAsia="zh-CN" w:bidi="ar"/>
              </w:rPr>
            </w:pPr>
            <w:r>
              <w:rPr>
                <w:rFonts w:hint="eastAsia" w:ascii="宋体" w:hAnsi="宋体" w:eastAsia="宋体" w:cs="宋体"/>
                <w:i w:val="0"/>
                <w:iCs w:val="0"/>
                <w:color w:val="auto"/>
                <w:kern w:val="0"/>
                <w:sz w:val="44"/>
                <w:szCs w:val="44"/>
                <w:u w:val="none"/>
                <w:lang w:val="en-US" w:eastAsia="zh-CN" w:bidi="ar"/>
              </w:rPr>
              <w:t>部门绩效自评结果公开汇总表</w:t>
            </w:r>
          </w:p>
        </w:tc>
      </w:tr>
      <w:tr w14:paraId="299E0D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539" w:hRule="atLeast"/>
          <w:jc w:val="center"/>
        </w:trPr>
        <w:tc>
          <w:tcPr>
            <w:tcW w:w="1324" w:type="dxa"/>
            <w:gridSpan w:val="2"/>
            <w:tcBorders>
              <w:top w:val="nil"/>
              <w:left w:val="nil"/>
              <w:bottom w:val="single" w:color="000000" w:sz="4" w:space="0"/>
              <w:right w:val="nil"/>
            </w:tcBorders>
            <w:shd w:val="clear" w:color="auto" w:fill="auto"/>
            <w:noWrap/>
            <w:vAlign w:val="center"/>
          </w:tcPr>
          <w:p w14:paraId="5E2D6E57">
            <w:pPr>
              <w:keepNext w:val="0"/>
              <w:keepLines w:val="0"/>
              <w:widowControl/>
              <w:suppressLineNumbers w:val="0"/>
              <w:jc w:val="left"/>
              <w:textAlignment w:val="center"/>
              <w:rPr>
                <w:rFonts w:ascii="仿宋" w:hAnsi="仿宋" w:eastAsia="仿宋" w:cs="仿宋"/>
                <w:i w:val="0"/>
                <w:iCs w:val="0"/>
                <w:color w:val="000000"/>
                <w:sz w:val="28"/>
                <w:szCs w:val="28"/>
                <w:u w:val="none"/>
              </w:rPr>
            </w:pPr>
          </w:p>
        </w:tc>
        <w:tc>
          <w:tcPr>
            <w:tcW w:w="1733" w:type="dxa"/>
            <w:tcBorders>
              <w:top w:val="nil"/>
              <w:left w:val="nil"/>
              <w:bottom w:val="single" w:color="000000" w:sz="4" w:space="0"/>
              <w:right w:val="nil"/>
            </w:tcBorders>
            <w:shd w:val="clear" w:color="auto" w:fill="auto"/>
            <w:noWrap/>
            <w:vAlign w:val="center"/>
          </w:tcPr>
          <w:p w14:paraId="7463FCE2">
            <w:pPr>
              <w:jc w:val="center"/>
              <w:rPr>
                <w:rFonts w:hint="eastAsia" w:ascii="仿宋" w:hAnsi="仿宋" w:eastAsia="仿宋" w:cs="仿宋"/>
                <w:i w:val="0"/>
                <w:iCs w:val="0"/>
                <w:color w:val="000000"/>
                <w:sz w:val="28"/>
                <w:szCs w:val="28"/>
                <w:u w:val="none"/>
              </w:rPr>
            </w:pPr>
          </w:p>
        </w:tc>
        <w:tc>
          <w:tcPr>
            <w:tcW w:w="1275" w:type="dxa"/>
            <w:tcBorders>
              <w:top w:val="nil"/>
              <w:left w:val="nil"/>
              <w:bottom w:val="single" w:color="000000" w:sz="4" w:space="0"/>
              <w:right w:val="nil"/>
            </w:tcBorders>
            <w:shd w:val="clear" w:color="auto" w:fill="auto"/>
            <w:noWrap/>
            <w:vAlign w:val="center"/>
          </w:tcPr>
          <w:p w14:paraId="16EBD829">
            <w:pPr>
              <w:jc w:val="center"/>
              <w:rPr>
                <w:rFonts w:hint="eastAsia" w:ascii="仿宋" w:hAnsi="仿宋" w:eastAsia="仿宋" w:cs="仿宋"/>
                <w:i w:val="0"/>
                <w:iCs w:val="0"/>
                <w:color w:val="000000"/>
                <w:sz w:val="28"/>
                <w:szCs w:val="28"/>
                <w:u w:val="none"/>
              </w:rPr>
            </w:pPr>
          </w:p>
        </w:tc>
        <w:tc>
          <w:tcPr>
            <w:tcW w:w="1215" w:type="dxa"/>
            <w:tcBorders>
              <w:top w:val="nil"/>
              <w:left w:val="nil"/>
              <w:bottom w:val="single" w:color="000000" w:sz="4" w:space="0"/>
              <w:right w:val="nil"/>
            </w:tcBorders>
            <w:shd w:val="clear" w:color="auto" w:fill="auto"/>
            <w:noWrap/>
            <w:vAlign w:val="center"/>
          </w:tcPr>
          <w:p w14:paraId="3FED888A">
            <w:pPr>
              <w:jc w:val="center"/>
              <w:rPr>
                <w:rFonts w:hint="eastAsia" w:ascii="仿宋" w:hAnsi="仿宋" w:eastAsia="仿宋" w:cs="仿宋"/>
                <w:i w:val="0"/>
                <w:iCs w:val="0"/>
                <w:color w:val="000000"/>
                <w:sz w:val="28"/>
                <w:szCs w:val="28"/>
                <w:u w:val="none"/>
              </w:rPr>
            </w:pPr>
          </w:p>
        </w:tc>
        <w:tc>
          <w:tcPr>
            <w:tcW w:w="2711" w:type="dxa"/>
            <w:gridSpan w:val="4"/>
            <w:tcBorders>
              <w:top w:val="nil"/>
              <w:left w:val="nil"/>
              <w:bottom w:val="single" w:color="000000" w:sz="4" w:space="0"/>
              <w:right w:val="nil"/>
            </w:tcBorders>
            <w:shd w:val="clear" w:color="auto" w:fill="auto"/>
            <w:noWrap/>
            <w:vAlign w:val="center"/>
          </w:tcPr>
          <w:p w14:paraId="1D6F0712">
            <w:pPr>
              <w:keepNext w:val="0"/>
              <w:keepLines w:val="0"/>
              <w:widowControl/>
              <w:suppressLineNumbers w:val="0"/>
              <w:jc w:val="right"/>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单位：万元</w:t>
            </w:r>
          </w:p>
        </w:tc>
      </w:tr>
      <w:tr w14:paraId="1A80AC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384" w:hRule="atLeast"/>
          <w:jc w:val="center"/>
        </w:trPr>
        <w:tc>
          <w:tcPr>
            <w:tcW w:w="4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B9AF0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序号</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6C79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项目名称</w:t>
            </w:r>
          </w:p>
        </w:tc>
        <w:tc>
          <w:tcPr>
            <w:tcW w:w="1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FB7AA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项目实施单位</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77F6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预算数</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（调整后）</w:t>
            </w: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D362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执行数</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（至2025年底）</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8CEC7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结余数</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C5B53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结余交回财政数</w:t>
            </w: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B807B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自评得分</w:t>
            </w:r>
          </w:p>
        </w:tc>
        <w:tc>
          <w:tcPr>
            <w:tcW w:w="7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286F9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情况说明</w:t>
            </w:r>
          </w:p>
        </w:tc>
      </w:tr>
      <w:tr w14:paraId="44C81E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900" w:hRule="atLeast"/>
          <w:jc w:val="center"/>
        </w:trPr>
        <w:tc>
          <w:tcPr>
            <w:tcW w:w="4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7637B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54E744">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代表订报刊杂志费</w:t>
            </w:r>
          </w:p>
        </w:tc>
        <w:tc>
          <w:tcPr>
            <w:tcW w:w="1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C1568B">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石家庄市鹿泉区人民代表大会常务委员会</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13CFDB">
            <w:pPr>
              <w:keepNext w:val="0"/>
              <w:keepLines w:val="0"/>
              <w:widowControl/>
              <w:suppressLineNumbers w:val="0"/>
              <w:jc w:val="left"/>
              <w:textAlignment w:val="center"/>
              <w:rPr>
                <w:rFonts w:hint="default"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8.50974</w:t>
            </w: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203783">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8.50974</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BCB0EB">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0</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911AB9">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0</w:t>
            </w: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0DE26">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98</w:t>
            </w:r>
          </w:p>
        </w:tc>
        <w:tc>
          <w:tcPr>
            <w:tcW w:w="7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B10C84">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p>
        </w:tc>
      </w:tr>
      <w:tr w14:paraId="6ADB47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900" w:hRule="atLeast"/>
          <w:jc w:val="center"/>
        </w:trPr>
        <w:tc>
          <w:tcPr>
            <w:tcW w:w="4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1B7AE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2</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B45035">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代表经费</w:t>
            </w:r>
          </w:p>
        </w:tc>
        <w:tc>
          <w:tcPr>
            <w:tcW w:w="1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F06991">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石家庄市鹿泉区人民代表大会常务委员会</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D398B6">
            <w:pPr>
              <w:keepNext w:val="0"/>
              <w:keepLines w:val="0"/>
              <w:widowControl/>
              <w:suppressLineNumbers w:val="0"/>
              <w:jc w:val="left"/>
              <w:textAlignment w:val="center"/>
              <w:rPr>
                <w:rFonts w:hint="default"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15.12334</w:t>
            </w: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C58C60">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15.12334</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003A6A">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0</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85FA97">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0</w:t>
            </w: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252234">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100</w:t>
            </w:r>
          </w:p>
        </w:tc>
        <w:tc>
          <w:tcPr>
            <w:tcW w:w="7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89AC9C">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p>
        </w:tc>
      </w:tr>
      <w:tr w14:paraId="2081D5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900" w:hRule="atLeast"/>
          <w:jc w:val="center"/>
        </w:trPr>
        <w:tc>
          <w:tcPr>
            <w:tcW w:w="4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6032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3</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F82E97">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代表之家（站）活动费</w:t>
            </w:r>
          </w:p>
        </w:tc>
        <w:tc>
          <w:tcPr>
            <w:tcW w:w="1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30BD4E">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石家庄市鹿泉区人民代表大会常务委员会</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27D6E8">
            <w:pPr>
              <w:keepNext w:val="0"/>
              <w:keepLines w:val="0"/>
              <w:widowControl/>
              <w:suppressLineNumbers w:val="0"/>
              <w:jc w:val="left"/>
              <w:textAlignment w:val="center"/>
              <w:rPr>
                <w:rFonts w:hint="default"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11.25</w:t>
            </w: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7EBAA9">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11.25</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B0298C">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0</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6BDE2B">
            <w:pPr>
              <w:keepNext w:val="0"/>
              <w:keepLines w:val="0"/>
              <w:widowControl/>
              <w:suppressLineNumbers w:val="0"/>
              <w:jc w:val="right"/>
              <w:textAlignment w:val="center"/>
              <w:rPr>
                <w:rFonts w:hint="default"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0</w:t>
            </w: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DFCDF5">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97</w:t>
            </w:r>
          </w:p>
        </w:tc>
        <w:tc>
          <w:tcPr>
            <w:tcW w:w="7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02217A">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p>
        </w:tc>
      </w:tr>
      <w:tr w14:paraId="2C9B20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900" w:hRule="atLeast"/>
          <w:jc w:val="center"/>
        </w:trPr>
        <w:tc>
          <w:tcPr>
            <w:tcW w:w="4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006A5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4</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E8451">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人大志编写</w:t>
            </w:r>
          </w:p>
        </w:tc>
        <w:tc>
          <w:tcPr>
            <w:tcW w:w="1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8FB2B0">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石家庄市鹿泉区人民代表大会常务委员会</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AE86EC">
            <w:pPr>
              <w:keepNext w:val="0"/>
              <w:keepLines w:val="0"/>
              <w:widowControl/>
              <w:suppressLineNumbers w:val="0"/>
              <w:jc w:val="left"/>
              <w:textAlignment w:val="center"/>
              <w:rPr>
                <w:rFonts w:hint="default"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10</w:t>
            </w: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E14EB">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10</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B6C5C6">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0</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9EC75E">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0</w:t>
            </w: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E18386">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100</w:t>
            </w:r>
          </w:p>
        </w:tc>
        <w:tc>
          <w:tcPr>
            <w:tcW w:w="7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8E006C">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p>
        </w:tc>
      </w:tr>
      <w:tr w14:paraId="6F41F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900" w:hRule="atLeast"/>
          <w:jc w:val="center"/>
        </w:trPr>
        <w:tc>
          <w:tcPr>
            <w:tcW w:w="4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EFA75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5</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ABDE17">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会议接待费</w:t>
            </w:r>
          </w:p>
        </w:tc>
        <w:tc>
          <w:tcPr>
            <w:tcW w:w="1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301FFA">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石家庄市鹿泉区人民代表大会常务委员会</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02AFD2">
            <w:pPr>
              <w:keepNext w:val="0"/>
              <w:keepLines w:val="0"/>
              <w:widowControl/>
              <w:suppressLineNumbers w:val="0"/>
              <w:jc w:val="left"/>
              <w:textAlignment w:val="center"/>
              <w:rPr>
                <w:rFonts w:hint="default"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0.152</w:t>
            </w: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00A762">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0.152</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837EA0">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0</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A8D5C0">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0</w:t>
            </w: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423792">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100</w:t>
            </w:r>
          </w:p>
        </w:tc>
        <w:tc>
          <w:tcPr>
            <w:tcW w:w="7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BD2EB8">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p>
        </w:tc>
      </w:tr>
      <w:tr w14:paraId="73BD40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900" w:hRule="atLeast"/>
          <w:jc w:val="center"/>
        </w:trPr>
        <w:tc>
          <w:tcPr>
            <w:tcW w:w="4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A7061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6</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1AFAC3">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人代会会议费</w:t>
            </w:r>
          </w:p>
        </w:tc>
        <w:tc>
          <w:tcPr>
            <w:tcW w:w="1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EE8451">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石家庄市鹿泉区人民代表大会常务委员会</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EA11E8">
            <w:pPr>
              <w:keepNext w:val="0"/>
              <w:keepLines w:val="0"/>
              <w:widowControl/>
              <w:suppressLineNumbers w:val="0"/>
              <w:jc w:val="left"/>
              <w:textAlignment w:val="center"/>
              <w:rPr>
                <w:rFonts w:hint="default"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35</w:t>
            </w: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60573">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35</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7DAB5D">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0</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32EC8B">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0</w:t>
            </w: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D3E4F2">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100</w:t>
            </w:r>
          </w:p>
        </w:tc>
        <w:tc>
          <w:tcPr>
            <w:tcW w:w="7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AD1F1D">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p>
        </w:tc>
      </w:tr>
      <w:tr w14:paraId="448224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900" w:hRule="atLeast"/>
          <w:jc w:val="center"/>
        </w:trPr>
        <w:tc>
          <w:tcPr>
            <w:tcW w:w="4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70C16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7</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C61DAC">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人大制度研究会运行经费</w:t>
            </w:r>
          </w:p>
        </w:tc>
        <w:tc>
          <w:tcPr>
            <w:tcW w:w="1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3B5D3B">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石家庄市鹿泉区人民代表大会常务委员会</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772E1C">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5</w:t>
            </w: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3AB733">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5</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0BEEB7">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0</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40C429">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0</w:t>
            </w: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248BD6">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100</w:t>
            </w:r>
          </w:p>
        </w:tc>
        <w:tc>
          <w:tcPr>
            <w:tcW w:w="7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7A56BF">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p>
        </w:tc>
      </w:tr>
      <w:tr w14:paraId="64DD4A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900" w:hRule="atLeast"/>
          <w:jc w:val="center"/>
        </w:trPr>
        <w:tc>
          <w:tcPr>
            <w:tcW w:w="4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573EE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8</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1AECDA">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涉军公益岗工资</w:t>
            </w:r>
          </w:p>
        </w:tc>
        <w:tc>
          <w:tcPr>
            <w:tcW w:w="1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EAEA55">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石家庄市鹿泉区人民代表大会常务委员会</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DCC28">
            <w:pPr>
              <w:keepNext w:val="0"/>
              <w:keepLines w:val="0"/>
              <w:widowControl/>
              <w:suppressLineNumbers w:val="0"/>
              <w:jc w:val="left"/>
              <w:textAlignment w:val="center"/>
              <w:rPr>
                <w:rFonts w:hint="default"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11.511778</w:t>
            </w: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8455A4">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11.511778</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517B57">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0</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F9023B">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0</w:t>
            </w: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36D4B">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100</w:t>
            </w:r>
          </w:p>
        </w:tc>
        <w:tc>
          <w:tcPr>
            <w:tcW w:w="7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5026C7">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p>
        </w:tc>
      </w:tr>
      <w:tr w14:paraId="19AB3C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900" w:hRule="atLeast"/>
          <w:jc w:val="center"/>
        </w:trPr>
        <w:tc>
          <w:tcPr>
            <w:tcW w:w="4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0DEF36">
            <w:pPr>
              <w:keepNext w:val="0"/>
              <w:keepLines w:val="0"/>
              <w:widowControl/>
              <w:suppressLineNumbers w:val="0"/>
              <w:jc w:val="center"/>
              <w:textAlignment w:val="center"/>
              <w:rPr>
                <w:rFonts w:hint="eastAsia"/>
                <w:lang w:val="en-US" w:eastAsia="zh-CN"/>
              </w:rPr>
            </w:pPr>
            <w:r>
              <w:rPr>
                <w:rFonts w:hint="eastAsia" w:ascii="宋体" w:hAnsi="宋体" w:eastAsia="宋体" w:cs="宋体"/>
                <w:i w:val="0"/>
                <w:color w:val="000000"/>
                <w:kern w:val="0"/>
                <w:sz w:val="22"/>
                <w:szCs w:val="22"/>
                <w:u w:val="none"/>
                <w:lang w:val="en-US" w:eastAsia="zh-CN" w:bidi="ar"/>
              </w:rPr>
              <w:t>9</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70EB3D">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专项业务费</w:t>
            </w:r>
          </w:p>
        </w:tc>
        <w:tc>
          <w:tcPr>
            <w:tcW w:w="1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60819E">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石家庄市鹿泉区人民代表大会常务委员会</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C312E">
            <w:pPr>
              <w:keepNext w:val="0"/>
              <w:keepLines w:val="0"/>
              <w:widowControl/>
              <w:suppressLineNumbers w:val="0"/>
              <w:jc w:val="left"/>
              <w:textAlignment w:val="center"/>
              <w:rPr>
                <w:rFonts w:hint="default"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0.84</w:t>
            </w: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973AB9">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0.84</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FE1817">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0</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6FE3FD">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0</w:t>
            </w: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437994">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100</w:t>
            </w:r>
          </w:p>
        </w:tc>
        <w:tc>
          <w:tcPr>
            <w:tcW w:w="7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CA7A97">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p>
        </w:tc>
      </w:tr>
    </w:tbl>
    <w:p w14:paraId="1E097D33">
      <w:pPr>
        <w:pageBreakBefore w:val="0"/>
        <w:widowControl w:val="0"/>
        <w:kinsoku/>
        <w:wordWrap/>
        <w:overflowPunct/>
        <w:topLinePunct w:val="0"/>
        <w:autoSpaceDE/>
        <w:autoSpaceDN/>
        <w:bidi w:val="0"/>
        <w:spacing w:line="540" w:lineRule="exact"/>
        <w:ind w:left="0" w:leftChars="0" w:right="0" w:rightChars="0" w:firstLine="640" w:firstLineChars="200"/>
        <w:textAlignment w:val="auto"/>
        <w:outlineLvl w:val="9"/>
        <w:rPr>
          <w:rFonts w:hint="eastAsia" w:ascii="黑体" w:hAnsi="黑体" w:eastAsia="黑体"/>
          <w:sz w:val="32"/>
          <w:szCs w:val="32"/>
        </w:rPr>
      </w:pPr>
    </w:p>
    <w:p w14:paraId="49872F08">
      <w:pPr>
        <w:pageBreakBefore w:val="0"/>
        <w:widowControl w:val="0"/>
        <w:numPr>
          <w:ilvl w:val="0"/>
          <w:numId w:val="0"/>
        </w:numPr>
        <w:kinsoku/>
        <w:wordWrap/>
        <w:overflowPunct/>
        <w:topLinePunct w:val="0"/>
        <w:autoSpaceDE/>
        <w:autoSpaceDN/>
        <w:bidi w:val="0"/>
        <w:spacing w:line="540" w:lineRule="exact"/>
        <w:ind w:right="0" w:rightChars="0"/>
        <w:textAlignment w:val="auto"/>
        <w:outlineLvl w:val="9"/>
        <w:rPr>
          <w:rFonts w:hint="eastAsia" w:ascii="黑体" w:hAnsi="黑体" w:eastAsia="黑体"/>
          <w:sz w:val="32"/>
          <w:szCs w:val="32"/>
          <w:lang w:eastAsia="zh-CN"/>
        </w:rPr>
      </w:pPr>
    </w:p>
    <w:p w14:paraId="088CEA77">
      <w:pPr>
        <w:pageBreakBefore w:val="0"/>
        <w:widowControl w:val="0"/>
        <w:numPr>
          <w:ilvl w:val="0"/>
          <w:numId w:val="0"/>
        </w:numPr>
        <w:kinsoku/>
        <w:wordWrap/>
        <w:overflowPunct/>
        <w:topLinePunct w:val="0"/>
        <w:autoSpaceDE/>
        <w:autoSpaceDN/>
        <w:bidi w:val="0"/>
        <w:spacing w:line="540" w:lineRule="exact"/>
        <w:ind w:right="0" w:rightChars="0" w:firstLine="320" w:firstLineChars="100"/>
        <w:textAlignment w:val="auto"/>
        <w:outlineLvl w:val="9"/>
        <w:rPr>
          <w:rFonts w:hint="eastAsia" w:ascii="仿宋" w:hAnsi="仿宋" w:eastAsia="仿宋"/>
          <w:b/>
          <w:bCs/>
          <w:sz w:val="32"/>
          <w:szCs w:val="32"/>
        </w:rPr>
      </w:pPr>
      <w:r>
        <w:rPr>
          <w:rFonts w:hint="eastAsia" w:ascii="黑体" w:hAnsi="黑体" w:eastAsia="黑体"/>
          <w:sz w:val="32"/>
          <w:szCs w:val="32"/>
          <w:lang w:eastAsia="zh-CN"/>
        </w:rPr>
        <w:t>五、</w:t>
      </w:r>
      <w:r>
        <w:rPr>
          <w:rFonts w:hint="eastAsia" w:ascii="黑体" w:hAnsi="黑体" w:eastAsia="黑体"/>
          <w:sz w:val="32"/>
          <w:szCs w:val="32"/>
        </w:rPr>
        <w:t>存在的问题及改进措施</w:t>
      </w:r>
    </w:p>
    <w:p w14:paraId="103B4855">
      <w:pPr>
        <w:pageBreakBefore w:val="0"/>
        <w:widowControl w:val="0"/>
        <w:numPr>
          <w:ilvl w:val="0"/>
          <w:numId w:val="0"/>
        </w:numPr>
        <w:kinsoku/>
        <w:wordWrap/>
        <w:overflowPunct/>
        <w:topLinePunct w:val="0"/>
        <w:autoSpaceDE/>
        <w:autoSpaceDN/>
        <w:bidi w:val="0"/>
        <w:spacing w:line="540" w:lineRule="exact"/>
        <w:ind w:right="0" w:rightChars="0" w:firstLine="321" w:firstLineChars="100"/>
        <w:textAlignment w:val="auto"/>
        <w:outlineLvl w:val="9"/>
        <w:rPr>
          <w:rFonts w:hint="eastAsia" w:ascii="仿宋" w:hAnsi="仿宋" w:eastAsia="仿宋"/>
          <w:b/>
          <w:bCs/>
          <w:sz w:val="32"/>
          <w:szCs w:val="32"/>
          <w:lang w:eastAsia="zh-CN"/>
        </w:rPr>
      </w:pPr>
      <w:r>
        <w:rPr>
          <w:rFonts w:hint="eastAsia" w:ascii="仿宋" w:hAnsi="仿宋" w:eastAsia="仿宋"/>
          <w:b/>
          <w:bCs/>
          <w:sz w:val="32"/>
          <w:szCs w:val="32"/>
          <w:lang w:eastAsia="zh-CN"/>
        </w:rPr>
        <w:t>（一）存在的主要问题</w:t>
      </w:r>
    </w:p>
    <w:p w14:paraId="21EE1C14">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360" w:leftChars="0" w:right="0" w:rightChars="0" w:firstLine="640" w:firstLineChars="200"/>
        <w:jc w:val="left"/>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1、预算编制科学性、精准度不足，部分项目测算依据不够充分，与实际工作需求存在偏差。</w:t>
      </w:r>
    </w:p>
    <w:p w14:paraId="6DCEE46A">
      <w:pPr>
        <w:pStyle w:val="8"/>
        <w:keepNext w:val="0"/>
        <w:keepLines w:val="0"/>
        <w:pageBreakBefore w:val="0"/>
        <w:widowControl w:val="0"/>
        <w:numPr>
          <w:ilvl w:val="0"/>
          <w:numId w:val="0"/>
        </w:numPr>
        <w:kinsoku/>
        <w:wordWrap/>
        <w:overflowPunct/>
        <w:topLinePunct w:val="0"/>
        <w:autoSpaceDE/>
        <w:autoSpaceDN/>
        <w:bidi w:val="0"/>
        <w:adjustRightInd/>
        <w:snapToGrid/>
        <w:spacing w:line="540" w:lineRule="exact"/>
        <w:ind w:left="-360" w:leftChars="0" w:right="0" w:rightChars="0" w:firstLine="640" w:firstLineChars="200"/>
        <w:textAlignment w:val="baseline"/>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2、绩效目标设定不够细化、量化，部分指标可衡量性、可</w:t>
      </w:r>
    </w:p>
    <w:p w14:paraId="32A8C78C">
      <w:pPr>
        <w:pStyle w:val="8"/>
        <w:keepNext w:val="0"/>
        <w:keepLines w:val="0"/>
        <w:pageBreakBefore w:val="0"/>
        <w:widowControl w:val="0"/>
        <w:numPr>
          <w:ilvl w:val="0"/>
          <w:numId w:val="0"/>
        </w:numPr>
        <w:kinsoku/>
        <w:wordWrap/>
        <w:overflowPunct/>
        <w:topLinePunct w:val="0"/>
        <w:autoSpaceDE/>
        <w:autoSpaceDN/>
        <w:bidi w:val="0"/>
        <w:adjustRightInd/>
        <w:snapToGrid/>
        <w:spacing w:line="540" w:lineRule="exact"/>
        <w:ind w:left="-360" w:leftChars="0" w:right="0" w:rightChars="0"/>
        <w:textAlignment w:val="baseline"/>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操作性不强，难以全面反映项目产出和效果；绩效过程管理薄弱，日常跟踪、动态监控不到位。</w:t>
      </w:r>
    </w:p>
    <w:p w14:paraId="1A37D787">
      <w:pPr>
        <w:pStyle w:val="8"/>
        <w:keepNext w:val="0"/>
        <w:keepLines w:val="0"/>
        <w:pageBreakBefore w:val="0"/>
        <w:widowControl w:val="0"/>
        <w:numPr>
          <w:ilvl w:val="0"/>
          <w:numId w:val="0"/>
        </w:numPr>
        <w:kinsoku/>
        <w:wordWrap/>
        <w:overflowPunct/>
        <w:topLinePunct w:val="0"/>
        <w:autoSpaceDE/>
        <w:autoSpaceDN/>
        <w:bidi w:val="0"/>
        <w:adjustRightInd/>
        <w:snapToGrid/>
        <w:spacing w:line="540" w:lineRule="exact"/>
        <w:ind w:left="-360" w:leftChars="0" w:right="0" w:rightChars="0" w:firstLine="640" w:firstLineChars="200"/>
        <w:textAlignment w:val="baseline"/>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3、预算绩效管理相关制度不够健全，流程不够清晰，责任落实不够到位；部分项目实施效果未达到预期，服务质效、群众满意度、工作保障能力仍有提升空间。</w:t>
      </w:r>
    </w:p>
    <w:p w14:paraId="1EB64E86">
      <w:pPr>
        <w:pageBreakBefore w:val="0"/>
        <w:widowControl w:val="0"/>
        <w:numPr>
          <w:ilvl w:val="0"/>
          <w:numId w:val="0"/>
        </w:numPr>
        <w:kinsoku/>
        <w:wordWrap/>
        <w:overflowPunct/>
        <w:topLinePunct w:val="0"/>
        <w:autoSpaceDE/>
        <w:autoSpaceDN/>
        <w:bidi w:val="0"/>
        <w:spacing w:line="540" w:lineRule="exact"/>
        <w:ind w:leftChars="200" w:right="0" w:rightChars="0"/>
        <w:textAlignment w:val="auto"/>
        <w:outlineLvl w:val="9"/>
        <w:rPr>
          <w:b/>
          <w:bCs/>
        </w:rPr>
      </w:pPr>
      <w:r>
        <w:rPr>
          <w:rFonts w:hint="eastAsia" w:ascii="仿宋" w:hAnsi="仿宋" w:eastAsia="仿宋"/>
          <w:b/>
          <w:bCs/>
          <w:sz w:val="32"/>
          <w:szCs w:val="32"/>
          <w:lang w:eastAsia="zh-CN"/>
        </w:rPr>
        <w:t>（二）</w:t>
      </w:r>
      <w:r>
        <w:rPr>
          <w:rFonts w:hint="eastAsia" w:ascii="仿宋" w:hAnsi="仿宋" w:eastAsia="仿宋"/>
          <w:b/>
          <w:bCs/>
          <w:sz w:val="32"/>
          <w:szCs w:val="32"/>
        </w:rPr>
        <w:t>改进措施</w:t>
      </w:r>
    </w:p>
    <w:p w14:paraId="45FEDC7E">
      <w:pPr>
        <w:pStyle w:val="8"/>
        <w:pageBreakBefore w:val="0"/>
        <w:widowControl w:val="0"/>
        <w:kinsoku/>
        <w:wordWrap/>
        <w:overflowPunct/>
        <w:topLinePunct w:val="0"/>
        <w:autoSpaceDE/>
        <w:autoSpaceDN/>
        <w:bidi w:val="0"/>
        <w:spacing w:line="540" w:lineRule="exact"/>
        <w:ind w:right="0" w:rightChars="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1、强化预算管理，提升编制与执行质效。坚持实事求是、量入为出原则，深入调研项目需求，细化测算依据，确保预算贴合实际、科学合理。</w:t>
      </w:r>
    </w:p>
    <w:p w14:paraId="3FF07402">
      <w:pPr>
        <w:pStyle w:val="8"/>
        <w:pageBreakBefore w:val="0"/>
        <w:widowControl w:val="0"/>
        <w:kinsoku/>
        <w:wordWrap/>
        <w:overflowPunct/>
        <w:topLinePunct w:val="0"/>
        <w:autoSpaceDE/>
        <w:autoSpaceDN/>
        <w:bidi w:val="0"/>
        <w:spacing w:line="540" w:lineRule="exact"/>
        <w:ind w:right="0" w:rightChars="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2、健全绩效目标管理，做实做细全过程绩效管控。按照 “能量化尽量量化、不能量化则细化”原则，完善产出指标、效益指标、满意度指标，提升可考核性。强化绩效运行监控，建立“日常跟踪 + 季度分析”机制，及时发现偏差、分析原因、限期整改，实现全过程闭环管理。</w:t>
      </w:r>
    </w:p>
    <w:p w14:paraId="6E044BE0">
      <w:pPr>
        <w:pStyle w:val="8"/>
        <w:pageBreakBefore w:val="0"/>
        <w:widowControl w:val="0"/>
        <w:kinsoku/>
        <w:wordWrap/>
        <w:overflowPunct/>
        <w:topLinePunct w:val="0"/>
        <w:autoSpaceDE/>
        <w:autoSpaceDN/>
        <w:bidi w:val="0"/>
        <w:spacing w:line="540" w:lineRule="exact"/>
        <w:ind w:right="0" w:rightChars="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3、完善制度机制，提升项目实施成效。健全预算绩效管理制度，进一步明确管理流程、责任主体、工作要求，推动绩效管理制度化、规范化。加强业务培训，提升工作人员预算管理、绩效评价业务能力。提升项目实施效果，聚焦项目核心目标，优化实施流程，强化服务保障，切实提升工作效能、管理水平和群众满意度。</w:t>
      </w:r>
    </w:p>
    <w:p w14:paraId="32328711"/>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Wingdings 3"/>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CF3C50" w:usb2="00000016" w:usb3="00000000" w:csb0="0004001F" w:csb1="00000000"/>
  </w:font>
  <w:font w:name="方正仿宋_GBK">
    <w:panose1 w:val="02000000000000000000"/>
    <w:charset w:val="86"/>
    <w:family w:val="auto"/>
    <w:pitch w:val="default"/>
    <w:sig w:usb0="00000001" w:usb1="08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CF05DC">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822C1BD">
                          <w:pPr>
                            <w:pStyle w:val="6"/>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1822C1BD">
                    <w:pPr>
                      <w:pStyle w:val="6"/>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EF69C4">
    <w:pPr>
      <w:pStyle w:val="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9DC026D"/>
    <w:multiLevelType w:val="singleLevel"/>
    <w:tmpl w:val="99DC026D"/>
    <w:lvl w:ilvl="0" w:tentative="0">
      <w:start w:val="1"/>
      <w:numFmt w:val="decimal"/>
      <w:suff w:val="nothing"/>
      <w:lvlText w:val="%1、"/>
      <w:lvlJc w:val="left"/>
    </w:lvl>
  </w:abstractNum>
  <w:abstractNum w:abstractNumId="1">
    <w:nsid w:val="0516AA81"/>
    <w:multiLevelType w:val="singleLevel"/>
    <w:tmpl w:val="0516AA81"/>
    <w:lvl w:ilvl="0" w:tentative="0">
      <w:start w:val="2"/>
      <w:numFmt w:val="chineseCounting"/>
      <w:suff w:val="nothing"/>
      <w:lvlText w:val="（%1）"/>
      <w:lvlJc w:val="left"/>
      <w:pPr>
        <w:ind w:left="642" w:leftChars="0" w:firstLine="0" w:firstLineChars="0"/>
      </w:pPr>
      <w:rPr>
        <w:rFonts w:hint="eastAsia"/>
      </w:rPr>
    </w:lvl>
  </w:abstractNum>
  <w:abstractNum w:abstractNumId="2">
    <w:nsid w:val="5E68489B"/>
    <w:multiLevelType w:val="singleLevel"/>
    <w:tmpl w:val="5E68489B"/>
    <w:lvl w:ilvl="0" w:tentative="0">
      <w:start w:val="1"/>
      <w:numFmt w:val="chineseCounting"/>
      <w:suff w:val="nothing"/>
      <w:lvlText w:val="（%1）"/>
      <w:lvlJc w:val="left"/>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48328C"/>
    <w:rsid w:val="09055EB0"/>
    <w:rsid w:val="09D0258D"/>
    <w:rsid w:val="0A670A74"/>
    <w:rsid w:val="0B0C177E"/>
    <w:rsid w:val="0B266F97"/>
    <w:rsid w:val="0BEF5D0B"/>
    <w:rsid w:val="0DEC0ECA"/>
    <w:rsid w:val="11B9174A"/>
    <w:rsid w:val="1A192CDA"/>
    <w:rsid w:val="1B664FB2"/>
    <w:rsid w:val="1C2A4281"/>
    <w:rsid w:val="1FA62A20"/>
    <w:rsid w:val="213C589A"/>
    <w:rsid w:val="231D78DF"/>
    <w:rsid w:val="241C2D32"/>
    <w:rsid w:val="246B6AA9"/>
    <w:rsid w:val="259F5623"/>
    <w:rsid w:val="26CA1E07"/>
    <w:rsid w:val="27DE0136"/>
    <w:rsid w:val="30703645"/>
    <w:rsid w:val="33772F8B"/>
    <w:rsid w:val="33C14564"/>
    <w:rsid w:val="34617B78"/>
    <w:rsid w:val="37CF510A"/>
    <w:rsid w:val="3A7407A4"/>
    <w:rsid w:val="3EAD0AB8"/>
    <w:rsid w:val="3F597081"/>
    <w:rsid w:val="42262384"/>
    <w:rsid w:val="42D76E14"/>
    <w:rsid w:val="43310C2F"/>
    <w:rsid w:val="45A50148"/>
    <w:rsid w:val="4BF4243B"/>
    <w:rsid w:val="4DD5350B"/>
    <w:rsid w:val="4E37CD53"/>
    <w:rsid w:val="4F881020"/>
    <w:rsid w:val="516E6596"/>
    <w:rsid w:val="53A503D6"/>
    <w:rsid w:val="55C23937"/>
    <w:rsid w:val="57B01463"/>
    <w:rsid w:val="61374ECF"/>
    <w:rsid w:val="62C91635"/>
    <w:rsid w:val="664F5506"/>
    <w:rsid w:val="68D10892"/>
    <w:rsid w:val="6CA270D7"/>
    <w:rsid w:val="700B7122"/>
    <w:rsid w:val="72B660A4"/>
    <w:rsid w:val="72DC1AEF"/>
    <w:rsid w:val="751B29CE"/>
    <w:rsid w:val="76714213"/>
    <w:rsid w:val="7F01169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2">
    <w:name w:val="heading 2"/>
    <w:basedOn w:val="1"/>
    <w:next w:val="1"/>
    <w:qFormat/>
    <w:uiPriority w:val="0"/>
    <w:pPr>
      <w:spacing w:beforeAutospacing="1" w:afterAutospacing="1"/>
      <w:jc w:val="left"/>
      <w:outlineLvl w:val="1"/>
    </w:pPr>
    <w:rPr>
      <w:rFonts w:hint="eastAsia" w:ascii="宋体" w:hAnsi="宋体" w:eastAsia="宋体" w:cs="Times New Roman"/>
      <w:b/>
      <w:kern w:val="0"/>
      <w:szCs w:val="36"/>
    </w:rPr>
  </w:style>
  <w:style w:type="paragraph" w:styleId="4">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11">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5">
    <w:name w:val="Body Text Indent"/>
    <w:basedOn w:val="1"/>
    <w:qFormat/>
    <w:uiPriority w:val="0"/>
    <w:pPr>
      <w:spacing w:line="360" w:lineRule="auto"/>
      <w:ind w:firstLine="200" w:firstLineChars="200"/>
      <w:textAlignment w:val="baseline"/>
    </w:pPr>
    <w:rPr>
      <w:rFonts w:hint="eastAsia" w:ascii="Times New Roman" w:hAnsi="Times New Roman" w:eastAsia="宋体" w:cs="Times New Roman"/>
      <w:sz w:val="24"/>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Body Text First Indent 2"/>
    <w:basedOn w:val="5"/>
    <w:qFormat/>
    <w:uiPriority w:val="0"/>
    <w:pPr>
      <w:ind w:firstLine="420"/>
    </w:pPr>
    <w:rPr>
      <w:rFonts w:ascii="Times New Roman" w:hAnsi="Times New Roman" w:eastAsia="宋体" w:cs="Times New Roman"/>
    </w:rPr>
  </w:style>
  <w:style w:type="table" w:styleId="10">
    <w:name w:val="Table Grid"/>
    <w:basedOn w:val="9"/>
    <w:qFormat/>
    <w:uiPriority w:val="0"/>
    <w:pPr>
      <w:widowControl w:val="0"/>
      <w:spacing w:line="600" w:lineRule="exact"/>
      <w:ind w:firstLine="200" w:firstLineChars="20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2">
    <w:name w:val="Strong"/>
    <w:basedOn w:val="11"/>
    <w:qFormat/>
    <w:uiPriority w:val="0"/>
    <w:rPr>
      <w:b/>
    </w:rPr>
  </w:style>
  <w:style w:type="paragraph" w:customStyle="1" w:styleId="13">
    <w:name w:val="Normal Indent1"/>
    <w:basedOn w:val="1"/>
    <w:next w:val="1"/>
    <w:qFormat/>
    <w:uiPriority w:val="0"/>
    <w:pPr>
      <w:wordWrap w:val="0"/>
      <w:ind w:left="3400"/>
      <w:jc w:val="both"/>
    </w:pPr>
    <w:rPr>
      <w:sz w:val="21"/>
      <w:lang w:val="en-US" w:eastAsia="zh-CN"/>
    </w:rPr>
  </w:style>
  <w:style w:type="paragraph" w:customStyle="1" w:styleId="14">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14</Pages>
  <Words>0</Words>
  <Characters>0</Characters>
  <Lines>0</Lines>
  <Paragraphs>0</Paragraphs>
  <TotalTime>4</TotalTime>
  <ScaleCrop>false</ScaleCrop>
  <LinksUpToDate>false</LinksUpToDate>
  <CharactersWithSpaces>0</CharactersWithSpaces>
  <Application>WPS Office_12.8.2.1119_F1E327BC-269C-435d-A152-05C5408002CA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2026-04-16T10:28:00Z</dcterms:created>
  <dc:creator>Administrator</dc:creator>
  <cp:lastModifiedBy>uos</cp:lastModifiedBy>
  <dcterms:modified xsi:type="dcterms:W3CDTF">2026-05-26T14:21:06Z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2052-12.8.2.1119</vt:lpwstr>
  </property>
  <property fmtid="{D5CDD505-2E9C-101B-9397-08002B2CF9AE}" pid="3" name="ICV">
    <vt:lpwstr>2668815CDDB05437D23B156A1639AAAC_42</vt:lpwstr>
  </property>
</Properties>
</file>