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EA4D4B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石家庄市鹿泉区民政局</w:t>
      </w:r>
    </w:p>
    <w:p w14:paraId="3DC899A9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671CB230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2ECCE4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贯彻落实石家庄市鹿泉区人民政府《关于全面实施预算绩效管理的实施意见》（鹿发〔2019〕8号）文件精神，遵循“科学性、规范性、客观性和公正性”的原则，对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石家庄市鹿泉区民政局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61B34B45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65B741A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6A36AE3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1、部门职能</w:t>
      </w:r>
    </w:p>
    <w:p w14:paraId="10D02D9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160"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贯彻执行民政工作的方针政策和法律法规；研究提出全区民政事业的发展规划和年度工作计划。负责全区民政信息宣传和政策理论研究工作，负责全区民政执法监督检查、行政复议工作。</w:t>
      </w:r>
    </w:p>
    <w:p w14:paraId="1E44700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160"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承担城乡社会救助体系建设；负责城乡居民最低生活保障、五保供养、临时救助和生活无着人员救助工作，以及其它特殊救济对象的救济、60年代精减退职职工40%的救济；负责指导全区敬老院的建设和管理工作。</w:t>
      </w:r>
    </w:p>
    <w:p w14:paraId="4C1B844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160"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负责全区乡（镇）、村的区域划分，地名和行政区域界线管理工作；负责审核乡（镇）的设立、撤销、乡改镇、驻地迁移等工作的调查、论证、审核、报批；负责全区地名管理工作，组织实施地名公共服务工程，承办全区乡镇、村地名命名、更名的申报和审核工作，收集、整理、更新地名资料；协助有关部门做好全区边界线的勘察和边界纠纷的调查处理工作。</w:t>
      </w:r>
    </w:p>
    <w:p w14:paraId="6EAB806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160"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拟订社会福利事业发展规划，做好各类福利机构的管理和服务工作；拟订加快养老服务社会化政策和老年福利设施建设规划；负责全区福利彩票销售管理工作。</w:t>
      </w:r>
    </w:p>
    <w:p w14:paraId="05A52CA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160"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（5）</w:t>
      </w:r>
      <w:r>
        <w:rPr>
          <w:rFonts w:hint="eastAsia" w:ascii="仿宋" w:hAnsi="仿宋" w:eastAsia="仿宋" w:cs="仿宋"/>
          <w:sz w:val="32"/>
          <w:szCs w:val="32"/>
        </w:rPr>
        <w:t>承担全区民办非企业及社团登记管理和监察责任；指导和监督全区社会团体和民办非企业单位的登记管理工作。</w:t>
      </w:r>
    </w:p>
    <w:p w14:paraId="4A86E2A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160"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（6）</w:t>
      </w:r>
      <w:r>
        <w:rPr>
          <w:rFonts w:hint="eastAsia" w:ascii="仿宋" w:hAnsi="仿宋" w:eastAsia="仿宋" w:cs="仿宋"/>
          <w:sz w:val="32"/>
          <w:szCs w:val="32"/>
        </w:rPr>
        <w:t>拟订全区慈善事业发展规划和政策，组织指导社会捐助工作；负责全区老年人、孤儿等特殊群体的权益保护行政管理工作。</w:t>
      </w:r>
    </w:p>
    <w:p w14:paraId="5788C0E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160"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（7）</w:t>
      </w:r>
      <w:r>
        <w:rPr>
          <w:rFonts w:hint="eastAsia" w:ascii="仿宋" w:hAnsi="仿宋" w:eastAsia="仿宋" w:cs="仿宋"/>
          <w:sz w:val="32"/>
          <w:szCs w:val="32"/>
        </w:rPr>
        <w:t>主管婚姻登记、殡葬管理和儿童收养工作；推行婚俗和殡葬改革工作，负责殡葬事业单位的管理建设工作。</w:t>
      </w:r>
    </w:p>
    <w:p w14:paraId="0F56E2F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160"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（8）</w:t>
      </w:r>
      <w:r>
        <w:rPr>
          <w:rFonts w:hint="eastAsia" w:ascii="仿宋" w:hAnsi="仿宋" w:eastAsia="仿宋" w:cs="仿宋"/>
          <w:sz w:val="32"/>
          <w:szCs w:val="32"/>
        </w:rPr>
        <w:t>拟订加快养服务社会化政策和老年福利设施建设规划；协调老人维权工作；组织敬老爱老活动。</w:t>
      </w:r>
    </w:p>
    <w:p w14:paraId="249128A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160"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（9）</w:t>
      </w:r>
      <w:r>
        <w:rPr>
          <w:rFonts w:hint="eastAsia" w:ascii="仿宋" w:hAnsi="仿宋" w:eastAsia="仿宋" w:cs="仿宋"/>
          <w:sz w:val="32"/>
          <w:szCs w:val="32"/>
        </w:rPr>
        <w:t>拟订全区民政事业发展规划和民政事业资金管理办法；负责民政专项资金的管理监督；负责直属单位的内部审计工作；负责民政统计工作。</w:t>
      </w:r>
    </w:p>
    <w:p w14:paraId="41349C7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160"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（10）</w:t>
      </w:r>
      <w:r>
        <w:rPr>
          <w:rFonts w:hint="eastAsia" w:ascii="仿宋" w:hAnsi="仿宋" w:eastAsia="仿宋" w:cs="仿宋"/>
          <w:sz w:val="32"/>
          <w:szCs w:val="32"/>
        </w:rPr>
        <w:t>研究制定社会工作人才队伍建设规划，会同有关部门推进社会工作人才队伍建设。</w:t>
      </w:r>
    </w:p>
    <w:p w14:paraId="38B5F697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60"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机构情况，包括当年变动情况及原因。</w:t>
      </w:r>
    </w:p>
    <w:p w14:paraId="066B7663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60" w:line="560" w:lineRule="exact"/>
        <w:ind w:firstLine="640" w:firstLineChars="200"/>
        <w:textAlignment w:val="auto"/>
        <w:rPr>
          <w:rFonts w:ascii="仿宋" w:hAnsi="仿宋" w:eastAsia="仿宋" w:cs="Times New Roman"/>
          <w:b w:val="0"/>
          <w:bCs w:val="0"/>
          <w:kern w:val="2"/>
          <w:sz w:val="32"/>
          <w:szCs w:val="32"/>
        </w:rPr>
      </w:pPr>
      <w:r>
        <w:rPr>
          <w:rFonts w:hint="eastAsia" w:ascii="仿宋" w:hAnsi="仿宋" w:eastAsia="仿宋" w:cs="Times New Roman"/>
          <w:b w:val="0"/>
          <w:bCs w:val="0"/>
          <w:kern w:val="2"/>
          <w:sz w:val="32"/>
          <w:szCs w:val="32"/>
        </w:rPr>
        <w:t>石家庄市鹿泉区民政局为财政全额拨款一级预算单位，下属</w:t>
      </w:r>
      <w:r>
        <w:rPr>
          <w:rFonts w:ascii="Calibri" w:hAnsi="Calibri" w:eastAsia="仿宋" w:cs="Calibri"/>
          <w:b w:val="0"/>
          <w:bCs w:val="0"/>
          <w:kern w:val="2"/>
          <w:sz w:val="32"/>
          <w:szCs w:val="32"/>
        </w:rPr>
        <w:t> </w:t>
      </w:r>
      <w:r>
        <w:rPr>
          <w:rFonts w:hint="eastAsia" w:ascii="仿宋" w:hAnsi="仿宋" w:eastAsia="仿宋" w:cs="Times New Roman"/>
          <w:b w:val="0"/>
          <w:bCs w:val="0"/>
          <w:kern w:val="2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Times New Roman"/>
          <w:b w:val="0"/>
          <w:bCs w:val="0"/>
          <w:kern w:val="2"/>
          <w:sz w:val="32"/>
          <w:szCs w:val="32"/>
        </w:rPr>
        <w:t>个二级预算单位，分别为：</w:t>
      </w:r>
      <w:r>
        <w:rPr>
          <w:rFonts w:hint="eastAsia" w:ascii="仿宋" w:hAnsi="仿宋" w:eastAsia="仿宋" w:cs="Times New Roman"/>
          <w:b w:val="0"/>
          <w:bCs w:val="0"/>
          <w:kern w:val="2"/>
          <w:sz w:val="32"/>
          <w:szCs w:val="32"/>
          <w:lang w:val="en-US" w:eastAsia="zh-CN"/>
        </w:rPr>
        <w:t>鹿泉区</w:t>
      </w:r>
      <w:r>
        <w:rPr>
          <w:rFonts w:hint="eastAsia" w:ascii="仿宋" w:hAnsi="仿宋" w:eastAsia="仿宋" w:cs="Times New Roman"/>
          <w:b w:val="0"/>
          <w:bCs w:val="0"/>
          <w:kern w:val="2"/>
          <w:sz w:val="32"/>
          <w:szCs w:val="32"/>
        </w:rPr>
        <w:t>殡仪馆、</w:t>
      </w:r>
      <w:r>
        <w:rPr>
          <w:rFonts w:hint="eastAsia" w:ascii="仿宋" w:hAnsi="仿宋" w:eastAsia="仿宋" w:cs="Times New Roman"/>
          <w:b w:val="0"/>
          <w:bCs w:val="0"/>
          <w:kern w:val="2"/>
          <w:sz w:val="32"/>
          <w:szCs w:val="32"/>
          <w:lang w:val="en-US" w:eastAsia="zh-CN"/>
        </w:rPr>
        <w:t>鹿泉区</w:t>
      </w:r>
      <w:r>
        <w:rPr>
          <w:rFonts w:hint="eastAsia" w:ascii="仿宋" w:hAnsi="仿宋" w:eastAsia="仿宋" w:cs="Times New Roman"/>
          <w:b w:val="0"/>
          <w:bCs w:val="0"/>
          <w:kern w:val="2"/>
          <w:sz w:val="32"/>
          <w:szCs w:val="32"/>
        </w:rPr>
        <w:t>民政事业中心服务中心</w:t>
      </w:r>
      <w:r>
        <w:rPr>
          <w:rFonts w:hint="eastAsia" w:ascii="仿宋" w:hAnsi="仿宋" w:eastAsia="仿宋" w:cs="Times New Roman"/>
          <w:b w:val="0"/>
          <w:bCs w:val="0"/>
          <w:kern w:val="2"/>
          <w:sz w:val="32"/>
          <w:szCs w:val="32"/>
          <w:lang w:eastAsia="zh-CN"/>
        </w:rPr>
        <w:t>、鹿泉区儿童福利院、鹿泉区福利彩票销售管理中心、鹿泉区救助站</w:t>
      </w:r>
      <w:r>
        <w:rPr>
          <w:rFonts w:hint="eastAsia" w:ascii="仿宋" w:hAnsi="仿宋" w:eastAsia="仿宋" w:cs="Times New Roman"/>
          <w:sz w:val="32"/>
          <w:szCs w:val="32"/>
        </w:rPr>
        <w:t>。</w:t>
      </w:r>
    </w:p>
    <w:p w14:paraId="58E7243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160"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人员情况，包括当年变动情况及原因。</w:t>
      </w:r>
    </w:p>
    <w:p w14:paraId="12DA834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160" w:line="560" w:lineRule="exact"/>
        <w:ind w:firstLine="640" w:firstLineChars="200"/>
        <w:textAlignment w:val="auto"/>
      </w:pPr>
      <w:r>
        <w:rPr>
          <w:rFonts w:hint="eastAsia" w:ascii="仿宋" w:hAnsi="仿宋" w:eastAsia="仿宋" w:cs="Times New Roman"/>
          <w:sz w:val="32"/>
          <w:szCs w:val="32"/>
          <w:highlight w:val="none"/>
        </w:rPr>
        <w:t>行政编制</w:t>
      </w:r>
      <w:r>
        <w:rPr>
          <w:rFonts w:hint="eastAsia" w:ascii="仿宋" w:hAnsi="仿宋" w:eastAsia="仿宋" w:cs="Times New Roman"/>
          <w:sz w:val="32"/>
          <w:szCs w:val="32"/>
          <w:highlight w:val="none"/>
          <w:lang w:val="en-US" w:eastAsia="zh-CN"/>
        </w:rPr>
        <w:t>10</w:t>
      </w:r>
      <w:r>
        <w:rPr>
          <w:rFonts w:hint="eastAsia" w:ascii="仿宋" w:hAnsi="仿宋" w:eastAsia="仿宋" w:cs="Times New Roman"/>
          <w:sz w:val="32"/>
          <w:szCs w:val="32"/>
          <w:highlight w:val="none"/>
        </w:rPr>
        <w:t>人、行政在职</w:t>
      </w:r>
      <w:r>
        <w:rPr>
          <w:rFonts w:hint="eastAsia" w:ascii="仿宋" w:hAnsi="仿宋" w:eastAsia="仿宋" w:cs="Times New Roman"/>
          <w:sz w:val="32"/>
          <w:szCs w:val="32"/>
          <w:highlight w:val="none"/>
          <w:lang w:val="en-US" w:eastAsia="zh-CN"/>
        </w:rPr>
        <w:t>8</w:t>
      </w:r>
      <w:r>
        <w:rPr>
          <w:rFonts w:hint="eastAsia" w:ascii="仿宋" w:hAnsi="仿宋" w:eastAsia="仿宋" w:cs="Times New Roman"/>
          <w:sz w:val="32"/>
          <w:szCs w:val="32"/>
          <w:highlight w:val="none"/>
        </w:rPr>
        <w:t>人、事业编制</w:t>
      </w:r>
      <w:r>
        <w:rPr>
          <w:rFonts w:hint="eastAsia" w:ascii="仿宋" w:hAnsi="仿宋" w:eastAsia="仿宋" w:cs="Times New Roman"/>
          <w:sz w:val="32"/>
          <w:szCs w:val="32"/>
          <w:highlight w:val="none"/>
          <w:lang w:val="en-US" w:eastAsia="zh-CN"/>
        </w:rPr>
        <w:t>38</w:t>
      </w:r>
      <w:r>
        <w:rPr>
          <w:rFonts w:hint="eastAsia" w:ascii="仿宋" w:hAnsi="仿宋" w:eastAsia="仿宋" w:cs="Times New Roman"/>
          <w:sz w:val="32"/>
          <w:szCs w:val="32"/>
          <w:highlight w:val="none"/>
        </w:rPr>
        <w:t>人、事业在职</w:t>
      </w:r>
      <w:r>
        <w:rPr>
          <w:rFonts w:hint="eastAsia" w:ascii="仿宋" w:hAnsi="仿宋" w:eastAsia="仿宋" w:cs="Times New Roman"/>
          <w:sz w:val="32"/>
          <w:szCs w:val="32"/>
          <w:highlight w:val="none"/>
          <w:lang w:val="en-US" w:eastAsia="zh-CN"/>
        </w:rPr>
        <w:t>34</w:t>
      </w:r>
      <w:r>
        <w:rPr>
          <w:rFonts w:hint="eastAsia" w:ascii="仿宋" w:hAnsi="仿宋" w:eastAsia="仿宋" w:cs="Times New Roman"/>
          <w:sz w:val="32"/>
          <w:szCs w:val="32"/>
          <w:highlight w:val="none"/>
        </w:rPr>
        <w:t>人。</w:t>
      </w:r>
    </w:p>
    <w:p w14:paraId="2ABCDBE9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 w14:paraId="000D743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本部门202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年度财政拨款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本年收入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7051.07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万元，完成年初预算的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103.61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%,比年初预算增加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245.79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万元，决算数大于预算数主要原因是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上级拨付专项资金的增加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；本年支出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7051.07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万元，完成年初预算的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103.61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%,比年初预算增加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245.79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万元，决算数大于预算数主要原因是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加大了对民生保障类项目的支出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。具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体情况如下：</w:t>
      </w:r>
    </w:p>
    <w:p w14:paraId="5532187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1.一般公共预算财政拨款本年收入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6269.33万元，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比年初预算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减少174.17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万元，主要是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项目投资资金减少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；支出完成年初预算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97.3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%，比年初预算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减少174.17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万元，主要是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项目投资资金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减少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。</w:t>
      </w:r>
    </w:p>
    <w:p w14:paraId="2DF44763">
      <w:pPr>
        <w:pStyle w:val="2"/>
      </w:pPr>
      <w:r>
        <w:rPr>
          <w:rFonts w:hint="eastAsia" w:ascii="仿宋" w:hAnsi="仿宋" w:eastAsia="仿宋" w:cs="仿宋"/>
          <w:color w:val="auto"/>
          <w:sz w:val="32"/>
          <w:szCs w:val="32"/>
        </w:rPr>
        <w:t>2.政府性基金预算财政拨款本年收入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781.74万元，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比年初预算增加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419.97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万元，主要是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项目投资资金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较上年增加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；支出完成年初预算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216.08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%，比年初预算增加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419.97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万元，主要是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项目投资资金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较上年增加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。</w:t>
      </w:r>
    </w:p>
    <w:p w14:paraId="2A4D3690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0AE6A7D0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12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总目标：细化预算编制工作，认真做好预算编制；加强财务管理，严格财务审核；抓好“三公经费”控制管理，确保民政各项业务工作任务圆满完成。</w:t>
      </w:r>
    </w:p>
    <w:p w14:paraId="1932E561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12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预决算公开：2025年，按照上级要求，我局在政府网站进行了预决算公开。</w:t>
      </w:r>
    </w:p>
    <w:p w14:paraId="6C41476D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12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资产管理：我局进一步加强资产的管理，制定了《资产管理内控制度》等制度，明确了具体责任人，完善了固定资产档案，严格报批、销审等手续，做好资产登记工作，单位无任何资产流失现象。</w:t>
      </w:r>
    </w:p>
    <w:p w14:paraId="0F2C06D6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12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三公经费控制情况：我局贯彻落实上级有关精神，严格控制“三公经费”支出，取得了良好的效果。具体情况如下：</w:t>
      </w:r>
      <w:r>
        <w:rPr>
          <w:rFonts w:hint="eastAsia" w:ascii="仿宋" w:hAnsi="仿宋" w:eastAsia="仿宋" w:cs="仿宋"/>
          <w:sz w:val="32"/>
          <w:szCs w:val="32"/>
        </w:rPr>
        <w:t>本部门202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年度“三公”经费财政拨款支出预算为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6B131B93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内部管理制度建设：健全单位财务管理制度，制订内部控制管理制度，加强对资金、物资的合理使用和管理；制定内部监督检查制度，强化内部制度执行的监督管理。</w:t>
      </w:r>
    </w:p>
    <w:p w14:paraId="22D5DE8A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项目绩效总目标完成情况：2025年我局民政领域各项业务工作任务圆满完成。</w:t>
      </w:r>
    </w:p>
    <w:p w14:paraId="40305132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从整体情况来看，我局严格按照年初预算进行部门整体支出。在支出过程中，能严格遵守各项规章制度。</w:t>
      </w:r>
    </w:p>
    <w:p w14:paraId="1285FB71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390BCED4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50888054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12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严格落实《预算法》及省、市、区绩效管理工作的有关规定，通过开展部门整体支出绩效评价，促进部门整体预算绩效管理工作水平的提升，强化部门支出责任，规范资金管理行为，提高财政资金使用效益，保障部门更好地履行职责，促进民政事业发展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4F63F5C3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根据石家庄市鹿泉区财政局《关于开展2026年绩效自评工作的通知》相关要求，对2025年部门所有区级预算项目进行绩效自评，我局收到通知后高度重视，及时召开会议对此项工作进行了安排部署，成立了分管领导任组长，办公室主任、财务负责人、会计、出纳为成员的部门预算项目绩效评价领导小组，严格按照文件要求对标对表，通过查账目、检查系统运行情况等方式，认真对照绩效自评，对区民政局2025年区级预算项目进行全方位自查自评，形成绩效评价报告。</w:t>
      </w:r>
    </w:p>
    <w:p w14:paraId="4E9ED6CE">
      <w:pPr>
        <w:numPr>
          <w:ilvl w:val="0"/>
          <w:numId w:val="1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3407328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ind w:left="0" w:leftChars="0" w:firstLine="640" w:firstLineChars="200"/>
        <w:textAlignment w:val="baseline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绩效自评方法和过程主要如下：</w:t>
      </w:r>
    </w:p>
    <w:p w14:paraId="3F8F289D">
      <w:pPr>
        <w:pStyle w:val="2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ind w:left="0" w:leftChars="0" w:firstLine="640" w:firstLineChars="200"/>
        <w:textAlignment w:val="baseline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核实数据：对2025年度部门整体支出数据的准确性、真实性进行核实，将2024年度和2025年度部门整体支出情况进行分析比较；</w:t>
      </w:r>
    </w:p>
    <w:p w14:paraId="65CA6365">
      <w:pPr>
        <w:pStyle w:val="2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ind w:left="0" w:leftChars="0" w:firstLine="640" w:firstLineChars="200"/>
        <w:textAlignment w:val="baseline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查阅资料：查阅2025年度预算安排、预算追加、资金管理、经费支出、资产管理等相关文件资料和财务凭证；</w:t>
      </w:r>
    </w:p>
    <w:p w14:paraId="37811C98">
      <w:pPr>
        <w:pStyle w:val="2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ind w:left="0" w:leftChars="0" w:firstLine="640" w:firstLineChars="200"/>
        <w:textAlignment w:val="baseline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归纳汇总：对收集的评价材料结合本单位情况进行综合分析、归纳汇总；</w:t>
      </w:r>
    </w:p>
    <w:p w14:paraId="4D9D1260">
      <w:pPr>
        <w:pStyle w:val="2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ind w:left="0" w:leftChars="0" w:firstLine="640" w:firstLineChars="200"/>
        <w:textAlignment w:val="baseline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根据评价材料结合各项评价指标进行分析评价；</w:t>
      </w:r>
    </w:p>
    <w:p w14:paraId="50D542D1">
      <w:pPr>
        <w:pStyle w:val="2"/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5、形成部门整体支出绩效自评报告。</w:t>
      </w:r>
    </w:p>
    <w:p w14:paraId="3EA383F0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220965A2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3E6A9CA9">
      <w:pPr>
        <w:pStyle w:val="9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lang w:eastAsia="zh-CN"/>
        </w:rPr>
        <w:t>认真履行“保障民生、服务社会”的基本职能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 xml:space="preserve">聚焦特殊群体，强化基本民生保障，解决好困难群众基本生活问题, </w:t>
      </w:r>
      <w:r>
        <w:rPr>
          <w:rFonts w:hint="eastAsia" w:ascii="宋体" w:hAnsi="宋体" w:eastAsia="仿宋_GB2312" w:cs="仿宋_GB2312"/>
          <w:color w:val="000000"/>
          <w:sz w:val="32"/>
          <w:szCs w:val="32"/>
          <w:lang w:val="en-US" w:eastAsia="zh-CN"/>
        </w:rPr>
        <w:t>2025年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eastAsia="zh-CN"/>
        </w:rPr>
        <w:t>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我区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2259名低保对象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发放资金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530.91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万元</w:t>
      </w:r>
      <w:r>
        <w:rPr>
          <w:rFonts w:hint="eastAsia" w:cs="仿宋_GB2312"/>
          <w:color w:val="000000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64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名特困供养人员发放基本生活补助金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731.16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eastAsia="zh-CN"/>
        </w:rPr>
        <w:t>实施临时救助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val="en-US" w:eastAsia="zh-CN"/>
        </w:rPr>
        <w:t>3586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eastAsia="zh-CN"/>
        </w:rPr>
        <w:t>人次，累计发放救助金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val="en-US" w:eastAsia="zh-CN"/>
        </w:rPr>
        <w:t>59.62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eastAsia="zh-CN"/>
        </w:rPr>
        <w:t>万元，</w:t>
      </w:r>
      <w:r>
        <w:rPr>
          <w:rFonts w:hint="eastAsia" w:ascii="宋体" w:hAnsi="宋体" w:eastAsia="仿宋_GB2312" w:cs="仿宋_GB2312"/>
          <w:color w:val="000000"/>
          <w:sz w:val="32"/>
          <w:szCs w:val="32"/>
          <w:lang w:eastAsia="zh-CN"/>
        </w:rPr>
        <w:t>不断兜牢民生底线。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开展了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“青苗计划”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爱心捐助、“小橘灯”助残接力、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“困境老人关爱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慰问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”等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形式多样的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活动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10余场，惠及1000余人次。</w:t>
      </w:r>
      <w:r>
        <w:rPr>
          <w:rFonts w:hint="eastAsia" w:cs="仿宋_GB2312"/>
          <w:b w:val="0"/>
          <w:bCs w:val="0"/>
          <w:color w:val="000000"/>
          <w:sz w:val="32"/>
          <w:szCs w:val="32"/>
          <w:highlight w:val="none"/>
          <w:lang w:eastAsia="zh-CN"/>
        </w:rPr>
        <w:t>全年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eastAsia="zh-CN"/>
        </w:rPr>
        <w:t>共募捐资金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val="en-US" w:eastAsia="zh-CN"/>
        </w:rPr>
        <w:t>91.4万元，救助1860人，弥补了政府救助缺口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大力弘扬慈善文化。</w:t>
      </w:r>
      <w:r>
        <w:rPr>
          <w:rFonts w:hint="eastAsia" w:ascii="仿宋" w:hAnsi="仿宋" w:eastAsia="仿宋" w:cs="仿宋"/>
          <w:sz w:val="32"/>
          <w:szCs w:val="32"/>
        </w:rPr>
        <w:t>大力发展社会组织、社会工作和慈善事业，扩大政府购买社会工作服务的范围，引导和支持开展社会工作服务项目，困境留守儿童的学习成绩和社会支持情况得到改善。深化改革创新，防范化解重大风险，加强作风建设，积极进取、奋发有为，努力开创新时代民政工作新局面。</w:t>
      </w:r>
    </w:p>
    <w:p w14:paraId="787028DE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73D1DD24">
      <w:pPr>
        <w:pStyle w:val="10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</w:t>
      </w:r>
      <w:r>
        <w:rPr>
          <w:rFonts w:hint="eastAsia" w:ascii="仿宋" w:hAnsi="仿宋" w:eastAsia="仿宋" w:cs="仿宋"/>
          <w:sz w:val="32"/>
          <w:szCs w:val="32"/>
        </w:rPr>
        <w:t>）筑牢困难群众基本生活保障安全网。</w:t>
      </w:r>
    </w:p>
    <w:p w14:paraId="5D050B80">
      <w:pPr>
        <w:pStyle w:val="10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绩效目标：稳步推进城乡低保扩面提标，精准落实农村困难群体特惠政策；完善特困人员供养制度，按标准发放基本生活费和护理费。</w:t>
      </w:r>
    </w:p>
    <w:p w14:paraId="612BE061">
      <w:pPr>
        <w:pStyle w:val="10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年全区城市低保、农村低保标准分别达到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10560</w:t>
      </w:r>
      <w:r>
        <w:rPr>
          <w:rFonts w:hint="eastAsia" w:ascii="仿宋" w:hAnsi="仿宋" w:eastAsia="仿宋" w:cs="仿宋"/>
          <w:sz w:val="32"/>
          <w:szCs w:val="32"/>
        </w:rPr>
        <w:t>元/年和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7920</w:t>
      </w:r>
      <w:r>
        <w:rPr>
          <w:rFonts w:hint="eastAsia" w:ascii="仿宋" w:hAnsi="仿宋" w:eastAsia="仿宋" w:cs="仿宋"/>
          <w:sz w:val="32"/>
          <w:szCs w:val="32"/>
        </w:rPr>
        <w:t>元/年左右，不低于全国平均水平；特困人员基本生活标准原则上不低于当地低保标准的1.3倍；部分或完全丧失生活自理能力的特困人员年照料护理标准，不低于所在区年最低工资标准的10%。</w:t>
      </w:r>
    </w:p>
    <w:p w14:paraId="322ED7EC">
      <w:pPr>
        <w:pStyle w:val="10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 w:cs="仿宋"/>
          <w:sz w:val="32"/>
          <w:szCs w:val="32"/>
        </w:rPr>
        <w:t>聚焦特殊群体，筑牢生活救助管理安全线。</w:t>
      </w:r>
    </w:p>
    <w:p w14:paraId="0B58DFAF">
      <w:pPr>
        <w:pStyle w:val="10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绩效目标：提高孤儿养育水平，进一步加强事实无人抚养儿童保障工作；强化对生活无着流浪乞讨人员的救助管理，保障救助管理机构良好运转；落实残疾人两项补贴制度。</w:t>
      </w:r>
    </w:p>
    <w:p w14:paraId="41798A4A">
      <w:pPr>
        <w:pStyle w:val="10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为事实无人抚养儿童发放基本生活补贴，并按照与孤儿保障标准相衔接；对申请救助且符合救助条件的人员100%实施救助，帮助查明身份的滞留流浪乞讨人员及时返乡，确保不发生非正常死亡事件；将符合条件的申请人100%纳入残疾人两项补贴制度保障范围，按标准及时、足额发放残疾人两项补贴资金。</w:t>
      </w:r>
    </w:p>
    <w:p w14:paraId="366A37A8">
      <w:pPr>
        <w:pStyle w:val="10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三</w:t>
      </w:r>
      <w:r>
        <w:rPr>
          <w:rFonts w:hint="eastAsia" w:ascii="仿宋" w:hAnsi="仿宋" w:eastAsia="仿宋" w:cs="仿宋"/>
          <w:sz w:val="32"/>
          <w:szCs w:val="32"/>
        </w:rPr>
        <w:t>）推进养老服务体系建设攻坚行动，完善相关政策措施</w:t>
      </w:r>
    </w:p>
    <w:p w14:paraId="4296FC05">
      <w:pPr>
        <w:pStyle w:val="10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绩效目标：开展养老院服务质量专项行动，着力防范养老服务领域重在风险；完善养老服务质量等级评定体系。</w:t>
      </w:r>
    </w:p>
    <w:p w14:paraId="218AA2CB">
      <w:pPr>
        <w:pStyle w:val="10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</w:rPr>
        <w:t>绩效指标：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20户特殊困难老年人家庭实施适老化改造，完成2家标准化区域养老服务中心，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因地制宜建设区级助餐点2处、乡镇级助餐点9处，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满足了广大老年人居家养老需求。</w:t>
      </w:r>
    </w:p>
    <w:p w14:paraId="471DED6A">
      <w:pPr>
        <w:pStyle w:val="10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四</w:t>
      </w:r>
      <w:r>
        <w:rPr>
          <w:rFonts w:hint="eastAsia" w:ascii="仿宋" w:hAnsi="仿宋" w:eastAsia="仿宋" w:cs="仿宋"/>
          <w:sz w:val="32"/>
          <w:szCs w:val="32"/>
        </w:rPr>
        <w:t>）社会专项事务管理服务水平稳步提升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7A8C3835">
      <w:pPr>
        <w:pStyle w:val="10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绩效目标：深化殡葬管理制度改革，扩大政府购买社会工作服务的范围，开展社会工作服务项目；及时设置地名标志牌，充分发挥地名指位导向功能，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更好地为</w:t>
      </w:r>
      <w:r>
        <w:rPr>
          <w:rFonts w:hint="eastAsia" w:ascii="仿宋" w:hAnsi="仿宋" w:eastAsia="仿宋" w:cs="仿宋"/>
          <w:sz w:val="32"/>
          <w:szCs w:val="32"/>
        </w:rPr>
        <w:t>社会提供准确的地名导向服务。</w:t>
      </w:r>
    </w:p>
    <w:p w14:paraId="34EEFFEF">
      <w:pPr>
        <w:pStyle w:val="10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</w:rPr>
        <w:t>绩效指标：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推进惠民骨灰盒工作，全年免除骨灰盒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1543个；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社会组织方面，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社会组织党委现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下辖的39个支部</w:t>
      </w:r>
      <w:r>
        <w:rPr>
          <w:rFonts w:hint="eastAsia" w:ascii="仿宋_GB2312" w:hAnsi="仿宋_GB2312" w:eastAsia="仿宋_GB2312" w:cs="仿宋_GB2312"/>
          <w:b w:val="0"/>
          <w:bCs w:val="0"/>
          <w:snapToGrid/>
          <w:color w:val="auto"/>
          <w:kern w:val="2"/>
          <w:sz w:val="32"/>
          <w:szCs w:val="32"/>
          <w:lang w:val="en-US" w:eastAsia="zh-CN" w:bidi="ar-SA"/>
        </w:rPr>
        <w:t>基本实现“两个覆盖”。持续深化组织建设，稳步提升规范管理水平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；区划地名方面，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修复损坏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街路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地名标志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76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个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编制门牌号码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36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个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，完成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2025年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鹿泉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栾城线段行政区域界线联合检查工作。</w:t>
      </w:r>
    </w:p>
    <w:p w14:paraId="0B22219C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37700A7B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604EF2FA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47599079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0CDF52F6">
      <w:pPr>
        <w:pStyle w:val="2"/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预算过程绩效管理制度体系不健全，需进一步完善；全面推进预算绩效管理工作贯彻不到位，需进一步加强；对自身预算绩效管理不到位，需进一步落实；各业务股室填报预算数字存在不准确，需进一步细致。究其原因：一是经办人员业务能力有待提高；二是预算执行和绩效管理的监督管理不到位。</w:t>
      </w:r>
    </w:p>
    <w:p w14:paraId="6E347A8A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48638C58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一是加强领导，精心组织，逐步推开，实现编制预算绩效目标全覆盖。</w:t>
      </w:r>
    </w:p>
    <w:p w14:paraId="105D089A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二是完善相关制度，推进制度落实。</w:t>
      </w:r>
    </w:p>
    <w:p w14:paraId="5DBD23D3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三是细化预算编制工作，认真做好预算编制。</w:t>
      </w:r>
    </w:p>
    <w:p w14:paraId="23D05C4F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四是加强财务管理，严格财务审核。</w:t>
      </w:r>
    </w:p>
    <w:p w14:paraId="0D5B6A8E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五是加强项目开展进度的跟踪，开展项目事前、事中、事后绩效跟踪评价。</w:t>
      </w:r>
    </w:p>
    <w:p w14:paraId="7A3CB79A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12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六、评价工作组人员名单及签字（姓名、工作单位、职务、职称）</w:t>
      </w:r>
    </w:p>
    <w:p w14:paraId="4B327AE5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12" w:lineRule="auto"/>
        <w:ind w:left="0" w:leftChars="0" w:right="0"/>
        <w:jc w:val="center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评价工作组人员名单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7"/>
        <w:gridCol w:w="1995"/>
        <w:gridCol w:w="2535"/>
        <w:gridCol w:w="1545"/>
        <w:gridCol w:w="1249"/>
      </w:tblGrid>
      <w:tr w14:paraId="26B4DD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37" w:type="dxa"/>
            <w:vAlign w:val="center"/>
          </w:tcPr>
          <w:p w14:paraId="67CD4BB0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center"/>
              <w:rPr>
                <w:rFonts w:hint="default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vertAlign w:val="baseline"/>
                <w:lang w:val="en-US" w:eastAsia="zh-CN"/>
              </w:rPr>
              <w:t>姓  名</w:t>
            </w:r>
          </w:p>
        </w:tc>
        <w:tc>
          <w:tcPr>
            <w:tcW w:w="1995" w:type="dxa"/>
            <w:vAlign w:val="center"/>
          </w:tcPr>
          <w:p w14:paraId="3452105E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center"/>
              <w:rPr>
                <w:rFonts w:hint="default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2535" w:type="dxa"/>
            <w:vAlign w:val="center"/>
          </w:tcPr>
          <w:p w14:paraId="4C23DA17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center"/>
              <w:rPr>
                <w:rFonts w:hint="default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vertAlign w:val="baseline"/>
                <w:lang w:val="en-US" w:eastAsia="zh-CN"/>
              </w:rPr>
              <w:t>职    务</w:t>
            </w:r>
          </w:p>
        </w:tc>
        <w:tc>
          <w:tcPr>
            <w:tcW w:w="1545" w:type="dxa"/>
            <w:vAlign w:val="center"/>
          </w:tcPr>
          <w:p w14:paraId="72CF06EB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center"/>
              <w:rPr>
                <w:rFonts w:hint="default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vertAlign w:val="baseline"/>
                <w:lang w:val="en-US" w:eastAsia="zh-CN"/>
              </w:rPr>
              <w:t>签  字</w:t>
            </w:r>
          </w:p>
        </w:tc>
        <w:tc>
          <w:tcPr>
            <w:tcW w:w="1249" w:type="dxa"/>
            <w:vAlign w:val="center"/>
          </w:tcPr>
          <w:p w14:paraId="2DFE6515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center"/>
              <w:rPr>
                <w:rFonts w:hint="default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vertAlign w:val="baseline"/>
                <w:lang w:val="en-US" w:eastAsia="zh-CN"/>
              </w:rPr>
              <w:t>备 注</w:t>
            </w:r>
          </w:p>
        </w:tc>
      </w:tr>
      <w:tr w14:paraId="34963B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37" w:type="dxa"/>
            <w:vAlign w:val="center"/>
          </w:tcPr>
          <w:p w14:paraId="2F9CD5AB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both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bookmarkStart w:id="0" w:name="OLE_LINK7"/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刘景坤</w:t>
            </w:r>
            <w:bookmarkEnd w:id="0"/>
          </w:p>
        </w:tc>
        <w:tc>
          <w:tcPr>
            <w:tcW w:w="1995" w:type="dxa"/>
            <w:vAlign w:val="center"/>
          </w:tcPr>
          <w:p w14:paraId="12FC3A47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both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鹿泉区民政局</w:t>
            </w:r>
          </w:p>
        </w:tc>
        <w:tc>
          <w:tcPr>
            <w:tcW w:w="2535" w:type="dxa"/>
            <w:vAlign w:val="center"/>
          </w:tcPr>
          <w:p w14:paraId="08CB2105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both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党组成员、三级主任科员</w:t>
            </w:r>
          </w:p>
        </w:tc>
        <w:tc>
          <w:tcPr>
            <w:tcW w:w="1545" w:type="dxa"/>
            <w:vAlign w:val="center"/>
          </w:tcPr>
          <w:p w14:paraId="0C4CF301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both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刘景坤</w:t>
            </w:r>
          </w:p>
        </w:tc>
        <w:tc>
          <w:tcPr>
            <w:tcW w:w="1249" w:type="dxa"/>
            <w:vAlign w:val="center"/>
          </w:tcPr>
          <w:p w14:paraId="31554CF2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both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22B5C9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37" w:type="dxa"/>
            <w:vAlign w:val="center"/>
          </w:tcPr>
          <w:p w14:paraId="27520C5B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both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侯亚楠</w:t>
            </w:r>
          </w:p>
        </w:tc>
        <w:tc>
          <w:tcPr>
            <w:tcW w:w="1995" w:type="dxa"/>
            <w:vAlign w:val="center"/>
          </w:tcPr>
          <w:p w14:paraId="1FF2F776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both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鹿泉区民政局</w:t>
            </w:r>
          </w:p>
        </w:tc>
        <w:tc>
          <w:tcPr>
            <w:tcW w:w="2535" w:type="dxa"/>
            <w:vAlign w:val="center"/>
          </w:tcPr>
          <w:p w14:paraId="57E6BBA4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both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党组成员</w:t>
            </w:r>
          </w:p>
        </w:tc>
        <w:tc>
          <w:tcPr>
            <w:tcW w:w="1545" w:type="dxa"/>
            <w:vAlign w:val="center"/>
          </w:tcPr>
          <w:p w14:paraId="23165A45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both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侯亚楠</w:t>
            </w:r>
          </w:p>
        </w:tc>
        <w:tc>
          <w:tcPr>
            <w:tcW w:w="1249" w:type="dxa"/>
            <w:vAlign w:val="center"/>
          </w:tcPr>
          <w:p w14:paraId="6DE738B3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both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15570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37" w:type="dxa"/>
            <w:vAlign w:val="center"/>
          </w:tcPr>
          <w:p w14:paraId="6589FAC0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both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bookmarkStart w:id="1" w:name="OLE_LINK8"/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魏  晓</w:t>
            </w:r>
            <w:bookmarkEnd w:id="1"/>
          </w:p>
        </w:tc>
        <w:tc>
          <w:tcPr>
            <w:tcW w:w="1995" w:type="dxa"/>
            <w:vAlign w:val="center"/>
          </w:tcPr>
          <w:p w14:paraId="45BD06FB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both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鹿泉区民政局</w:t>
            </w:r>
          </w:p>
        </w:tc>
        <w:tc>
          <w:tcPr>
            <w:tcW w:w="2535" w:type="dxa"/>
            <w:vAlign w:val="center"/>
          </w:tcPr>
          <w:p w14:paraId="05595C91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both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财务工作负责人</w:t>
            </w:r>
          </w:p>
        </w:tc>
        <w:tc>
          <w:tcPr>
            <w:tcW w:w="1545" w:type="dxa"/>
            <w:vAlign w:val="center"/>
          </w:tcPr>
          <w:p w14:paraId="1CC91ECA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both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魏  晓</w:t>
            </w:r>
          </w:p>
        </w:tc>
        <w:tc>
          <w:tcPr>
            <w:tcW w:w="1249" w:type="dxa"/>
            <w:vAlign w:val="center"/>
          </w:tcPr>
          <w:p w14:paraId="35B5E0D5">
            <w:pPr>
              <w:pStyle w:val="2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312" w:lineRule="auto"/>
              <w:jc w:val="both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</w:p>
        </w:tc>
      </w:tr>
    </w:tbl>
    <w:p w14:paraId="48F28EB8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default"/>
          <w:lang w:val="en-US" w:eastAsia="zh-CN"/>
        </w:rPr>
      </w:pPr>
    </w:p>
    <w:p w14:paraId="26FC0C23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default"/>
          <w:lang w:val="en-US" w:eastAsia="zh-CN"/>
        </w:rPr>
      </w:pPr>
    </w:p>
    <w:p w14:paraId="352E9A6A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rPr>
          <w:rFonts w:hint="default"/>
          <w:lang w:val="en-US" w:eastAsia="zh-CN"/>
        </w:rPr>
      </w:pPr>
    </w:p>
    <w:p w14:paraId="497026C7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ind w:left="0" w:leftChars="0" w:firstLine="0" w:firstLineChars="0"/>
        <w:jc w:val="righ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2" w:name="_GoBack"/>
      <w:bookmarkEnd w:id="2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石家庄市鹿泉区民政局</w:t>
      </w:r>
    </w:p>
    <w:p w14:paraId="6A44E4CA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spacing w:line="312" w:lineRule="auto"/>
        <w:ind w:left="0" w:leftChars="0" w:firstLine="6080" w:firstLineChars="19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2026年5月8日</w:t>
      </w:r>
    </w:p>
    <w:p w14:paraId="6AC1970F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34AE3A">
    <w:pPr>
      <w:pStyle w:val="4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01FDC19C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DC026D"/>
    <w:multiLevelType w:val="singleLevel"/>
    <w:tmpl w:val="99DC026D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B713F"/>
    <w:rsid w:val="00376610"/>
    <w:rsid w:val="007B43E1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E00E65"/>
    <w:rsid w:val="00F441CC"/>
    <w:rsid w:val="01B104CA"/>
    <w:rsid w:val="02106AB0"/>
    <w:rsid w:val="02B43A28"/>
    <w:rsid w:val="03B629A7"/>
    <w:rsid w:val="046F331E"/>
    <w:rsid w:val="07956271"/>
    <w:rsid w:val="09721397"/>
    <w:rsid w:val="0BB63BED"/>
    <w:rsid w:val="0CDD0FA5"/>
    <w:rsid w:val="0EB97A43"/>
    <w:rsid w:val="0EBD2122"/>
    <w:rsid w:val="0F214EAE"/>
    <w:rsid w:val="11494E5B"/>
    <w:rsid w:val="11B71E6A"/>
    <w:rsid w:val="1AAF0063"/>
    <w:rsid w:val="1BE140DE"/>
    <w:rsid w:val="243E45C7"/>
    <w:rsid w:val="248C197D"/>
    <w:rsid w:val="252959AF"/>
    <w:rsid w:val="277A6671"/>
    <w:rsid w:val="292D35B7"/>
    <w:rsid w:val="32650F71"/>
    <w:rsid w:val="32817910"/>
    <w:rsid w:val="32F42FBE"/>
    <w:rsid w:val="33D97E69"/>
    <w:rsid w:val="33EB6CFF"/>
    <w:rsid w:val="35A12947"/>
    <w:rsid w:val="37387040"/>
    <w:rsid w:val="3B625C0A"/>
    <w:rsid w:val="3CEE1963"/>
    <w:rsid w:val="436B78D3"/>
    <w:rsid w:val="47B24801"/>
    <w:rsid w:val="48DD53FB"/>
    <w:rsid w:val="4C9C27FE"/>
    <w:rsid w:val="4E524648"/>
    <w:rsid w:val="512260B4"/>
    <w:rsid w:val="529E3A37"/>
    <w:rsid w:val="52BD6ACB"/>
    <w:rsid w:val="54480953"/>
    <w:rsid w:val="55537534"/>
    <w:rsid w:val="561A74F1"/>
    <w:rsid w:val="58255193"/>
    <w:rsid w:val="597244E8"/>
    <w:rsid w:val="5EB71C30"/>
    <w:rsid w:val="66AF0CE5"/>
    <w:rsid w:val="66EE6690"/>
    <w:rsid w:val="6AC537CF"/>
    <w:rsid w:val="6E5B14A6"/>
    <w:rsid w:val="711B255E"/>
    <w:rsid w:val="7403605F"/>
    <w:rsid w:val="7B876E2F"/>
    <w:rsid w:val="7BB51E06"/>
    <w:rsid w:val="7C387F7C"/>
    <w:rsid w:val="7D4023B4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/>
    </w:pPr>
    <w:rPr>
      <w:rFonts w:ascii="Times New Roman" w:hAnsi="Times New Roman" w:eastAsia="宋体" w:cs="Times New Roman"/>
    </w:rPr>
  </w:style>
  <w:style w:type="paragraph" w:styleId="3">
    <w:name w:val="Body Text Indent"/>
    <w:basedOn w:val="1"/>
    <w:unhideWhenUsed/>
    <w:qFormat/>
    <w:uiPriority w:val="99"/>
    <w:pPr>
      <w:spacing w:line="360" w:lineRule="auto"/>
      <w:ind w:firstLine="200" w:firstLineChars="200"/>
      <w:textAlignment w:val="baseline"/>
    </w:pPr>
    <w:rPr>
      <w:rFonts w:hint="eastAsia" w:ascii="Times New Roman" w:hAnsi="Times New Roman" w:eastAsia="宋体" w:cs="Times New Roman"/>
      <w:sz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9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579</Words>
  <Characters>596</Characters>
  <Lines>4</Lines>
  <Paragraphs>1</Paragraphs>
  <TotalTime>0</TotalTime>
  <ScaleCrop>false</ScaleCrop>
  <LinksUpToDate>false</LinksUpToDate>
  <CharactersWithSpaces>618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魏晓</cp:lastModifiedBy>
  <cp:lastPrinted>2024-03-06T07:40:00Z</cp:lastPrinted>
  <dcterms:modified xsi:type="dcterms:W3CDTF">2026-05-08T08:08:56Z</dcterms:modified>
  <dc:title>附件3：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eyJoZGlkIjoiM2EzOGQ1ZTk3OTJhOWVkZDMzNzZkYjM2YzFhMzZmZTciLCJ1c2VySWQiOiIxNzQ5OTY2OTEyIn0=</vt:lpwstr>
  </property>
</Properties>
</file>