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AFD1B1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bookmarkStart w:id="2" w:name="_GoBack"/>
      <w:bookmarkEnd w:id="2"/>
      <w:r>
        <w:rPr>
          <w:rFonts w:hint="eastAsia" w:ascii="黑体" w:hAnsi="黑体" w:eastAsia="黑体"/>
          <w:sz w:val="32"/>
          <w:szCs w:val="32"/>
        </w:rPr>
        <w:t>附件3</w:t>
      </w:r>
    </w:p>
    <w:p w14:paraId="630C59CD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6BDDF9E4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石家庄市鹿泉区融媒体中心</w:t>
      </w:r>
    </w:p>
    <w:p w14:paraId="53BBCFB8">
      <w:pPr>
        <w:spacing w:line="560" w:lineRule="exact"/>
        <w:jc w:val="center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671CB230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52ECCE4D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区委、区政府</w:t>
      </w:r>
      <w:r>
        <w:rPr>
          <w:rFonts w:hint="eastAsia" w:ascii="仿宋" w:hAnsi="仿宋" w:eastAsia="仿宋"/>
          <w:sz w:val="32"/>
          <w:szCs w:val="32"/>
        </w:rPr>
        <w:t>《关于全面实施预算绩效管理的实施意见》（鹿发〔2019〕8号）文件精神，遵循“科学性、规范性、客观性和公正性”的原则，对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石家庄市鹿泉区融媒体中心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61B34B45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365B741A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328E05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石家庄市鹿泉区融媒体中心系全额拨款事业单位，办公场所位于石柏南大街11号众和商务楼1号办公楼，现有在职在编35人。单位主要负责全区各类新闻资讯的采集和编辑</w:t>
      </w:r>
      <w:bookmarkStart w:id="0" w:name="（二）宣传上级党委、政府的决策部署、中心工作及重点工作，宣传本地党委和政府的工作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；宣传上级党委、政府的决策部署、中心工作及重点工作，宣传本地党委和政府的工作安排，传播本地政经资讯；</w:t>
      </w:r>
      <w:bookmarkStart w:id="1" w:name="（三）向基层干部群众提供政务服务、生活服务、社会传播、教育培训等综合服务等。"/>
      <w:bookmarkEnd w:id="1"/>
      <w:r>
        <w:rPr>
          <w:rFonts w:hint="eastAsia" w:ascii="仿宋" w:hAnsi="仿宋" w:eastAsia="仿宋"/>
          <w:sz w:val="32"/>
          <w:szCs w:val="32"/>
          <w:lang w:val="en-US" w:eastAsia="zh-CN"/>
        </w:rPr>
        <w:t>向基层干部群众提供政务服务、生活服务、社会传播、教育培训综合服务等。</w:t>
      </w:r>
    </w:p>
    <w:p w14:paraId="7C459F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石家庄市鹿泉区全媒体服务保障中心系融媒体中心下属单位，属于自收自支事业单位，现有在职在编46人。单位主要为中心工作提供保障服务。</w:t>
      </w:r>
    </w:p>
    <w:p w14:paraId="2ABCDBE9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6A8C45D2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2025年度共下达专项资金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119.39</w:t>
      </w:r>
      <w:r>
        <w:rPr>
          <w:rFonts w:hint="eastAsia" w:ascii="仿宋" w:hAnsi="仿宋" w:eastAsia="仿宋"/>
          <w:sz w:val="32"/>
          <w:szCs w:val="32"/>
          <w:highlight w:val="none"/>
        </w:rPr>
        <w:t>万元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，其中军队退役人员劳务派遣工资5.24万元，融媒体专项业务经费12.06万元，电力物业宽带保障经费20.82万元，融媒体中心场地租赁费70万元，2025年原乡镇机线员生活补贴1.27万元，冀云县级平台基础资源费10万元，全部专项资金由财政拨发。</w:t>
      </w:r>
    </w:p>
    <w:p w14:paraId="2A4D3690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5C9CB001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）总体绩效目标</w:t>
      </w:r>
    </w:p>
    <w:p w14:paraId="12DC797E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融媒体中心以习近平新时代中国特色社会主义思想为指导，按照“引导群众、服务群众”的总要求，推动我区媒体转型升级，加快实现各种媒介资源、生产要素有效融合，推动信息内容、技术应用、平台终端和管理服务共享融通，重构采编发体系，优化采编发流程，提高信息供给质量和针对性，发挥好教育引导群众、服务生产生活的积极作用。</w:t>
      </w:r>
    </w:p>
    <w:p w14:paraId="38FAC2A0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分项绩效目标</w:t>
      </w:r>
    </w:p>
    <w:p w14:paraId="505C3D39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一、</w:t>
      </w:r>
      <w:r>
        <w:rPr>
          <w:rFonts w:hint="eastAsia" w:ascii="仿宋" w:hAnsi="仿宋" w:eastAsia="仿宋"/>
          <w:sz w:val="32"/>
          <w:szCs w:val="32"/>
        </w:rPr>
        <w:t>广播电视事业建设</w:t>
      </w:r>
    </w:p>
    <w:p w14:paraId="0C387F53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1、广播电视节目制作播出</w:t>
      </w:r>
    </w:p>
    <w:p w14:paraId="5C104E91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宣传党的路线、方针、政策和区委、区政府的工作部署，坚持正确舆论导向，发挥主流媒体作用；开展新闻宣传，办好各类广播电视节目；配合上级台完成我区的采访报道工作并提供各类节目；承担区委、区政府形象宣传片及专题片的创作生产；完成电台、电视台自播新闻、专题、文艺节目的采、编、播工作。研发新节目，打造品牌活动；媒体识别度和影响力进一步提升，收听收看群体</w:t>
      </w:r>
      <w:r>
        <w:rPr>
          <w:rFonts w:hint="eastAsia" w:ascii="仿宋" w:hAnsi="仿宋" w:eastAsia="仿宋"/>
          <w:sz w:val="32"/>
          <w:szCs w:val="32"/>
          <w:lang w:eastAsia="zh-CN"/>
        </w:rPr>
        <w:t>进一步</w:t>
      </w:r>
      <w:r>
        <w:rPr>
          <w:rFonts w:hint="eastAsia" w:ascii="仿宋" w:hAnsi="仿宋" w:eastAsia="仿宋"/>
          <w:sz w:val="32"/>
          <w:szCs w:val="32"/>
        </w:rPr>
        <w:t>扩大。</w:t>
      </w:r>
    </w:p>
    <w:p w14:paraId="705F241F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</w:rPr>
        <w:t>绩效指标：</w:t>
      </w:r>
      <w:r>
        <w:rPr>
          <w:rFonts w:hint="eastAsia" w:ascii="仿宋" w:hAnsi="仿宋" w:eastAsia="仿宋"/>
          <w:sz w:val="32"/>
          <w:szCs w:val="32"/>
          <w:highlight w:val="none"/>
        </w:rPr>
        <w:t>对上宣传报道量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1434</w:t>
      </w:r>
      <w:r>
        <w:rPr>
          <w:rFonts w:hint="eastAsia" w:ascii="仿宋" w:hAnsi="仿宋" w:eastAsia="仿宋"/>
          <w:sz w:val="32"/>
          <w:szCs w:val="32"/>
          <w:highlight w:val="none"/>
        </w:rPr>
        <w:t>条、本台自播新闻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1468</w:t>
      </w:r>
      <w:r>
        <w:rPr>
          <w:rFonts w:hint="eastAsia" w:ascii="仿宋" w:hAnsi="仿宋" w:eastAsia="仿宋"/>
          <w:sz w:val="32"/>
          <w:szCs w:val="32"/>
          <w:highlight w:val="none"/>
        </w:rPr>
        <w:t>条、专题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栏目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2个</w:t>
      </w:r>
      <w:r>
        <w:rPr>
          <w:rFonts w:hint="eastAsia" w:ascii="仿宋" w:hAnsi="仿宋" w:eastAsia="仿宋"/>
          <w:sz w:val="32"/>
          <w:szCs w:val="32"/>
          <w:highlight w:val="none"/>
        </w:rPr>
        <w:t>。</w:t>
      </w:r>
    </w:p>
    <w:p w14:paraId="181C5E30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2、广播电视节目制作能力建设</w:t>
      </w:r>
    </w:p>
    <w:p w14:paraId="3A7E2533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绩效目标：通过技术升级，实现台内资源互通互享，提高节目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制作能</w:t>
      </w:r>
      <w:r>
        <w:rPr>
          <w:rFonts w:hint="eastAsia" w:ascii="仿宋" w:hAnsi="仿宋" w:eastAsia="仿宋"/>
          <w:sz w:val="32"/>
          <w:szCs w:val="32"/>
          <w:highlight w:val="none"/>
        </w:rPr>
        <w:t>力和传播能力；拓展新媒体传播途径，开拓新型业务。</w:t>
      </w:r>
    </w:p>
    <w:p w14:paraId="3AAE25C7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绩效指标：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直播活动数量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76场次</w:t>
      </w:r>
      <w:r>
        <w:rPr>
          <w:rFonts w:hint="eastAsia" w:ascii="仿宋" w:hAnsi="仿宋" w:eastAsia="仿宋"/>
          <w:sz w:val="32"/>
          <w:szCs w:val="32"/>
          <w:highlight w:val="none"/>
        </w:rPr>
        <w:t>。</w:t>
      </w:r>
    </w:p>
    <w:p w14:paraId="535A1E5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3、安全播出管理</w:t>
      </w:r>
    </w:p>
    <w:p w14:paraId="704BE0E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绩效目标：建立起完备的广播电视安全播出保障体系，加强维护和演练。</w:t>
      </w:r>
    </w:p>
    <w:p w14:paraId="7899A3AE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绩效指标：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广电设备正常运转率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95%以上</w:t>
      </w:r>
      <w:r>
        <w:rPr>
          <w:rFonts w:hint="eastAsia" w:ascii="仿宋" w:hAnsi="仿宋" w:eastAsia="仿宋"/>
          <w:sz w:val="32"/>
          <w:szCs w:val="32"/>
          <w:highlight w:val="none"/>
        </w:rPr>
        <w:t>。</w:t>
      </w:r>
    </w:p>
    <w:p w14:paraId="4D220F02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二、政务管理</w:t>
      </w:r>
    </w:p>
    <w:p w14:paraId="49053858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1、综合业务管理</w:t>
      </w:r>
    </w:p>
    <w:p w14:paraId="0F07F51F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绩效目标：确保各项业务工作谋划到位、顺利开展；保障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中心</w:t>
      </w:r>
      <w:r>
        <w:rPr>
          <w:rFonts w:hint="eastAsia" w:ascii="仿宋" w:hAnsi="仿宋" w:eastAsia="仿宋"/>
          <w:sz w:val="32"/>
          <w:szCs w:val="32"/>
          <w:highlight w:val="none"/>
        </w:rPr>
        <w:t>工作正常高效运转。</w:t>
      </w:r>
    </w:p>
    <w:p w14:paraId="2ACD7CE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  <w:highlight w:val="yellow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绩效指标：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使用人员满意度</w:t>
      </w:r>
      <w:r>
        <w:rPr>
          <w:rFonts w:hint="eastAsia" w:ascii="仿宋" w:hAnsi="仿宋" w:eastAsia="仿宋"/>
          <w:sz w:val="32"/>
          <w:szCs w:val="32"/>
          <w:highlight w:val="none"/>
        </w:rPr>
        <w:t>95%以上。</w:t>
      </w:r>
    </w:p>
    <w:p w14:paraId="1285FB71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24094663">
      <w:pPr>
        <w:spacing w:line="560" w:lineRule="exact"/>
        <w:ind w:firstLine="642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72335751">
      <w:pPr>
        <w:spacing w:line="560" w:lineRule="exact"/>
        <w:ind w:firstLine="642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中心高度重视绩效自评工作，成立专项自评工作组，组织相关人员系统学习预算绩效管理政策文件与评价标准，准确把握自评工作要求。结合中心实际，修订完善绩效评价指标体系，细化评分细则。严格按照 “收集资料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ascii="仿宋" w:hAnsi="仿宋" w:eastAsia="仿宋"/>
          <w:sz w:val="32"/>
          <w:szCs w:val="32"/>
        </w:rPr>
        <w:t>数据核实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ascii="仿宋" w:hAnsi="仿宋" w:eastAsia="仿宋"/>
          <w:sz w:val="32"/>
          <w:szCs w:val="32"/>
        </w:rPr>
        <w:t>分析研判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ascii="仿宋" w:hAnsi="仿宋" w:eastAsia="仿宋"/>
          <w:sz w:val="32"/>
          <w:szCs w:val="32"/>
        </w:rPr>
        <w:t>自评打分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ascii="仿宋" w:hAnsi="仿宋" w:eastAsia="仿宋"/>
          <w:sz w:val="32"/>
          <w:szCs w:val="32"/>
        </w:rPr>
        <w:t>复核校验”流程推进，确保自评工作组织到位、流程规范。</w:t>
      </w:r>
    </w:p>
    <w:p w14:paraId="4E9ED6CE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1D1095E1">
      <w:pPr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本次自评严格坚持 “客观、公正、科学、规范” 原则，以年度预算、绩效目标、财务凭证、业务台账、工作总结等为依据，综合运用比较分析法、因素分析法、成本效益分析法等方法，对部门整体支出的经济性、效率性、效果性进行全面核查与综合评价。自评过程中，严格审核佐证材料真实性、完整性，确保数据真实准确、评价结论客观公允。</w:t>
      </w:r>
      <w:r>
        <w:rPr>
          <w:rFonts w:hint="eastAsia" w:ascii="黑体" w:hAnsi="黑体" w:eastAsia="黑体"/>
          <w:sz w:val="32"/>
          <w:szCs w:val="32"/>
        </w:rPr>
        <w:t xml:space="preserve"> </w:t>
      </w:r>
    </w:p>
    <w:p w14:paraId="3EA383F0">
      <w:pPr>
        <w:spacing w:line="560" w:lineRule="exact"/>
        <w:ind w:firstLine="640" w:firstLineChars="200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三、部门整体支出绩效目标实现情况及指标分析</w:t>
      </w:r>
    </w:p>
    <w:p w14:paraId="220965A2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6EF13C32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2025 年度，中心严格执行财政专项资金预算，资金管理规范、使用高效，各项工作按计划圆满完成。融媒体宣传主阵地作用充分发挥，媒体融合持续深化，技术保障坚实有力，政务服务与民生服务效能稳步提升。各</w:t>
      </w:r>
      <w:r>
        <w:rPr>
          <w:rFonts w:hint="eastAsia" w:ascii="仿宋" w:hAnsi="仿宋" w:eastAsia="仿宋"/>
          <w:sz w:val="32"/>
          <w:szCs w:val="32"/>
          <w:lang w:eastAsia="zh-CN"/>
        </w:rPr>
        <w:t>部</w:t>
      </w:r>
      <w:r>
        <w:rPr>
          <w:rFonts w:ascii="仿宋" w:hAnsi="仿宋" w:eastAsia="仿宋"/>
          <w:sz w:val="32"/>
          <w:szCs w:val="32"/>
        </w:rPr>
        <w:t>室对整体支出保障效果满意度较高，经自检自查，各项职能指标均基本完成，2025 年度部门整体支出绩效自评结果为优秀。</w:t>
      </w:r>
    </w:p>
    <w:p w14:paraId="787028DE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0D1D1C29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（1）军队退役人员劳务派遣工资项目自评综述：根据年初设定的绩效目标，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全年预算数5.24万元，执行数5.24万元，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完成预算的100%。项目绩效目标全面完成，军队退役人员劳务派遣工资按时足额发放，保障相关人员合法权益，维护队伍稳定。下一步改进措施：进一步细化产出指标，提升绩效量化水平。</w:t>
      </w:r>
    </w:p>
    <w:p w14:paraId="742278C4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2）融媒体专项业务经费项目绩效自评综述：根据年初设定的绩效目标，全年预算调整数12.06万元，执行数12.06万元，完成预算的100%。项目绩效目标全面完成，有效保障广电专用设备日常运维与正常运转，高质量完成各项宣传报道任务，及时传递区委区政府政策精神，持续打造《鹿泉新闻》等优质电视栏目，舆论引导效能显著。下一步改进措施：细化产出指标，完善成本管控指标，提升资金使用效益。</w:t>
      </w:r>
    </w:p>
    <w:p w14:paraId="4E964F3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3）电力物业宽带保障经费项目绩效自评综述：根据年初设定的绩效目标，全年预算数20.82万元，执行数20.82万元，完成预算的100%。项目绩效目标全面完成，有效保障专业设备电力供应稳定，确保各类设备安全正常运行。下一步改进措施：细化产出指标，完善成本指标。</w:t>
      </w:r>
    </w:p>
    <w:p w14:paraId="1AD3916A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4）融媒体中心场地租赁费项目绩效自评综述：根据年初设定的绩效目标，全年预算调整数70万元，执行数70万元，完成预算的100%。项目绩效目标全面完成，有效保障融媒体中心办公场所正常使用与整体运转。下一步改进措施：细化产出指标，完善成本指标。</w:t>
      </w:r>
    </w:p>
    <w:p w14:paraId="1F3B11C3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5）2025年原乡镇机线员生活补贴项目绩效自评综述：根据年初设定的绩效目标，全年预算数1.27万元，执行数1.27万元，完成预算的100%。项目绩效目标全面完成，按时足额发放生活补贴，切实提升原乡镇机线员生活保障水平。下一步改进措施：细化产出指标，完善成本指标。</w:t>
      </w:r>
    </w:p>
    <w:p w14:paraId="219754C2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（6）冀云县级平台基础资源费项目绩效自评综述：根据年初设定的绩效目标，全年预算调整数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10万元，执行数10万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元，完成预算的100%。项目绩效目标全面完成，有效保障冀云县级平台稳定运行与正常使用。下一步改进措施：细化产出指标，完善成本指标。</w:t>
      </w:r>
    </w:p>
    <w:p w14:paraId="0B22219C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tbl>
      <w:tblPr>
        <w:tblStyle w:val="8"/>
        <w:tblW w:w="884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20"/>
        <w:gridCol w:w="1595"/>
        <w:gridCol w:w="1833"/>
      </w:tblGrid>
      <w:tr w14:paraId="2842CA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5420" w:type="dxa"/>
            <w:vAlign w:val="top"/>
          </w:tcPr>
          <w:p w14:paraId="5A14243E">
            <w:pPr>
              <w:pStyle w:val="7"/>
              <w:spacing w:before="41" w:line="208" w:lineRule="auto"/>
              <w:ind w:left="1809"/>
              <w:jc w:val="both"/>
            </w:pPr>
            <w:r>
              <w:rPr>
                <w:spacing w:val="-5"/>
              </w:rPr>
              <w:t>项目名称</w:t>
            </w:r>
          </w:p>
        </w:tc>
        <w:tc>
          <w:tcPr>
            <w:tcW w:w="1595" w:type="dxa"/>
            <w:vAlign w:val="top"/>
          </w:tcPr>
          <w:p w14:paraId="0198155A">
            <w:pPr>
              <w:pStyle w:val="7"/>
              <w:spacing w:before="41" w:line="208" w:lineRule="auto"/>
              <w:ind w:left="474"/>
              <w:jc w:val="both"/>
            </w:pPr>
            <w:r>
              <w:rPr>
                <w:spacing w:val="-16"/>
              </w:rPr>
              <w:t>自评得分</w:t>
            </w:r>
          </w:p>
        </w:tc>
        <w:tc>
          <w:tcPr>
            <w:tcW w:w="1833" w:type="dxa"/>
            <w:vAlign w:val="top"/>
          </w:tcPr>
          <w:p w14:paraId="7C272E12">
            <w:pPr>
              <w:pStyle w:val="7"/>
              <w:spacing w:before="41" w:line="208" w:lineRule="auto"/>
              <w:ind w:firstLine="460" w:firstLineChars="200"/>
              <w:jc w:val="both"/>
            </w:pPr>
            <w:r>
              <w:rPr>
                <w:spacing w:val="-5"/>
              </w:rPr>
              <w:t>评价等级</w:t>
            </w:r>
          </w:p>
        </w:tc>
      </w:tr>
      <w:tr w14:paraId="0171DE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5420" w:type="dxa"/>
            <w:vAlign w:val="top"/>
          </w:tcPr>
          <w:p w14:paraId="5327570A">
            <w:pPr>
              <w:pStyle w:val="7"/>
              <w:spacing w:before="171" w:line="222" w:lineRule="auto"/>
              <w:jc w:val="center"/>
            </w:pPr>
            <w:r>
              <w:t>军队退役人员劳务派遣工资</w:t>
            </w:r>
          </w:p>
        </w:tc>
        <w:tc>
          <w:tcPr>
            <w:tcW w:w="1595" w:type="dxa"/>
            <w:vAlign w:val="top"/>
          </w:tcPr>
          <w:p w14:paraId="6AA881C4">
            <w:pPr>
              <w:pStyle w:val="7"/>
              <w:spacing w:before="212" w:line="180" w:lineRule="auto"/>
              <w:jc w:val="center"/>
              <w:rPr>
                <w:rFonts w:hint="default" w:eastAsia="仿宋"/>
                <w:lang w:val="en-US" w:eastAsia="zh-CN"/>
              </w:rPr>
            </w:pPr>
            <w:r>
              <w:rPr>
                <w:rFonts w:hint="eastAsia"/>
                <w:spacing w:val="-5"/>
                <w:lang w:val="en-US" w:eastAsia="zh-CN"/>
              </w:rPr>
              <w:t>100</w:t>
            </w:r>
          </w:p>
        </w:tc>
        <w:tc>
          <w:tcPr>
            <w:tcW w:w="1833" w:type="dxa"/>
            <w:vAlign w:val="top"/>
          </w:tcPr>
          <w:p w14:paraId="284389DB">
            <w:pPr>
              <w:pStyle w:val="7"/>
              <w:spacing w:before="171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 w14:paraId="11EA51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5420" w:type="dxa"/>
            <w:vAlign w:val="top"/>
          </w:tcPr>
          <w:p w14:paraId="12D56614">
            <w:pPr>
              <w:pStyle w:val="7"/>
              <w:spacing w:before="172" w:line="223" w:lineRule="auto"/>
              <w:jc w:val="center"/>
            </w:pPr>
            <w:r>
              <w:rPr>
                <w:rFonts w:hint="eastAsia"/>
                <w:spacing w:val="-2"/>
                <w:lang w:eastAsia="zh-CN"/>
              </w:rPr>
              <w:t>融媒体专项业务经费</w:t>
            </w:r>
          </w:p>
        </w:tc>
        <w:tc>
          <w:tcPr>
            <w:tcW w:w="1595" w:type="dxa"/>
            <w:vAlign w:val="top"/>
          </w:tcPr>
          <w:p w14:paraId="243631FB">
            <w:pPr>
              <w:pStyle w:val="7"/>
              <w:spacing w:before="213" w:line="180" w:lineRule="auto"/>
              <w:jc w:val="center"/>
              <w:rPr>
                <w:rFonts w:hint="default" w:eastAsia="仿宋"/>
                <w:lang w:val="en-US" w:eastAsia="zh-CN"/>
              </w:rPr>
            </w:pPr>
            <w:r>
              <w:rPr>
                <w:rFonts w:hint="eastAsia"/>
                <w:spacing w:val="-5"/>
                <w:lang w:val="en-US" w:eastAsia="zh-CN"/>
              </w:rPr>
              <w:t>100</w:t>
            </w:r>
          </w:p>
        </w:tc>
        <w:tc>
          <w:tcPr>
            <w:tcW w:w="1833" w:type="dxa"/>
            <w:vAlign w:val="top"/>
          </w:tcPr>
          <w:p w14:paraId="3A928663">
            <w:pPr>
              <w:pStyle w:val="7"/>
              <w:spacing w:before="172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 w14:paraId="3E3E86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5420" w:type="dxa"/>
            <w:vAlign w:val="top"/>
          </w:tcPr>
          <w:p w14:paraId="0D257BDB">
            <w:pPr>
              <w:pStyle w:val="7"/>
              <w:spacing w:before="174" w:line="222" w:lineRule="auto"/>
              <w:jc w:val="center"/>
            </w:pPr>
            <w:r>
              <w:rPr>
                <w:rFonts w:hint="eastAsia"/>
                <w:lang w:val="en-US" w:eastAsia="zh-CN"/>
              </w:rPr>
              <w:t>电力物业宽带保障经费</w:t>
            </w:r>
          </w:p>
        </w:tc>
        <w:tc>
          <w:tcPr>
            <w:tcW w:w="1595" w:type="dxa"/>
            <w:vAlign w:val="top"/>
          </w:tcPr>
          <w:p w14:paraId="532B6FEF">
            <w:pPr>
              <w:pStyle w:val="7"/>
              <w:spacing w:before="214" w:line="181" w:lineRule="auto"/>
              <w:jc w:val="center"/>
              <w:rPr>
                <w:rFonts w:hint="default" w:eastAsia="仿宋"/>
                <w:lang w:val="en-US" w:eastAsia="zh-CN"/>
              </w:rPr>
            </w:pPr>
            <w:r>
              <w:rPr>
                <w:rFonts w:hint="eastAsia"/>
                <w:spacing w:val="-9"/>
                <w:lang w:val="en-US" w:eastAsia="zh-CN"/>
              </w:rPr>
              <w:t>100</w:t>
            </w:r>
          </w:p>
        </w:tc>
        <w:tc>
          <w:tcPr>
            <w:tcW w:w="1833" w:type="dxa"/>
            <w:vAlign w:val="top"/>
          </w:tcPr>
          <w:p w14:paraId="296746C6">
            <w:pPr>
              <w:pStyle w:val="7"/>
              <w:spacing w:before="174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 w14:paraId="3B5FD0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5420" w:type="dxa"/>
            <w:vAlign w:val="top"/>
          </w:tcPr>
          <w:p w14:paraId="3A62CC2A">
            <w:pPr>
              <w:pStyle w:val="7"/>
              <w:spacing w:before="172" w:line="222" w:lineRule="auto"/>
              <w:jc w:val="center"/>
            </w:pPr>
            <w:r>
              <w:rPr>
                <w:rFonts w:hint="eastAsia"/>
                <w:lang w:val="en-US" w:eastAsia="zh-CN"/>
              </w:rPr>
              <w:t>融媒体中心场地租赁费</w:t>
            </w:r>
          </w:p>
        </w:tc>
        <w:tc>
          <w:tcPr>
            <w:tcW w:w="1595" w:type="dxa"/>
            <w:vAlign w:val="top"/>
          </w:tcPr>
          <w:p w14:paraId="3D36462B">
            <w:pPr>
              <w:pStyle w:val="7"/>
              <w:spacing w:before="213" w:line="181" w:lineRule="auto"/>
              <w:jc w:val="center"/>
            </w:pPr>
            <w:r>
              <w:rPr>
                <w:spacing w:val="-9"/>
              </w:rPr>
              <w:t>100</w:t>
            </w:r>
          </w:p>
        </w:tc>
        <w:tc>
          <w:tcPr>
            <w:tcW w:w="1833" w:type="dxa"/>
            <w:vAlign w:val="top"/>
          </w:tcPr>
          <w:p w14:paraId="7F875789">
            <w:pPr>
              <w:pStyle w:val="7"/>
              <w:spacing w:before="173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 w14:paraId="3A68EA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5420" w:type="dxa"/>
            <w:vAlign w:val="top"/>
          </w:tcPr>
          <w:p w14:paraId="2BDEF8AA">
            <w:pPr>
              <w:pStyle w:val="7"/>
              <w:spacing w:before="172" w:line="222" w:lineRule="auto"/>
              <w:jc w:val="center"/>
            </w:pPr>
            <w:r>
              <w:rPr>
                <w:rFonts w:hint="eastAsia"/>
                <w:lang w:val="en-US" w:eastAsia="zh-CN"/>
              </w:rPr>
              <w:t>2025年原乡镇机线员生活补贴</w:t>
            </w:r>
          </w:p>
        </w:tc>
        <w:tc>
          <w:tcPr>
            <w:tcW w:w="1595" w:type="dxa"/>
            <w:vAlign w:val="top"/>
          </w:tcPr>
          <w:p w14:paraId="6723D86D">
            <w:pPr>
              <w:pStyle w:val="7"/>
              <w:spacing w:before="214" w:line="181" w:lineRule="auto"/>
              <w:jc w:val="center"/>
            </w:pPr>
            <w:r>
              <w:rPr>
                <w:spacing w:val="-9"/>
              </w:rPr>
              <w:t>100</w:t>
            </w:r>
          </w:p>
        </w:tc>
        <w:tc>
          <w:tcPr>
            <w:tcW w:w="1833" w:type="dxa"/>
            <w:vAlign w:val="top"/>
          </w:tcPr>
          <w:p w14:paraId="6E80F8DB">
            <w:pPr>
              <w:pStyle w:val="7"/>
              <w:spacing w:before="174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 w14:paraId="47D2CA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5420" w:type="dxa"/>
            <w:vAlign w:val="top"/>
          </w:tcPr>
          <w:p w14:paraId="190814CE">
            <w:pPr>
              <w:pStyle w:val="7"/>
              <w:spacing w:before="176" w:line="222" w:lineRule="auto"/>
              <w:jc w:val="center"/>
            </w:pPr>
            <w:r>
              <w:rPr>
                <w:rFonts w:hint="eastAsia"/>
                <w:lang w:val="en-US" w:eastAsia="zh-CN"/>
              </w:rPr>
              <w:t>冀云县级平台基础资源费</w:t>
            </w:r>
          </w:p>
        </w:tc>
        <w:tc>
          <w:tcPr>
            <w:tcW w:w="1595" w:type="dxa"/>
            <w:vAlign w:val="top"/>
          </w:tcPr>
          <w:p w14:paraId="29DC42F4">
            <w:pPr>
              <w:pStyle w:val="7"/>
              <w:spacing w:before="216" w:line="181" w:lineRule="auto"/>
              <w:jc w:val="center"/>
            </w:pPr>
            <w:r>
              <w:rPr>
                <w:spacing w:val="-9"/>
              </w:rPr>
              <w:t>100</w:t>
            </w:r>
          </w:p>
        </w:tc>
        <w:tc>
          <w:tcPr>
            <w:tcW w:w="1833" w:type="dxa"/>
            <w:vAlign w:val="top"/>
          </w:tcPr>
          <w:p w14:paraId="11881E8E">
            <w:pPr>
              <w:pStyle w:val="7"/>
              <w:spacing w:before="176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</w:tbl>
    <w:p w14:paraId="314AB42D">
      <w:pPr>
        <w:wordWrap w:val="0"/>
        <w:adjustRightInd w:val="0"/>
        <w:snapToGrid w:val="0"/>
        <w:spacing w:line="560" w:lineRule="exact"/>
        <w:ind w:firstLine="640" w:firstLineChars="200"/>
        <w:jc w:val="righ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634BE617">
      <w:pPr>
        <w:wordWrap w:val="0"/>
        <w:adjustRightInd w:val="0"/>
        <w:snapToGrid w:val="0"/>
        <w:spacing w:line="560" w:lineRule="exact"/>
        <w:ind w:firstLine="640" w:firstLineChars="200"/>
        <w:jc w:val="right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石家庄市鹿泉区融媒体中心    </w:t>
      </w:r>
    </w:p>
    <w:p w14:paraId="2AE23805">
      <w:pPr>
        <w:wordWrap w:val="0"/>
        <w:adjustRightInd w:val="0"/>
        <w:snapToGrid w:val="0"/>
        <w:spacing w:line="560" w:lineRule="exact"/>
        <w:ind w:firstLine="640" w:firstLineChars="200"/>
        <w:jc w:val="right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2026年5月8日        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34AE3A">
    <w:pPr>
      <w:pStyle w:val="2"/>
    </w:pPr>
    <w:r>
      <w:pict>
        <v:shape id="Quad Arrow 3073" o:spid="_x0000_s3073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01FDC19C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27333EE9"/>
    <w:multiLevelType w:val="singleLevel"/>
    <w:tmpl w:val="27333EE9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,3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B713F"/>
    <w:rsid w:val="00376610"/>
    <w:rsid w:val="007B43E1"/>
    <w:rsid w:val="007E6C1F"/>
    <w:rsid w:val="008E3731"/>
    <w:rsid w:val="00956A93"/>
    <w:rsid w:val="009E575C"/>
    <w:rsid w:val="009F674E"/>
    <w:rsid w:val="00AF167E"/>
    <w:rsid w:val="00AF566A"/>
    <w:rsid w:val="00B478EA"/>
    <w:rsid w:val="00B6553A"/>
    <w:rsid w:val="00BC6576"/>
    <w:rsid w:val="00C66976"/>
    <w:rsid w:val="00CE06BA"/>
    <w:rsid w:val="00E00E65"/>
    <w:rsid w:val="00F441CC"/>
    <w:rsid w:val="01B104CA"/>
    <w:rsid w:val="01DD3C4D"/>
    <w:rsid w:val="02106AB0"/>
    <w:rsid w:val="02B43A28"/>
    <w:rsid w:val="046F331E"/>
    <w:rsid w:val="07956271"/>
    <w:rsid w:val="09721397"/>
    <w:rsid w:val="0A741009"/>
    <w:rsid w:val="0B552AA6"/>
    <w:rsid w:val="0BB04180"/>
    <w:rsid w:val="0BB63BED"/>
    <w:rsid w:val="0E0F33E0"/>
    <w:rsid w:val="0EB97A43"/>
    <w:rsid w:val="0EBD2122"/>
    <w:rsid w:val="0F214EAE"/>
    <w:rsid w:val="0F955B67"/>
    <w:rsid w:val="10637A13"/>
    <w:rsid w:val="11B71E6A"/>
    <w:rsid w:val="13877CA6"/>
    <w:rsid w:val="13F60B9E"/>
    <w:rsid w:val="15B61D16"/>
    <w:rsid w:val="171C140F"/>
    <w:rsid w:val="1AAF0063"/>
    <w:rsid w:val="1BE140DE"/>
    <w:rsid w:val="1D062A71"/>
    <w:rsid w:val="1EF65EF6"/>
    <w:rsid w:val="2100305C"/>
    <w:rsid w:val="213F3B84"/>
    <w:rsid w:val="248C197D"/>
    <w:rsid w:val="252959AF"/>
    <w:rsid w:val="277A6671"/>
    <w:rsid w:val="28844573"/>
    <w:rsid w:val="292D35B7"/>
    <w:rsid w:val="2DFB7085"/>
    <w:rsid w:val="2E494C37"/>
    <w:rsid w:val="31E00A6C"/>
    <w:rsid w:val="326A47D9"/>
    <w:rsid w:val="32817910"/>
    <w:rsid w:val="32CE4D68"/>
    <w:rsid w:val="33EB6CFF"/>
    <w:rsid w:val="35A12947"/>
    <w:rsid w:val="367B6FB5"/>
    <w:rsid w:val="37387040"/>
    <w:rsid w:val="3B625C0A"/>
    <w:rsid w:val="3C723EBB"/>
    <w:rsid w:val="3CEE1963"/>
    <w:rsid w:val="4231537A"/>
    <w:rsid w:val="42DA32B5"/>
    <w:rsid w:val="436B78D3"/>
    <w:rsid w:val="453C0257"/>
    <w:rsid w:val="490966A2"/>
    <w:rsid w:val="497E2BEC"/>
    <w:rsid w:val="4C6F2CC0"/>
    <w:rsid w:val="4C9C27FE"/>
    <w:rsid w:val="4F075432"/>
    <w:rsid w:val="4FEE5DF0"/>
    <w:rsid w:val="50A078EC"/>
    <w:rsid w:val="50A76ECD"/>
    <w:rsid w:val="512260B4"/>
    <w:rsid w:val="52BD6ACB"/>
    <w:rsid w:val="54300F87"/>
    <w:rsid w:val="55537534"/>
    <w:rsid w:val="561A74F1"/>
    <w:rsid w:val="58255193"/>
    <w:rsid w:val="58262DCD"/>
    <w:rsid w:val="58461706"/>
    <w:rsid w:val="597244E8"/>
    <w:rsid w:val="5C3830CF"/>
    <w:rsid w:val="5D0B2591"/>
    <w:rsid w:val="5D753EAF"/>
    <w:rsid w:val="5DE96CD5"/>
    <w:rsid w:val="5EB71C30"/>
    <w:rsid w:val="608E7761"/>
    <w:rsid w:val="61954B1F"/>
    <w:rsid w:val="63DF02D4"/>
    <w:rsid w:val="65D8147F"/>
    <w:rsid w:val="669453A6"/>
    <w:rsid w:val="66AF0CE5"/>
    <w:rsid w:val="683E1A6D"/>
    <w:rsid w:val="68953657"/>
    <w:rsid w:val="6AC537CF"/>
    <w:rsid w:val="6E054DDB"/>
    <w:rsid w:val="6E5B14A6"/>
    <w:rsid w:val="703F45D4"/>
    <w:rsid w:val="711B255E"/>
    <w:rsid w:val="71D376CA"/>
    <w:rsid w:val="740578E3"/>
    <w:rsid w:val="758962F1"/>
    <w:rsid w:val="75C86E1A"/>
    <w:rsid w:val="770C0F88"/>
    <w:rsid w:val="78E57CE3"/>
    <w:rsid w:val="79490272"/>
    <w:rsid w:val="797C23F5"/>
    <w:rsid w:val="79865022"/>
    <w:rsid w:val="7ACC2F08"/>
    <w:rsid w:val="7B810CFC"/>
    <w:rsid w:val="7BB51E06"/>
    <w:rsid w:val="7C387F7C"/>
    <w:rsid w:val="7C9F3D2B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styleId="6">
    <w:name w:val="Strong"/>
    <w:basedOn w:val="5"/>
    <w:qFormat/>
    <w:uiPriority w:val="0"/>
    <w:rPr>
      <w:b/>
    </w:rPr>
  </w:style>
  <w:style w:type="paragraph" w:customStyle="1" w:styleId="7">
    <w:name w:val="Table Text"/>
    <w:basedOn w:val="1"/>
    <w:semiHidden/>
    <w:qFormat/>
    <w:uiPriority w:val="0"/>
    <w:rPr>
      <w:rFonts w:ascii="仿宋" w:hAnsi="仿宋" w:eastAsia="仿宋" w:cs="仿宋"/>
      <w:sz w:val="24"/>
      <w:szCs w:val="24"/>
      <w:lang w:val="en-US" w:eastAsia="en-US" w:bidi="ar-SA"/>
    </w:rPr>
  </w:style>
  <w:style w:type="table" w:customStyle="1" w:styleId="8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2352</Words>
  <Characters>2473</Characters>
  <Lines>4</Lines>
  <Paragraphs>1</Paragraphs>
  <TotalTime>344</TotalTime>
  <ScaleCrop>false</ScaleCrop>
  <LinksUpToDate>false</LinksUpToDate>
  <CharactersWithSpaces>2498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鹿泉新媒体</cp:lastModifiedBy>
  <cp:lastPrinted>2026-05-09T02:47:36Z</cp:lastPrinted>
  <dcterms:modified xsi:type="dcterms:W3CDTF">2026-05-09T03:06:47Z</dcterms:modified>
  <dc:title>附件3：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eyJoZGlkIjoiZjgxNmMyMWJlNGMxMmU4ZGY0Y2NkZGI5ZjQ4ODE4OTQiLCJ1c2VySWQiOiIxMTk4NzYzNzE0In0=</vt:lpwstr>
  </property>
</Properties>
</file>