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E0E2F6">
      <w:pPr>
        <w:adjustRightInd w:val="0"/>
        <w:snapToGrid w:val="0"/>
        <w:spacing w:line="560" w:lineRule="exact"/>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rPr>
        <w:t>附件</w:t>
      </w:r>
      <w:r>
        <w:rPr>
          <w:rFonts w:hint="eastAsia" w:ascii="黑体" w:hAnsi="黑体" w:eastAsia="黑体" w:cs="黑体"/>
          <w:color w:val="auto"/>
          <w:sz w:val="32"/>
          <w:szCs w:val="32"/>
          <w:lang w:val="en-US" w:eastAsia="zh-CN"/>
        </w:rPr>
        <w:t>3</w:t>
      </w:r>
    </w:p>
    <w:p w14:paraId="3045DECB">
      <w:pPr>
        <w:spacing w:line="560" w:lineRule="exact"/>
        <w:jc w:val="center"/>
        <w:rPr>
          <w:rFonts w:ascii="宋体" w:hAnsi="宋体" w:cs="宋体"/>
          <w:b/>
          <w:bCs/>
          <w:color w:val="auto"/>
          <w:sz w:val="44"/>
          <w:szCs w:val="44"/>
        </w:rPr>
      </w:pPr>
    </w:p>
    <w:p w14:paraId="517A430D">
      <w:pPr>
        <w:spacing w:line="560" w:lineRule="exact"/>
        <w:jc w:val="center"/>
        <w:rPr>
          <w:rFonts w:hint="eastAsia" w:ascii="宋体" w:hAnsi="宋体" w:cs="宋体"/>
          <w:b/>
          <w:bCs/>
          <w:color w:val="auto"/>
          <w:sz w:val="44"/>
          <w:szCs w:val="44"/>
        </w:rPr>
      </w:pPr>
      <w:r>
        <w:rPr>
          <w:rFonts w:hint="eastAsia" w:ascii="宋体" w:hAnsi="宋体" w:cs="宋体"/>
          <w:b/>
          <w:bCs/>
          <w:color w:val="auto"/>
          <w:sz w:val="44"/>
          <w:szCs w:val="44"/>
          <w:lang w:val="en-US" w:eastAsia="zh-CN"/>
        </w:rPr>
        <w:t>石家庄市鹿泉区消防救援大队</w:t>
      </w:r>
    </w:p>
    <w:p w14:paraId="73B3A174">
      <w:pPr>
        <w:spacing w:line="560" w:lineRule="exact"/>
        <w:jc w:val="center"/>
        <w:rPr>
          <w:rFonts w:ascii="宋体" w:hAnsi="宋体" w:cs="宋体"/>
          <w:b/>
          <w:bCs/>
          <w:color w:val="auto"/>
          <w:sz w:val="44"/>
          <w:szCs w:val="44"/>
        </w:rPr>
      </w:pPr>
      <w:r>
        <w:rPr>
          <w:rFonts w:hint="eastAsia" w:ascii="宋体" w:hAnsi="宋体" w:cs="宋体"/>
          <w:b/>
          <w:bCs/>
          <w:color w:val="auto"/>
          <w:sz w:val="44"/>
          <w:szCs w:val="44"/>
        </w:rPr>
        <w:t>202</w:t>
      </w:r>
      <w:r>
        <w:rPr>
          <w:rFonts w:hint="eastAsia" w:ascii="宋体" w:hAnsi="宋体" w:cs="宋体"/>
          <w:b/>
          <w:bCs/>
          <w:color w:val="auto"/>
          <w:sz w:val="44"/>
          <w:szCs w:val="44"/>
          <w:lang w:val="en-US" w:eastAsia="zh-CN"/>
        </w:rPr>
        <w:t>5</w:t>
      </w:r>
      <w:r>
        <w:rPr>
          <w:rFonts w:hint="eastAsia" w:ascii="宋体" w:hAnsi="宋体" w:cs="宋体"/>
          <w:b/>
          <w:bCs/>
          <w:color w:val="auto"/>
          <w:sz w:val="44"/>
          <w:szCs w:val="44"/>
        </w:rPr>
        <w:t>年度整体支出绩效自评报告</w:t>
      </w:r>
    </w:p>
    <w:p w14:paraId="4F6CE655">
      <w:pPr>
        <w:spacing w:line="560" w:lineRule="exact"/>
        <w:jc w:val="center"/>
        <w:rPr>
          <w:rFonts w:ascii="华文楷体" w:eastAsia="华文楷体"/>
          <w:color w:val="auto"/>
          <w:sz w:val="32"/>
          <w:szCs w:val="32"/>
        </w:rPr>
      </w:pPr>
    </w:p>
    <w:p w14:paraId="7802852D">
      <w:pPr>
        <w:widowControl w:val="0"/>
        <w:wordWrap/>
        <w:spacing w:line="560" w:lineRule="exact"/>
        <w:ind w:left="0" w:leftChars="0" w:right="0"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贯彻落实</w:t>
      </w:r>
      <w:r>
        <w:rPr>
          <w:rFonts w:hint="eastAsia" w:ascii="仿宋" w:hAnsi="仿宋" w:eastAsia="仿宋" w:cs="仿宋"/>
          <w:color w:val="auto"/>
          <w:sz w:val="32"/>
          <w:szCs w:val="32"/>
          <w:lang w:eastAsia="zh-CN"/>
        </w:rPr>
        <w:t>石家庄市鹿泉区人民政府《关于全面实施预算绩效管理的实施意见》（鹿发</w:t>
      </w:r>
      <w:r>
        <w:rPr>
          <w:rFonts w:hint="eastAsia" w:ascii="仿宋" w:hAnsi="仿宋" w:eastAsia="仿宋" w:cs="仿宋"/>
          <w:color w:val="auto"/>
          <w:sz w:val="32"/>
          <w:szCs w:val="32"/>
        </w:rPr>
        <w:t>〔20</w:t>
      </w:r>
      <w:r>
        <w:rPr>
          <w:rFonts w:hint="eastAsia" w:ascii="仿宋" w:hAnsi="仿宋" w:eastAsia="仿宋" w:cs="仿宋"/>
          <w:color w:val="auto"/>
          <w:sz w:val="32"/>
          <w:szCs w:val="32"/>
          <w:lang w:val="en-US" w:eastAsia="zh-CN"/>
        </w:rPr>
        <w:t>19</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8号</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文件精神，遵循“科学性、规范性、客观性和公正性”的原则，对</w:t>
      </w:r>
      <w:r>
        <w:rPr>
          <w:rFonts w:hint="eastAsia" w:ascii="仿宋" w:hAnsi="仿宋" w:eastAsia="仿宋" w:cs="仿宋"/>
          <w:color w:val="auto"/>
          <w:sz w:val="32"/>
          <w:szCs w:val="32"/>
          <w:lang w:val="en-US" w:eastAsia="zh-CN"/>
        </w:rPr>
        <w:t>石家庄市鹿泉区消防救援大队</w:t>
      </w: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年整体支出情况实施了财政支出绩效自评价，形成本评价报告。</w:t>
      </w:r>
    </w:p>
    <w:p w14:paraId="06EEA6E0">
      <w:pPr>
        <w:adjustRightInd w:val="0"/>
        <w:snapToGrid w:val="0"/>
        <w:spacing w:line="560" w:lineRule="exact"/>
        <w:rPr>
          <w:rFonts w:ascii="黑体" w:hAnsi="黑体" w:eastAsia="黑体"/>
          <w:b/>
          <w:bCs/>
          <w:color w:val="auto"/>
          <w:sz w:val="32"/>
          <w:szCs w:val="36"/>
        </w:rPr>
      </w:pPr>
      <w:r>
        <w:rPr>
          <w:rFonts w:hint="eastAsia" w:ascii="黑体" w:hAnsi="黑体" w:eastAsia="黑体"/>
          <w:color w:val="auto"/>
          <w:sz w:val="32"/>
          <w:szCs w:val="32"/>
        </w:rPr>
        <w:t xml:space="preserve">     一、部门</w:t>
      </w:r>
      <w:r>
        <w:rPr>
          <w:rFonts w:hint="eastAsia" w:ascii="黑体" w:hAnsi="黑体" w:eastAsia="黑体"/>
          <w:color w:val="auto"/>
          <w:sz w:val="32"/>
          <w:szCs w:val="36"/>
        </w:rPr>
        <w:t>基本情况</w:t>
      </w:r>
    </w:p>
    <w:p w14:paraId="0F98919E">
      <w:pPr>
        <w:adjustRightInd w:val="0"/>
        <w:snapToGrid w:val="0"/>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（一）部门概况</w:t>
      </w:r>
    </w:p>
    <w:p w14:paraId="398FE302">
      <w:pPr>
        <w:widowControl w:val="0"/>
        <w:wordWrap/>
        <w:spacing w:line="560" w:lineRule="exact"/>
        <w:ind w:left="0" w:leftChars="0" w:right="0"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1.结合鹿泉区实际情况，研判火灾形势，组织召开消防工作会议，部署调度重点消防工作。</w:t>
      </w:r>
    </w:p>
    <w:p w14:paraId="611AF991">
      <w:pPr>
        <w:widowControl w:val="0"/>
        <w:wordWrap/>
        <w:spacing w:line="560" w:lineRule="exact"/>
        <w:ind w:left="0" w:leftChars="0" w:right="0"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2.组织开展日常防火工作，推动我区各</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各单位落实消防安全责任制；组织开展消防宣传教育培训工作，提高社会群众消防法制观念、消防安全意识和火灾防控水平；组织开展安全生产宣传教育工作，增强全民安全意识。</w:t>
      </w:r>
    </w:p>
    <w:p w14:paraId="4B84AE44">
      <w:pPr>
        <w:widowControl w:val="0"/>
        <w:wordWrap/>
        <w:spacing w:line="560" w:lineRule="exact"/>
        <w:ind w:left="0" w:leftChars="0" w:right="0"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3.积极开展消防人员的岗位练兵活动，进行消防技术训练和灭火救援演习，并有效配备消防设施、器材，妥善维护、保养，使之处于良好状态，提高灭火救援作战水平，完成好灭火救援和各项消防安全保卫任务。</w:t>
      </w:r>
    </w:p>
    <w:p w14:paraId="30F6FD3B">
      <w:pPr>
        <w:widowControl w:val="0"/>
        <w:wordWrap/>
        <w:spacing w:line="560" w:lineRule="exact"/>
        <w:ind w:left="0" w:leftChars="0" w:right="0"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4.协调有关</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开展消防宣传教育，推动相关</w:t>
      </w:r>
      <w:r>
        <w:rPr>
          <w:rFonts w:hint="eastAsia" w:ascii="仿宋" w:hAnsi="仿宋" w:eastAsia="仿宋" w:cs="仿宋"/>
          <w:color w:val="auto"/>
          <w:sz w:val="32"/>
          <w:szCs w:val="32"/>
          <w:lang w:eastAsia="zh-CN"/>
        </w:rPr>
        <w:t>单位</w:t>
      </w:r>
      <w:r>
        <w:rPr>
          <w:rFonts w:hint="eastAsia" w:ascii="仿宋" w:hAnsi="仿宋" w:eastAsia="仿宋" w:cs="仿宋"/>
          <w:color w:val="auto"/>
          <w:sz w:val="32"/>
          <w:szCs w:val="32"/>
        </w:rPr>
        <w:t>加强公共消防基础设施建设，督促相关单位认真落实消防法规、政策，消除火灾隐患。</w:t>
      </w:r>
    </w:p>
    <w:p w14:paraId="3C5D7ABF">
      <w:pPr>
        <w:widowControl w:val="0"/>
        <w:wordWrap/>
        <w:spacing w:line="560" w:lineRule="exact"/>
        <w:ind w:left="0" w:leftChars="0" w:right="0"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火灾形势持续平稳。通过构筑社会消防安全“防火墙”，提高社会单位消防安全“四个能力”，夯实城镇、农村、社区火灾防控基础，遏制较大以上火灾事故，坚决防止重特大火灾事故、杜绝群死群伤火灾事故发生。</w:t>
      </w:r>
    </w:p>
    <w:p w14:paraId="13840D35">
      <w:pPr>
        <w:widowControl w:val="0"/>
        <w:wordWrap/>
        <w:spacing w:line="560" w:lineRule="exact"/>
        <w:ind w:left="0" w:leftChars="0" w:right="0"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.应急救援水平进一步提升。确保紧急情况下第一时间保障到位。</w:t>
      </w:r>
    </w:p>
    <w:p w14:paraId="450B30F4">
      <w:pPr>
        <w:widowControl w:val="0"/>
        <w:wordWrap/>
        <w:spacing w:line="560" w:lineRule="exact"/>
        <w:ind w:left="0" w:leftChars="0" w:right="0"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7</w:t>
      </w:r>
      <w:r>
        <w:rPr>
          <w:rFonts w:hint="eastAsia" w:ascii="仿宋" w:hAnsi="仿宋" w:eastAsia="仿宋" w:cs="仿宋"/>
          <w:color w:val="auto"/>
          <w:sz w:val="32"/>
          <w:szCs w:val="32"/>
        </w:rPr>
        <w:t>.公共消防基础建设进一步加强。</w:t>
      </w:r>
    </w:p>
    <w:p w14:paraId="1510925C">
      <w:pPr>
        <w:widowControl w:val="0"/>
        <w:wordWrap/>
        <w:spacing w:line="560" w:lineRule="exact"/>
        <w:ind w:left="0" w:leftChars="0" w:right="0" w:firstLine="640"/>
        <w:textAlignment w:val="auto"/>
        <w:outlineLvl w:val="9"/>
        <w:rPr>
          <w:rFonts w:hint="eastAsia" w:ascii="仿宋_GB2312" w:hAnsi="仿宋_GB2312" w:eastAsia="仿宋_GB2312" w:cs="仿宋_GB2312"/>
          <w:color w:val="auto"/>
          <w:kern w:val="0"/>
          <w:sz w:val="32"/>
          <w:szCs w:val="32"/>
        </w:rPr>
      </w:pP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.加强派出所消防监督执法规范化建设力度。</w:t>
      </w:r>
    </w:p>
    <w:p w14:paraId="619B7813">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部门机构设置情况</w:t>
      </w:r>
    </w:p>
    <w:tbl>
      <w:tblPr>
        <w:tblStyle w:val="5"/>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951"/>
        <w:gridCol w:w="1585"/>
        <w:gridCol w:w="1685"/>
        <w:gridCol w:w="2835"/>
      </w:tblGrid>
      <w:tr w14:paraId="7F46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29" w:type="pct"/>
            <w:noWrap w:val="0"/>
            <w:vAlign w:val="center"/>
          </w:tcPr>
          <w:p w14:paraId="09EFDEFC">
            <w:pPr>
              <w:pStyle w:val="7"/>
              <w:rPr>
                <w:color w:val="auto"/>
              </w:rPr>
            </w:pPr>
            <w:r>
              <w:rPr>
                <w:color w:val="auto"/>
              </w:rPr>
              <w:t>单位名称</w:t>
            </w:r>
          </w:p>
        </w:tc>
        <w:tc>
          <w:tcPr>
            <w:tcW w:w="875" w:type="pct"/>
            <w:noWrap w:val="0"/>
            <w:vAlign w:val="center"/>
          </w:tcPr>
          <w:p w14:paraId="5EE914BD">
            <w:pPr>
              <w:pStyle w:val="7"/>
              <w:rPr>
                <w:color w:val="auto"/>
              </w:rPr>
            </w:pPr>
            <w:r>
              <w:rPr>
                <w:color w:val="auto"/>
              </w:rPr>
              <w:t>单位性质</w:t>
            </w:r>
          </w:p>
        </w:tc>
        <w:tc>
          <w:tcPr>
            <w:tcW w:w="930" w:type="pct"/>
            <w:noWrap w:val="0"/>
            <w:vAlign w:val="center"/>
          </w:tcPr>
          <w:p w14:paraId="2EC69AAC">
            <w:pPr>
              <w:pStyle w:val="7"/>
              <w:rPr>
                <w:color w:val="auto"/>
              </w:rPr>
            </w:pPr>
            <w:r>
              <w:rPr>
                <w:color w:val="auto"/>
              </w:rPr>
              <w:t>单位规格</w:t>
            </w:r>
          </w:p>
        </w:tc>
        <w:tc>
          <w:tcPr>
            <w:tcW w:w="1565" w:type="pct"/>
            <w:noWrap w:val="0"/>
            <w:vAlign w:val="center"/>
          </w:tcPr>
          <w:p w14:paraId="7E868A20">
            <w:pPr>
              <w:pStyle w:val="7"/>
              <w:rPr>
                <w:color w:val="auto"/>
              </w:rPr>
            </w:pPr>
            <w:r>
              <w:rPr>
                <w:color w:val="auto"/>
              </w:rPr>
              <w:t>经费保障形式</w:t>
            </w:r>
          </w:p>
        </w:tc>
      </w:tr>
      <w:tr w14:paraId="117C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9" w:type="pct"/>
            <w:noWrap w:val="0"/>
            <w:vAlign w:val="center"/>
          </w:tcPr>
          <w:p w14:paraId="3783DDA9">
            <w:pPr>
              <w:pStyle w:val="8"/>
              <w:rPr>
                <w:rFonts w:hint="default" w:eastAsia="方正书宋_GBK"/>
                <w:color w:val="auto"/>
                <w:lang w:val="en-US" w:eastAsia="zh-CN"/>
              </w:rPr>
            </w:pPr>
            <w:r>
              <w:rPr>
                <w:color w:val="auto"/>
              </w:rPr>
              <w:t>石家庄市鹿泉区</w:t>
            </w:r>
            <w:r>
              <w:rPr>
                <w:rFonts w:hint="eastAsia"/>
                <w:color w:val="auto"/>
                <w:lang w:val="en-US" w:eastAsia="zh-CN"/>
              </w:rPr>
              <w:t>消防救援大队</w:t>
            </w:r>
          </w:p>
        </w:tc>
        <w:tc>
          <w:tcPr>
            <w:tcW w:w="875" w:type="pct"/>
            <w:noWrap w:val="0"/>
            <w:vAlign w:val="center"/>
          </w:tcPr>
          <w:p w14:paraId="41D6B0EA">
            <w:pPr>
              <w:pStyle w:val="9"/>
              <w:rPr>
                <w:rFonts w:hint="eastAsia" w:eastAsia="方正书宋_GBK"/>
                <w:color w:val="auto"/>
                <w:lang w:val="en-US" w:eastAsia="zh-CN"/>
              </w:rPr>
            </w:pPr>
            <w:r>
              <w:rPr>
                <w:rFonts w:hint="eastAsia"/>
                <w:color w:val="auto"/>
                <w:lang w:val="en-US" w:eastAsia="zh-CN"/>
              </w:rPr>
              <w:t>行政</w:t>
            </w:r>
          </w:p>
        </w:tc>
        <w:tc>
          <w:tcPr>
            <w:tcW w:w="930" w:type="pct"/>
            <w:noWrap w:val="0"/>
            <w:vAlign w:val="center"/>
          </w:tcPr>
          <w:p w14:paraId="44B221E4">
            <w:pPr>
              <w:pStyle w:val="9"/>
              <w:rPr>
                <w:rFonts w:hint="default" w:eastAsia="方正书宋_GBK"/>
                <w:color w:val="auto"/>
                <w:lang w:val="en-US" w:eastAsia="zh-CN"/>
              </w:rPr>
            </w:pPr>
            <w:r>
              <w:rPr>
                <w:rFonts w:hint="eastAsia"/>
                <w:color w:val="auto"/>
                <w:lang w:val="en-US" w:eastAsia="zh-CN"/>
              </w:rPr>
              <w:t>副处（县）级</w:t>
            </w:r>
          </w:p>
        </w:tc>
        <w:tc>
          <w:tcPr>
            <w:tcW w:w="1565" w:type="pct"/>
            <w:noWrap w:val="0"/>
            <w:vAlign w:val="center"/>
          </w:tcPr>
          <w:p w14:paraId="7FD39434">
            <w:pPr>
              <w:pStyle w:val="9"/>
              <w:rPr>
                <w:color w:val="auto"/>
              </w:rPr>
            </w:pPr>
            <w:r>
              <w:rPr>
                <w:color w:val="auto"/>
              </w:rPr>
              <w:t>财政性资金</w:t>
            </w:r>
          </w:p>
        </w:tc>
      </w:tr>
    </w:tbl>
    <w:p w14:paraId="22576C31">
      <w:pPr>
        <w:numPr>
          <w:ilvl w:val="0"/>
          <w:numId w:val="1"/>
        </w:num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楷体" w:hAnsi="楷体" w:eastAsia="楷体" w:cs="楷体_GB2312"/>
          <w:bCs/>
          <w:color w:val="auto"/>
          <w:sz w:val="32"/>
          <w:szCs w:val="32"/>
        </w:rPr>
        <w:t>部门收支预决算情况</w:t>
      </w:r>
    </w:p>
    <w:p w14:paraId="2CACAC09">
      <w:pPr>
        <w:snapToGrid w:val="0"/>
        <w:spacing w:line="520" w:lineRule="exact"/>
        <w:ind w:firstLine="640" w:firstLineChars="200"/>
        <w:rPr>
          <w:rFonts w:ascii="仿宋" w:hAnsi="仿宋" w:eastAsia="仿宋"/>
          <w:color w:val="auto"/>
          <w:sz w:val="32"/>
          <w:szCs w:val="32"/>
        </w:rPr>
      </w:pPr>
      <w:r>
        <w:rPr>
          <w:rFonts w:ascii="仿宋" w:hAnsi="仿宋" w:eastAsia="仿宋" w:cs="仿宋"/>
          <w:color w:val="auto"/>
          <w:sz w:val="32"/>
          <w:szCs w:val="32"/>
        </w:rPr>
        <w:t>1</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资金拨付情况</w:t>
      </w:r>
    </w:p>
    <w:p w14:paraId="6773F6D3">
      <w:pPr>
        <w:snapToGrid w:val="0"/>
        <w:spacing w:line="520" w:lineRule="exact"/>
        <w:ind w:firstLine="640" w:firstLineChars="200"/>
        <w:rPr>
          <w:rFonts w:hint="eastAsia" w:ascii="仿宋" w:hAnsi="仿宋" w:eastAsia="仿宋" w:cs="仿宋"/>
          <w:color w:val="auto"/>
          <w:sz w:val="32"/>
          <w:szCs w:val="32"/>
          <w:lang w:eastAsia="zh-CN"/>
        </w:rPr>
      </w:pPr>
      <w:r>
        <w:rPr>
          <w:rFonts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年度财政拨款收入（含结转和结余）</w:t>
      </w:r>
      <w:r>
        <w:rPr>
          <w:rFonts w:hint="eastAsia" w:ascii="仿宋" w:hAnsi="仿宋" w:eastAsia="仿宋" w:cs="仿宋"/>
          <w:color w:val="auto"/>
          <w:sz w:val="32"/>
          <w:szCs w:val="32"/>
          <w:lang w:val="en-US" w:eastAsia="zh-CN"/>
        </w:rPr>
        <w:t>3068.64</w:t>
      </w:r>
      <w:r>
        <w:rPr>
          <w:rFonts w:hint="eastAsia" w:ascii="仿宋" w:hAnsi="仿宋" w:eastAsia="仿宋" w:cs="仿宋"/>
          <w:color w:val="auto"/>
          <w:sz w:val="32"/>
          <w:szCs w:val="32"/>
        </w:rPr>
        <w:t>万元，实际到位</w:t>
      </w:r>
      <w:r>
        <w:rPr>
          <w:rFonts w:hint="eastAsia" w:ascii="仿宋" w:hAnsi="仿宋" w:eastAsia="仿宋" w:cs="仿宋"/>
          <w:color w:val="auto"/>
          <w:sz w:val="32"/>
          <w:szCs w:val="32"/>
          <w:lang w:val="en-US" w:eastAsia="zh-CN"/>
        </w:rPr>
        <w:t>3068.64</w:t>
      </w:r>
      <w:r>
        <w:rPr>
          <w:rFonts w:hint="eastAsia" w:ascii="仿宋" w:hAnsi="仿宋" w:eastAsia="仿宋" w:cs="仿宋"/>
          <w:color w:val="auto"/>
          <w:sz w:val="32"/>
          <w:szCs w:val="32"/>
        </w:rPr>
        <w:t>万元，资金到位率</w:t>
      </w:r>
      <w:r>
        <w:rPr>
          <w:rFonts w:hint="eastAsia" w:ascii="仿宋" w:hAnsi="仿宋" w:eastAsia="仿宋" w:cs="仿宋"/>
          <w:color w:val="auto"/>
          <w:sz w:val="32"/>
          <w:szCs w:val="32"/>
          <w:lang w:val="en-US" w:eastAsia="zh-CN"/>
        </w:rPr>
        <w:t>100</w:t>
      </w:r>
      <w:r>
        <w:rPr>
          <w:rFonts w:ascii="仿宋" w:hAnsi="仿宋" w:eastAsia="仿宋" w:cs="仿宋"/>
          <w:color w:val="auto"/>
          <w:sz w:val="32"/>
          <w:szCs w:val="32"/>
        </w:rPr>
        <w:t>%</w:t>
      </w:r>
      <w:r>
        <w:rPr>
          <w:rFonts w:hint="eastAsia" w:ascii="仿宋" w:hAnsi="仿宋" w:eastAsia="仿宋" w:cs="仿宋"/>
          <w:color w:val="auto"/>
          <w:sz w:val="32"/>
          <w:szCs w:val="32"/>
        </w:rPr>
        <w:t>，财政拨款收入</w:t>
      </w:r>
      <w:r>
        <w:rPr>
          <w:rFonts w:hint="eastAsia" w:ascii="仿宋" w:hAnsi="仿宋" w:eastAsia="仿宋" w:cs="仿宋"/>
          <w:color w:val="auto"/>
          <w:sz w:val="32"/>
          <w:szCs w:val="32"/>
          <w:lang w:val="en-US" w:eastAsia="zh-CN"/>
        </w:rPr>
        <w:t>3068.64</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p>
    <w:p w14:paraId="0135A388">
      <w:pPr>
        <w:snapToGrid w:val="0"/>
        <w:spacing w:line="520" w:lineRule="exact"/>
        <w:ind w:firstLine="640" w:firstLineChars="200"/>
        <w:rPr>
          <w:rFonts w:ascii="仿宋" w:hAnsi="仿宋" w:eastAsia="仿宋"/>
          <w:color w:val="auto"/>
          <w:sz w:val="32"/>
          <w:szCs w:val="32"/>
        </w:rPr>
      </w:pPr>
      <w:r>
        <w:rPr>
          <w:rFonts w:ascii="仿宋" w:hAnsi="仿宋" w:eastAsia="仿宋" w:cs="仿宋"/>
          <w:color w:val="auto"/>
          <w:sz w:val="32"/>
          <w:szCs w:val="32"/>
        </w:rPr>
        <w:t>2</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资金到位及到位及时性情况。</w:t>
      </w:r>
    </w:p>
    <w:p w14:paraId="1D49DEB3">
      <w:pPr>
        <w:snapToGrid w:val="0"/>
        <w:spacing w:line="52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基本支出</w:t>
      </w:r>
      <w:r>
        <w:rPr>
          <w:rFonts w:hint="eastAsia" w:ascii="仿宋" w:hAnsi="仿宋" w:eastAsia="仿宋" w:cs="仿宋"/>
          <w:color w:val="auto"/>
          <w:sz w:val="32"/>
          <w:szCs w:val="32"/>
        </w:rPr>
        <w:t>和人员经费每月均衡拨付，项目经费根据项目进度时事拨付。</w:t>
      </w:r>
    </w:p>
    <w:p w14:paraId="7FF60315">
      <w:pPr>
        <w:adjustRightInd w:val="0"/>
        <w:snapToGrid w:val="0"/>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（三）部门整体支出绩效目标、指标</w:t>
      </w:r>
    </w:p>
    <w:p w14:paraId="20479042">
      <w:pPr>
        <w:pStyle w:val="10"/>
        <w:ind w:left="0" w:leftChars="0"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以深入学习宣传贯彻党的十九大精神为主线，以习近平新时代中国特色社会主义思想为统领，认真落实区委区政府重点部署，</w:t>
      </w:r>
      <w:r>
        <w:rPr>
          <w:rFonts w:hint="eastAsia" w:ascii="仿宋" w:hAnsi="仿宋" w:eastAsia="仿宋" w:cs="仿宋"/>
          <w:color w:val="auto"/>
          <w:sz w:val="32"/>
          <w:szCs w:val="32"/>
          <w:lang w:val="en-US" w:eastAsia="zh-CN"/>
        </w:rPr>
        <w:t>鹿泉大队</w:t>
      </w:r>
      <w:r>
        <w:rPr>
          <w:rFonts w:hint="eastAsia" w:ascii="仿宋" w:hAnsi="仿宋" w:eastAsia="仿宋" w:cs="仿宋"/>
          <w:color w:val="auto"/>
          <w:sz w:val="32"/>
          <w:szCs w:val="32"/>
        </w:rPr>
        <w:t>各项目资金主要用途是确保全</w:t>
      </w:r>
      <w:r>
        <w:rPr>
          <w:rFonts w:hint="eastAsia" w:ascii="仿宋" w:hAnsi="仿宋" w:eastAsia="仿宋" w:cs="仿宋"/>
          <w:color w:val="auto"/>
          <w:sz w:val="32"/>
          <w:szCs w:val="32"/>
          <w:lang w:val="en-US" w:eastAsia="zh-CN"/>
        </w:rPr>
        <w:t>区</w:t>
      </w:r>
      <w:r>
        <w:rPr>
          <w:rFonts w:hint="eastAsia" w:ascii="仿宋" w:hAnsi="仿宋" w:eastAsia="仿宋" w:cs="仿宋"/>
          <w:color w:val="auto"/>
          <w:sz w:val="32"/>
          <w:szCs w:val="32"/>
        </w:rPr>
        <w:t>不发生重特大火灾及有影响的火灾。评价标准是不发生重特大火灾及有影响的火灾为优，发生重特大火灾及有影响的火灾为差。</w:t>
      </w:r>
    </w:p>
    <w:p w14:paraId="0F19FEA6">
      <w:pPr>
        <w:adjustRightInd w:val="0"/>
        <w:snapToGrid w:val="0"/>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二、自评工作开展情况</w:t>
      </w:r>
    </w:p>
    <w:p w14:paraId="192FCD46">
      <w:pPr>
        <w:spacing w:line="560" w:lineRule="exact"/>
        <w:rPr>
          <w:rFonts w:ascii="楷体" w:hAnsi="楷体" w:eastAsia="楷体" w:cs="楷体_GB2312"/>
          <w:color w:val="auto"/>
          <w:sz w:val="32"/>
          <w:szCs w:val="32"/>
        </w:rPr>
      </w:pPr>
      <w:r>
        <w:rPr>
          <w:rFonts w:hint="eastAsia" w:ascii="仿宋" w:hAnsi="仿宋" w:eastAsia="仿宋" w:cs="楷体_GB2312"/>
          <w:b/>
          <w:bCs/>
          <w:color w:val="auto"/>
          <w:sz w:val="32"/>
          <w:szCs w:val="32"/>
        </w:rPr>
        <w:t xml:space="preserve">    </w:t>
      </w:r>
      <w:r>
        <w:rPr>
          <w:rFonts w:hint="eastAsia" w:ascii="楷体" w:hAnsi="楷体" w:eastAsia="楷体" w:cs="楷体_GB2312"/>
          <w:bCs/>
          <w:color w:val="auto"/>
          <w:sz w:val="32"/>
          <w:szCs w:val="32"/>
        </w:rPr>
        <w:t>（一）自评的组织工作</w:t>
      </w:r>
    </w:p>
    <w:p w14:paraId="2C58B720">
      <w:pPr>
        <w:widowControl w:val="0"/>
        <w:wordWrap/>
        <w:spacing w:line="560" w:lineRule="exact"/>
        <w:ind w:left="0" w:leftChars="0" w:right="0" w:firstLine="640"/>
        <w:textAlignment w:val="auto"/>
        <w:outlineLvl w:val="9"/>
        <w:rPr>
          <w:rFonts w:hint="default" w:ascii="仿宋" w:hAnsi="仿宋" w:eastAsia="仿宋"/>
          <w:color w:val="auto"/>
          <w:sz w:val="32"/>
          <w:szCs w:val="32"/>
          <w:lang w:val="en-US" w:eastAsia="zh-CN"/>
        </w:rPr>
      </w:pPr>
      <w:r>
        <w:rPr>
          <w:rFonts w:hint="eastAsia" w:ascii="仿宋" w:hAnsi="仿宋" w:eastAsia="仿宋" w:cs="仿宋"/>
          <w:color w:val="auto"/>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r>
        <w:rPr>
          <w:rFonts w:hint="eastAsia" w:ascii="仿宋" w:hAnsi="仿宋" w:eastAsia="仿宋" w:cs="仿宋"/>
          <w:color w:val="auto"/>
          <w:sz w:val="32"/>
          <w:szCs w:val="32"/>
          <w:lang w:val="en-US" w:eastAsia="zh-CN"/>
        </w:rPr>
        <w:t>同时，</w:t>
      </w:r>
      <w:r>
        <w:rPr>
          <w:rFonts w:hint="eastAsia" w:ascii="仿宋" w:hAnsi="仿宋" w:eastAsia="仿宋"/>
          <w:color w:val="auto"/>
          <w:sz w:val="32"/>
          <w:szCs w:val="32"/>
          <w:lang w:val="en-US" w:eastAsia="zh-CN"/>
        </w:rPr>
        <w:t>鹿泉大队成立了绩效评价工作小组负责本部门绩效自评工作的组织领导和具体实施，明确了工作职责和分工，制定了切实可行的评价方案。</w:t>
      </w:r>
    </w:p>
    <w:p w14:paraId="6C31E6B2">
      <w:pPr>
        <w:numPr>
          <w:ilvl w:val="0"/>
          <w:numId w:val="2"/>
        </w:numPr>
        <w:spacing w:line="560" w:lineRule="exact"/>
        <w:rPr>
          <w:rFonts w:ascii="楷体" w:hAnsi="楷体" w:eastAsia="楷体" w:cs="楷体_GB2312"/>
          <w:bCs/>
          <w:color w:val="auto"/>
          <w:sz w:val="32"/>
          <w:szCs w:val="32"/>
        </w:rPr>
      </w:pPr>
      <w:r>
        <w:rPr>
          <w:rFonts w:hint="eastAsia" w:ascii="楷体" w:hAnsi="楷体" w:eastAsia="楷体" w:cs="楷体_GB2312"/>
          <w:bCs/>
          <w:color w:val="auto"/>
          <w:sz w:val="32"/>
          <w:szCs w:val="32"/>
        </w:rPr>
        <w:t>自评的方法和过程</w:t>
      </w:r>
    </w:p>
    <w:p w14:paraId="68C91AF1">
      <w:pPr>
        <w:widowControl w:val="0"/>
        <w:numPr>
          <w:ilvl w:val="0"/>
          <w:numId w:val="0"/>
        </w:numPr>
        <w:wordWrap/>
        <w:spacing w:line="560" w:lineRule="exact"/>
        <w:ind w:right="0" w:rightChars="0" w:firstLine="640" w:firstLineChars="200"/>
        <w:textAlignment w:val="auto"/>
        <w:outlineLvl w:val="9"/>
        <w:rPr>
          <w:rFonts w:ascii="仿宋" w:hAnsi="仿宋" w:eastAsia="仿宋"/>
          <w:color w:val="auto"/>
          <w:sz w:val="32"/>
          <w:szCs w:val="32"/>
        </w:rPr>
      </w:pPr>
      <w:r>
        <w:rPr>
          <w:rFonts w:hint="eastAsia" w:ascii="仿宋" w:hAnsi="仿宋" w:eastAsia="仿宋"/>
          <w:color w:val="auto"/>
          <w:sz w:val="32"/>
          <w:szCs w:val="32"/>
          <w:lang w:val="en-US" w:eastAsia="zh-CN"/>
        </w:rPr>
        <w:t>根据大队实际情况和提交的工作计划、工作总结等资料，评价小组现场进行询查和核实，根据确定的评价指标、评价标准和评价方法统一打分，形成自评结论。</w:t>
      </w:r>
    </w:p>
    <w:p w14:paraId="6994D0A2">
      <w:pPr>
        <w:spacing w:line="560" w:lineRule="exact"/>
        <w:ind w:firstLine="640" w:firstLineChars="200"/>
        <w:rPr>
          <w:rFonts w:ascii="黑体" w:hAnsi="黑体" w:eastAsia="黑体"/>
          <w:b/>
          <w:bCs/>
          <w:color w:val="auto"/>
          <w:sz w:val="32"/>
          <w:szCs w:val="32"/>
        </w:rPr>
      </w:pPr>
      <w:r>
        <w:rPr>
          <w:rFonts w:hint="eastAsia" w:ascii="黑体" w:hAnsi="黑体" w:eastAsia="黑体"/>
          <w:color w:val="auto"/>
          <w:sz w:val="32"/>
          <w:szCs w:val="32"/>
        </w:rPr>
        <w:t>三、部门整体支出绩效目标实现情况及指标分析</w:t>
      </w:r>
    </w:p>
    <w:p w14:paraId="682BB74E">
      <w:pPr>
        <w:numPr>
          <w:ilvl w:val="0"/>
          <w:numId w:val="3"/>
        </w:numPr>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总体绩效目标实现情况</w:t>
      </w:r>
    </w:p>
    <w:p w14:paraId="0924D3C3">
      <w:pPr>
        <w:snapToGrid w:val="0"/>
        <w:spacing w:line="520" w:lineRule="exact"/>
        <w:ind w:firstLine="640" w:firstLineChars="200"/>
        <w:rPr>
          <w:rFonts w:ascii="仿宋" w:hAnsi="仿宋" w:eastAsia="仿宋"/>
          <w:color w:val="auto"/>
          <w:sz w:val="32"/>
          <w:szCs w:val="32"/>
        </w:rPr>
      </w:pPr>
      <w:r>
        <w:rPr>
          <w:rFonts w:hint="eastAsia" w:ascii="仿宋" w:hAnsi="仿宋" w:eastAsia="仿宋" w:cs="仿宋"/>
          <w:color w:val="auto"/>
          <w:sz w:val="32"/>
          <w:szCs w:val="32"/>
        </w:rPr>
        <w:t>部门职能履行情况：严格执行财务管理制度，强化项目资金管理和使用。以</w:t>
      </w:r>
      <w:r>
        <w:rPr>
          <w:rFonts w:hint="eastAsia" w:ascii="仿宋" w:hAnsi="仿宋" w:eastAsia="仿宋" w:cs="仿宋"/>
          <w:color w:val="auto"/>
          <w:sz w:val="32"/>
          <w:szCs w:val="32"/>
          <w:lang w:val="en-US" w:eastAsia="zh-CN"/>
        </w:rPr>
        <w:t>区</w:t>
      </w:r>
      <w:r>
        <w:rPr>
          <w:rFonts w:hint="eastAsia" w:ascii="仿宋" w:hAnsi="仿宋" w:eastAsia="仿宋" w:cs="仿宋"/>
          <w:color w:val="auto"/>
          <w:sz w:val="32"/>
          <w:szCs w:val="32"/>
        </w:rPr>
        <w:t>财政支付管理相关规定为准绳，同时结合实际，加强项目资金的监管，杜绝违规违法事件发生，预算支出保了本单位的日常运转，认真履行了部门职能职责。</w:t>
      </w:r>
    </w:p>
    <w:p w14:paraId="0262E35B">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项目实施绩效：预算编制情况良好，但部分项目实际推进较慢，预算执行进度受到了一定影响，但总体上完成情况良好，起到了良好的社会效益。</w:t>
      </w:r>
    </w:p>
    <w:p w14:paraId="3B99DB72">
      <w:pPr>
        <w:numPr>
          <w:ilvl w:val="0"/>
          <w:numId w:val="3"/>
        </w:numPr>
        <w:spacing w:line="560" w:lineRule="exact"/>
        <w:ind w:left="0" w:leftChars="0" w:firstLine="640" w:firstLineChars="200"/>
        <w:rPr>
          <w:rFonts w:hint="eastAsia" w:ascii="楷体" w:hAnsi="楷体" w:eastAsia="楷体" w:cs="楷体_GB2312"/>
          <w:bCs/>
          <w:color w:val="auto"/>
          <w:sz w:val="32"/>
          <w:szCs w:val="32"/>
        </w:rPr>
      </w:pPr>
      <w:r>
        <w:rPr>
          <w:rFonts w:hint="eastAsia" w:ascii="楷体" w:hAnsi="楷体" w:eastAsia="楷体" w:cs="楷体_GB2312"/>
          <w:bCs/>
          <w:color w:val="auto"/>
          <w:sz w:val="32"/>
          <w:szCs w:val="32"/>
        </w:rPr>
        <w:t>分项绩效目标实现情况及指标分析</w:t>
      </w:r>
    </w:p>
    <w:p w14:paraId="61DFAE6B">
      <w:pPr>
        <w:pStyle w:val="11"/>
        <w:numPr>
          <w:ilvl w:val="0"/>
          <w:numId w:val="0"/>
        </w:num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1.基本支出</w:t>
      </w:r>
    </w:p>
    <w:p w14:paraId="3B26B142">
      <w:pPr>
        <w:pStyle w:val="11"/>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绩效目标：根据河北省财政厅关于转发财政部《地方消防经费管理办法》冀财行[2012]168号文件要求，鹿泉区按照第一档基本支出标准为5万元/人·年*186人=930万元。</w:t>
      </w:r>
    </w:p>
    <w:p w14:paraId="322D7184">
      <w:pPr>
        <w:pStyle w:val="11"/>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rPr>
        <w:t>绩效指标：</w:t>
      </w:r>
      <w:r>
        <w:rPr>
          <w:rFonts w:hint="eastAsia" w:ascii="仿宋" w:hAnsi="仿宋" w:eastAsia="仿宋" w:cs="仿宋"/>
          <w:color w:val="auto"/>
          <w:sz w:val="32"/>
          <w:szCs w:val="32"/>
          <w:lang w:val="en-US" w:eastAsia="zh-CN"/>
        </w:rPr>
        <w:t>鹿泉大队下辖五个消防救援站，分别是龙泉路消防救援站、槐安西路消防救援站、龙泉古镇模块化消防站、山前大道消防救援站、鹿泉区国际农产品批发交易中心消防救援站，</w:t>
      </w:r>
      <w:r>
        <w:rPr>
          <w:rFonts w:hint="eastAsia" w:ascii="仿宋" w:hAnsi="仿宋" w:eastAsia="仿宋" w:cs="仿宋"/>
          <w:color w:val="auto"/>
          <w:sz w:val="32"/>
          <w:szCs w:val="32"/>
        </w:rPr>
        <w:t>办公费、水电费、车辆运行维护费及其他基本项目经费的支出</w:t>
      </w:r>
      <w:r>
        <w:rPr>
          <w:rFonts w:hint="eastAsia" w:ascii="仿宋" w:hAnsi="仿宋" w:eastAsia="仿宋" w:cs="仿宋"/>
          <w:color w:val="auto"/>
          <w:sz w:val="32"/>
          <w:szCs w:val="32"/>
          <w:lang w:eastAsia="zh-CN"/>
        </w:rPr>
        <w:t>。</w:t>
      </w:r>
    </w:p>
    <w:p w14:paraId="4FEF6CDC">
      <w:pPr>
        <w:pStyle w:val="11"/>
        <w:numPr>
          <w:ilvl w:val="0"/>
          <w:numId w:val="0"/>
        </w:num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2.龙泉古镇执勤点设施、设备采购</w:t>
      </w:r>
    </w:p>
    <w:p w14:paraId="2B0F0660">
      <w:pPr>
        <w:pStyle w:val="11"/>
        <w:numPr>
          <w:ilvl w:val="0"/>
          <w:numId w:val="0"/>
        </w:num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rPr>
        <w:t>绩效目标：为进一步增强消防基础设施建设，增强城市整体抵御和防范火灾的能力，及时有效处置各类火灾事故。用于购买12个模块，分别是车库模块、通讯室模块、干部备勤室模块、厨房模块、阳台模块、餐厅模块、卫浴模块、楼梯模块、设备夹层模块、顶棚及灯箱模块、基础模块等。</w:t>
      </w:r>
    </w:p>
    <w:p w14:paraId="43A733A1">
      <w:pPr>
        <w:pStyle w:val="11"/>
        <w:numPr>
          <w:ilvl w:val="0"/>
          <w:numId w:val="0"/>
        </w:numPr>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rPr>
        <w:t>绩效指标：</w:t>
      </w:r>
      <w:r>
        <w:rPr>
          <w:rFonts w:hint="eastAsia" w:ascii="仿宋" w:hAnsi="仿宋" w:eastAsia="仿宋" w:cs="仿宋"/>
          <w:color w:val="auto"/>
          <w:sz w:val="32"/>
          <w:szCs w:val="32"/>
          <w:lang w:val="en-US" w:eastAsia="zh-CN"/>
        </w:rPr>
        <w:t>实现</w:t>
      </w:r>
      <w:r>
        <w:rPr>
          <w:rFonts w:hint="eastAsia" w:ascii="仿宋" w:hAnsi="仿宋" w:eastAsia="仿宋" w:cs="仿宋"/>
          <w:color w:val="auto"/>
          <w:sz w:val="32"/>
          <w:szCs w:val="32"/>
        </w:rPr>
        <w:t>模块化消防站建数量</w:t>
      </w:r>
      <w:r>
        <w:rPr>
          <w:rFonts w:hint="eastAsia" w:ascii="仿宋" w:hAnsi="仿宋" w:eastAsia="仿宋" w:cs="仿宋"/>
          <w:color w:val="auto"/>
          <w:sz w:val="32"/>
          <w:szCs w:val="32"/>
          <w:lang w:val="en-US" w:eastAsia="zh-CN"/>
        </w:rPr>
        <w:t>1座，模块化消防站质量验收合格率达到100%，采购物品到位时间为10月份，满足预期指标值。</w:t>
      </w:r>
    </w:p>
    <w:p w14:paraId="117201D5">
      <w:pPr>
        <w:pStyle w:val="11"/>
        <w:numPr>
          <w:ilvl w:val="0"/>
          <w:numId w:val="0"/>
        </w:num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b w:val="0"/>
          <w:bCs w:val="0"/>
          <w:color w:val="auto"/>
          <w:sz w:val="32"/>
          <w:szCs w:val="32"/>
          <w:lang w:val="en-US" w:eastAsia="zh-CN"/>
        </w:rPr>
        <w:t>3.</w:t>
      </w:r>
      <w:r>
        <w:rPr>
          <w:rFonts w:hint="eastAsia" w:ascii="仿宋" w:hAnsi="仿宋" w:eastAsia="仿宋" w:cs="仿宋"/>
          <w:color w:val="auto"/>
          <w:sz w:val="32"/>
          <w:szCs w:val="32"/>
          <w:lang w:val="en-US" w:eastAsia="zh-CN"/>
        </w:rPr>
        <w:t>鹿泉区消防救援大队供热工程项目</w:t>
      </w:r>
    </w:p>
    <w:p w14:paraId="55229CF0">
      <w:pPr>
        <w:pStyle w:val="11"/>
        <w:numPr>
          <w:ilvl w:val="0"/>
          <w:numId w:val="0"/>
        </w:numPr>
        <w:ind w:firstLine="640"/>
        <w:rPr>
          <w:rFonts w:hint="eastAsia" w:ascii="仿宋" w:hAnsi="仿宋" w:eastAsia="仿宋" w:cs="仿宋"/>
          <w:color w:val="auto"/>
          <w:sz w:val="32"/>
          <w:szCs w:val="32"/>
        </w:rPr>
      </w:pPr>
      <w:r>
        <w:rPr>
          <w:rFonts w:hint="eastAsia" w:ascii="仿宋" w:hAnsi="仿宋" w:eastAsia="仿宋" w:cs="仿宋"/>
          <w:color w:val="auto"/>
          <w:sz w:val="32"/>
          <w:szCs w:val="32"/>
        </w:rPr>
        <w:t>绩效目标：满足鹿泉区消防救援大队供热需求，保障单位正常工作运转。</w:t>
      </w:r>
    </w:p>
    <w:p w14:paraId="33FE8BDA">
      <w:pPr>
        <w:pStyle w:val="11"/>
        <w:numPr>
          <w:ilvl w:val="0"/>
          <w:numId w:val="0"/>
        </w:numPr>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rPr>
        <w:t>绩效指标：</w:t>
      </w:r>
      <w:r>
        <w:rPr>
          <w:rFonts w:hint="eastAsia" w:ascii="仿宋" w:hAnsi="仿宋" w:eastAsia="仿宋" w:cs="仿宋"/>
          <w:color w:val="auto"/>
          <w:sz w:val="32"/>
          <w:szCs w:val="32"/>
          <w:lang w:val="en-US" w:eastAsia="zh-CN"/>
        </w:rPr>
        <w:t>实现换热站</w:t>
      </w:r>
      <w:r>
        <w:rPr>
          <w:rFonts w:hint="eastAsia" w:ascii="仿宋" w:hAnsi="仿宋" w:eastAsia="仿宋" w:cs="仿宋"/>
          <w:color w:val="auto"/>
          <w:sz w:val="32"/>
          <w:szCs w:val="32"/>
        </w:rPr>
        <w:t>建数量</w:t>
      </w:r>
      <w:r>
        <w:rPr>
          <w:rFonts w:hint="eastAsia" w:ascii="仿宋" w:hAnsi="仿宋" w:eastAsia="仿宋" w:cs="仿宋"/>
          <w:color w:val="auto"/>
          <w:sz w:val="32"/>
          <w:szCs w:val="32"/>
          <w:lang w:val="en-US" w:eastAsia="zh-CN"/>
        </w:rPr>
        <w:t>1座，改造管线长度450米，3月开工，建筑（工程）综合利用率100%，满足预期指标值。</w:t>
      </w:r>
    </w:p>
    <w:p w14:paraId="4988B6F3">
      <w:pPr>
        <w:pStyle w:val="11"/>
        <w:numPr>
          <w:ilvl w:val="0"/>
          <w:numId w:val="0"/>
        </w:numPr>
        <w:ind w:firstLine="640" w:firstLineChars="200"/>
        <w:rPr>
          <w:rFonts w:hint="eastAsia" w:ascii="仿宋" w:hAnsi="仿宋" w:eastAsia="仿宋" w:cs="黑体"/>
          <w:color w:val="auto"/>
          <w:kern w:val="2"/>
          <w:sz w:val="32"/>
          <w:szCs w:val="32"/>
          <w:lang w:val="en-US" w:eastAsia="zh-CN" w:bidi="ar-SA"/>
        </w:rPr>
      </w:pPr>
      <w:r>
        <w:rPr>
          <w:rFonts w:hint="eastAsia" w:ascii="仿宋" w:hAnsi="仿宋" w:eastAsia="仿宋" w:cs="仿宋"/>
          <w:color w:val="auto"/>
          <w:sz w:val="32"/>
          <w:szCs w:val="32"/>
          <w:lang w:val="en-US" w:eastAsia="zh-CN"/>
        </w:rPr>
        <w:t>4.</w:t>
      </w:r>
      <w:r>
        <w:rPr>
          <w:rFonts w:hint="eastAsia" w:ascii="仿宋" w:hAnsi="仿宋" w:eastAsia="仿宋" w:cs="黑体"/>
          <w:color w:val="auto"/>
          <w:kern w:val="2"/>
          <w:sz w:val="32"/>
          <w:szCs w:val="32"/>
          <w:lang w:val="en-US" w:eastAsia="zh-CN" w:bidi="ar-SA"/>
        </w:rPr>
        <w:t>山前大道一级消防站建设</w:t>
      </w:r>
    </w:p>
    <w:p w14:paraId="671E5C97">
      <w:pPr>
        <w:pStyle w:val="11"/>
        <w:numPr>
          <w:ilvl w:val="0"/>
          <w:numId w:val="0"/>
        </w:numPr>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绩效目标：用于支付山前大道消防救援站工程尾款，能有效解决鹿泉区北片无消防站缺陷，提升灭火出动效率，使城区北片火灾灭火救援中提升到场时限，有效扑救初起火灾，为我区经济安全保驾护航。</w:t>
      </w:r>
    </w:p>
    <w:p w14:paraId="41F95DBC">
      <w:pPr>
        <w:pStyle w:val="11"/>
        <w:numPr>
          <w:ilvl w:val="0"/>
          <w:numId w:val="0"/>
        </w:numPr>
        <w:ind w:firstLine="640" w:firstLineChars="200"/>
        <w:rPr>
          <w:rFonts w:hint="default"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绩效指标：消防站建设数量为1座，消防站建设工程按时完成率为100%，业务保障能力为100%。</w:t>
      </w:r>
    </w:p>
    <w:p w14:paraId="76312E43">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四、评价结论和评价等级</w:t>
      </w:r>
    </w:p>
    <w:p w14:paraId="1A37E8A6">
      <w:pPr>
        <w:spacing w:line="560" w:lineRule="exact"/>
        <w:ind w:firstLine="640" w:firstLineChars="200"/>
        <w:rPr>
          <w:rFonts w:hint="eastAsia" w:ascii="仿宋" w:hAnsi="仿宋" w:eastAsia="仿宋"/>
          <w:color w:val="auto"/>
          <w:sz w:val="32"/>
          <w:szCs w:val="32"/>
          <w:lang w:val="en-US" w:eastAsia="zh-CN"/>
        </w:rPr>
      </w:pPr>
      <w:r>
        <w:rPr>
          <w:rFonts w:hint="eastAsia" w:ascii="仿宋" w:hAnsi="仿宋" w:eastAsia="仿宋"/>
          <w:color w:val="auto"/>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color w:val="auto"/>
          <w:sz w:val="32"/>
          <w:szCs w:val="32"/>
        </w:rPr>
        <w:t>≥</w:t>
      </w:r>
      <w:r>
        <w:rPr>
          <w:rFonts w:hint="eastAsia" w:ascii="仿宋" w:hAnsi="仿宋" w:eastAsia="仿宋"/>
          <w:color w:val="auto"/>
          <w:sz w:val="32"/>
          <w:szCs w:val="32"/>
        </w:rPr>
        <w:t>85分为优秀；75</w:t>
      </w:r>
      <w:r>
        <w:rPr>
          <w:rFonts w:ascii="仿宋" w:hAnsi="仿宋" w:eastAsia="仿宋" w:cs="Arial"/>
          <w:color w:val="auto"/>
          <w:sz w:val="32"/>
          <w:szCs w:val="32"/>
        </w:rPr>
        <w:t>≤</w:t>
      </w:r>
      <w:r>
        <w:rPr>
          <w:rFonts w:hint="eastAsia" w:ascii="仿宋" w:hAnsi="仿宋" w:eastAsia="仿宋"/>
          <w:color w:val="auto"/>
          <w:sz w:val="32"/>
          <w:szCs w:val="32"/>
        </w:rPr>
        <w:t>得分＜85分为良好；60</w:t>
      </w:r>
      <w:r>
        <w:rPr>
          <w:rFonts w:ascii="仿宋" w:hAnsi="仿宋" w:eastAsia="仿宋" w:cs="Arial"/>
          <w:color w:val="auto"/>
          <w:sz w:val="32"/>
          <w:szCs w:val="32"/>
        </w:rPr>
        <w:t>≤</w:t>
      </w:r>
      <w:r>
        <w:rPr>
          <w:rFonts w:hint="eastAsia" w:ascii="仿宋" w:hAnsi="仿宋" w:eastAsia="仿宋"/>
          <w:color w:val="auto"/>
          <w:sz w:val="32"/>
          <w:szCs w:val="32"/>
        </w:rPr>
        <w:t>得分＜75分为一般；得分＜60分为较差。</w:t>
      </w:r>
      <w:r>
        <w:rPr>
          <w:rFonts w:hint="eastAsia" w:ascii="仿宋" w:hAnsi="仿宋" w:eastAsia="仿宋"/>
          <w:color w:val="auto"/>
          <w:sz w:val="32"/>
          <w:szCs w:val="32"/>
          <w:lang w:val="en-US" w:eastAsia="zh-CN"/>
        </w:rPr>
        <w:t>共涉</w:t>
      </w:r>
      <w:r>
        <w:rPr>
          <w:rFonts w:hint="eastAsia" w:ascii="仿宋" w:hAnsi="仿宋" w:eastAsia="仿宋"/>
          <w:b/>
          <w:bCs/>
          <w:color w:val="auto"/>
          <w:sz w:val="32"/>
          <w:szCs w:val="32"/>
          <w:lang w:val="en-US" w:eastAsia="zh-CN"/>
        </w:rPr>
        <w:t>及4个项目</w:t>
      </w:r>
      <w:r>
        <w:rPr>
          <w:rFonts w:hint="eastAsia" w:ascii="仿宋" w:hAnsi="仿宋" w:eastAsia="仿宋"/>
          <w:color w:val="auto"/>
          <w:sz w:val="32"/>
          <w:szCs w:val="32"/>
          <w:lang w:val="en-US" w:eastAsia="zh-CN"/>
        </w:rPr>
        <w:t>，均达到85分以上</w:t>
      </w:r>
      <w:r>
        <w:rPr>
          <w:rFonts w:hint="eastAsia" w:ascii="仿宋" w:hAnsi="仿宋" w:eastAsia="仿宋"/>
          <w:color w:val="auto"/>
          <w:sz w:val="32"/>
          <w:szCs w:val="32"/>
        </w:rPr>
        <w:t>优秀</w:t>
      </w:r>
      <w:r>
        <w:rPr>
          <w:rFonts w:hint="eastAsia" w:ascii="仿宋" w:hAnsi="仿宋" w:eastAsia="仿宋"/>
          <w:color w:val="auto"/>
          <w:sz w:val="32"/>
          <w:szCs w:val="32"/>
          <w:lang w:val="en-US" w:eastAsia="zh-CN"/>
        </w:rPr>
        <w:t>。</w:t>
      </w:r>
    </w:p>
    <w:p w14:paraId="440AF6B9">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五、存在的问题及改进措施</w:t>
      </w:r>
    </w:p>
    <w:p w14:paraId="3850C756">
      <w:pPr>
        <w:spacing w:line="560" w:lineRule="exact"/>
        <w:ind w:firstLine="640" w:firstLineChars="200"/>
        <w:rPr>
          <w:rFonts w:hint="eastAsia" w:ascii="楷体" w:hAnsi="楷体" w:eastAsia="楷体"/>
          <w:bCs/>
          <w:color w:val="auto"/>
          <w:sz w:val="32"/>
          <w:szCs w:val="32"/>
        </w:rPr>
      </w:pPr>
      <w:r>
        <w:rPr>
          <w:rFonts w:hint="eastAsia" w:ascii="楷体" w:hAnsi="楷体" w:eastAsia="楷体"/>
          <w:bCs/>
          <w:color w:val="auto"/>
          <w:sz w:val="32"/>
          <w:szCs w:val="32"/>
        </w:rPr>
        <w:t>（一）存在的主要问题</w:t>
      </w:r>
    </w:p>
    <w:p w14:paraId="52C2231B">
      <w:pPr>
        <w:widowControl w:val="0"/>
        <w:wordWrap/>
        <w:spacing w:line="560" w:lineRule="exact"/>
        <w:ind w:right="0" w:firstLine="640"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绩效评价指标体系不完善，个性指标设计有难度，评价内容、数据不够全面严谨，影响工作效果。</w:t>
      </w:r>
    </w:p>
    <w:p w14:paraId="1DE0016F">
      <w:pPr>
        <w:numPr>
          <w:ilvl w:val="0"/>
          <w:numId w:val="3"/>
        </w:numPr>
        <w:spacing w:line="560" w:lineRule="exact"/>
        <w:ind w:left="0" w:leftChars="0" w:firstLine="640" w:firstLineChars="200"/>
        <w:rPr>
          <w:rFonts w:hint="eastAsia" w:ascii="楷体" w:hAnsi="楷体" w:eastAsia="楷体"/>
          <w:bCs/>
          <w:color w:val="auto"/>
          <w:sz w:val="32"/>
          <w:szCs w:val="32"/>
        </w:rPr>
      </w:pPr>
      <w:r>
        <w:rPr>
          <w:rFonts w:hint="eastAsia" w:ascii="楷体" w:hAnsi="楷体" w:eastAsia="楷体"/>
          <w:bCs/>
          <w:color w:val="auto"/>
          <w:sz w:val="32"/>
          <w:szCs w:val="32"/>
        </w:rPr>
        <w:t>针对问题提出具体的改进措施或建议</w:t>
      </w:r>
    </w:p>
    <w:p w14:paraId="2D57DE80">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加强绩效监控，根据监控结果通过中期合理调配资金，增强与各业务股室协调合作，提高项目执行率，提高资金支付效率。严格按照绩效目标管理要求，细致科学地制定绩效目标，适时调整工作进度和方向，确保绩效目标得到全面贯彻执行。</w:t>
      </w:r>
    </w:p>
    <w:p w14:paraId="688913D0">
      <w:pPr>
        <w:numPr>
          <w:ilvl w:val="0"/>
          <w:numId w:val="4"/>
        </w:numPr>
        <w:adjustRightInd w:val="0"/>
        <w:snapToGrid w:val="0"/>
        <w:spacing w:line="560" w:lineRule="exact"/>
        <w:ind w:firstLine="640" w:firstLineChars="200"/>
        <w:rPr>
          <w:rFonts w:hint="eastAsia" w:ascii="黑体" w:hAnsi="黑体" w:eastAsia="黑体"/>
          <w:color w:val="auto"/>
          <w:sz w:val="32"/>
          <w:szCs w:val="32"/>
        </w:rPr>
      </w:pPr>
      <w:r>
        <w:rPr>
          <w:rFonts w:hint="eastAsia" w:ascii="黑体" w:hAnsi="黑体" w:eastAsia="黑体"/>
          <w:color w:val="auto"/>
          <w:sz w:val="32"/>
          <w:szCs w:val="32"/>
        </w:rPr>
        <w:t>评价工作组人员名单及签字（姓名、工作单位、职务、职称）</w:t>
      </w:r>
    </w:p>
    <w:p w14:paraId="018096B4">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庞宗辉  石家庄市鹿泉区消防救援大队     政治委员   </w:t>
      </w:r>
    </w:p>
    <w:p w14:paraId="2C7D8516">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三级指挥长</w:t>
      </w:r>
    </w:p>
    <w:p w14:paraId="6B681A08">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陶冶    石家庄市鹿泉区消防救援大队     副大队长 </w:t>
      </w:r>
    </w:p>
    <w:p w14:paraId="41644737">
      <w:pPr>
        <w:pStyle w:val="2"/>
        <w:numPr>
          <w:ilvl w:val="0"/>
          <w:numId w:val="0"/>
        </w:num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一级指挥员</w:t>
      </w:r>
    </w:p>
    <w:p w14:paraId="5AA30776">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杨利    石家庄市鹿泉区消防救援大队     站级正职   </w:t>
      </w:r>
    </w:p>
    <w:p w14:paraId="259E0CCE">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三级指挥员      </w:t>
      </w:r>
    </w:p>
    <w:p w14:paraId="507E5F71">
      <w:pPr>
        <w:widowControl w:val="0"/>
        <w:numPr>
          <w:ilvl w:val="0"/>
          <w:numId w:val="0"/>
        </w:numPr>
        <w:adjustRightInd w:val="0"/>
        <w:snapToGrid w:val="0"/>
        <w:spacing w:line="560" w:lineRule="exact"/>
        <w:jc w:val="both"/>
        <w:rPr>
          <w:rFonts w:hint="eastAsia" w:ascii="黑体" w:hAnsi="黑体" w:eastAsia="黑体"/>
          <w:color w:val="auto"/>
          <w:sz w:val="32"/>
          <w:szCs w:val="32"/>
        </w:rPr>
      </w:pPr>
    </w:p>
    <w:p w14:paraId="64465AC9">
      <w:pPr>
        <w:widowControl w:val="0"/>
        <w:numPr>
          <w:ilvl w:val="0"/>
          <w:numId w:val="0"/>
        </w:numPr>
        <w:adjustRightInd w:val="0"/>
        <w:snapToGrid w:val="0"/>
        <w:spacing w:line="560" w:lineRule="exact"/>
        <w:jc w:val="both"/>
        <w:rPr>
          <w:rFonts w:hint="eastAsia" w:ascii="黑体" w:hAnsi="黑体" w:eastAsia="黑体"/>
          <w:color w:val="auto"/>
          <w:sz w:val="32"/>
          <w:szCs w:val="32"/>
        </w:rPr>
      </w:pPr>
    </w:p>
    <w:p w14:paraId="426B6D32">
      <w:pPr>
        <w:widowControl w:val="0"/>
        <w:numPr>
          <w:ilvl w:val="0"/>
          <w:numId w:val="0"/>
        </w:numPr>
        <w:adjustRightInd w:val="0"/>
        <w:snapToGrid w:val="0"/>
        <w:spacing w:line="560" w:lineRule="exact"/>
        <w:jc w:val="both"/>
        <w:rPr>
          <w:rFonts w:hint="eastAsia" w:ascii="黑体" w:hAnsi="黑体" w:eastAsia="黑体"/>
          <w:color w:val="auto"/>
          <w:sz w:val="32"/>
          <w:szCs w:val="32"/>
        </w:rPr>
      </w:pPr>
    </w:p>
    <w:p w14:paraId="1C6B9994">
      <w:pPr>
        <w:widowControl w:val="0"/>
        <w:numPr>
          <w:ilvl w:val="0"/>
          <w:numId w:val="0"/>
        </w:numPr>
        <w:adjustRightInd w:val="0"/>
        <w:snapToGrid w:val="0"/>
        <w:spacing w:line="560" w:lineRule="exact"/>
        <w:jc w:val="both"/>
        <w:rPr>
          <w:rFonts w:hint="default" w:ascii="黑体" w:hAnsi="黑体" w:eastAsia="黑体"/>
          <w:color w:val="auto"/>
          <w:sz w:val="32"/>
          <w:szCs w:val="32"/>
          <w:lang w:val="en-US" w:eastAsia="zh-CN"/>
        </w:rPr>
      </w:pP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9B44C33-67FE-451E-8CD3-4329726B2DC9}"/>
  </w:font>
  <w:font w:name="黑体">
    <w:panose1 w:val="02010609060101010101"/>
    <w:charset w:val="86"/>
    <w:family w:val="auto"/>
    <w:pitch w:val="default"/>
    <w:sig w:usb0="800002BF" w:usb1="38CF7CFA" w:usb2="00000016" w:usb3="00000000" w:csb0="00040001" w:csb1="00000000"/>
    <w:embedRegular r:id="rId2" w:fontKey="{0025FD3B-4BF0-4BFB-9F15-D747CCEBE5A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书宋_GBK">
    <w:altName w:val="微软雅黑"/>
    <w:panose1 w:val="00000000000000000000"/>
    <w:charset w:val="00"/>
    <w:family w:val="auto"/>
    <w:pitch w:val="default"/>
    <w:sig w:usb0="00000000" w:usb1="00000000" w:usb2="00000000" w:usb3="00000000" w:csb0="00040001" w:csb1="00000000"/>
    <w:embedRegular r:id="rId3" w:fontKey="{BB8DF38D-6588-434C-BB3F-098501AE2C7A}"/>
  </w:font>
  <w:font w:name="微软雅黑">
    <w:panose1 w:val="020B0503020204020204"/>
    <w:charset w:val="86"/>
    <w:family w:val="auto"/>
    <w:pitch w:val="default"/>
    <w:sig w:usb0="80000287" w:usb1="2ACF3C50" w:usb2="00000016" w:usb3="00000000" w:csb0="0004001F" w:csb1="00000000"/>
  </w:font>
  <w:font w:name="方正仿宋_GBK">
    <w:panose1 w:val="03000509000000000000"/>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embedRegular r:id="rId4" w:fontKey="{4E4433A6-E486-4683-9FCA-90A4CE0C51D5}"/>
  </w:font>
  <w:font w:name="仿宋">
    <w:panose1 w:val="02010609060101010101"/>
    <w:charset w:val="86"/>
    <w:family w:val="modern"/>
    <w:pitch w:val="default"/>
    <w:sig w:usb0="800002BF" w:usb1="38CF7CFA" w:usb2="00000016" w:usb3="00000000" w:csb0="00040001" w:csb1="00000000"/>
    <w:embedRegular r:id="rId5" w:fontKey="{70F4B76D-05E2-4DFD-91D1-07A94125C386}"/>
  </w:font>
  <w:font w:name="楷体">
    <w:panose1 w:val="02010609060101010101"/>
    <w:charset w:val="86"/>
    <w:family w:val="modern"/>
    <w:pitch w:val="default"/>
    <w:sig w:usb0="800002BF" w:usb1="38CF7CFA" w:usb2="00000016" w:usb3="00000000" w:csb0="00040001" w:csb1="00000000"/>
    <w:embedRegular r:id="rId6" w:fontKey="{80AE8F86-6394-4FC2-9886-68D4DBD030FB}"/>
  </w:font>
  <w:font w:name="楷体_GB2312">
    <w:panose1 w:val="02010609030101010101"/>
    <w:charset w:val="86"/>
    <w:family w:val="auto"/>
    <w:pitch w:val="default"/>
    <w:sig w:usb0="00000001" w:usb1="080E0000" w:usb2="00000000" w:usb3="00000000" w:csb0="00040000" w:csb1="00000000"/>
    <w:embedRegular r:id="rId7" w:fontKey="{ABB36F20-7CD7-474A-917B-8B0D7938B2D9}"/>
  </w:font>
  <w:font w:name="仿宋_GB2312">
    <w:panose1 w:val="02010609030101010101"/>
    <w:charset w:val="86"/>
    <w:family w:val="modern"/>
    <w:pitch w:val="default"/>
    <w:sig w:usb0="00000001" w:usb1="080E0000" w:usb2="00000000" w:usb3="00000000" w:csb0="00040000" w:csb1="00000000"/>
    <w:embedRegular r:id="rId8" w:fontKey="{C0146751-E12E-424B-A4B0-3F4F512DB45A}"/>
  </w:font>
  <w:font w:name="方正小标宋_GBK">
    <w:panose1 w:val="03000509000000000000"/>
    <w:charset w:val="86"/>
    <w:family w:val="auto"/>
    <w:pitch w:val="default"/>
    <w:sig w:usb0="00000001" w:usb1="080E0000" w:usb2="00000000" w:usb3="00000000" w:csb0="00040000" w:csb1="00000000"/>
    <w:embedRegular r:id="rId9" w:fontKey="{83EC86F9-127E-466F-B41E-285783805307}"/>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4369C3">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4A9BA78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01CB70"/>
    <w:multiLevelType w:val="singleLevel"/>
    <w:tmpl w:val="E701CB70"/>
    <w:lvl w:ilvl="0" w:tentative="0">
      <w:start w:val="6"/>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2265FD09"/>
    <w:multiLevelType w:val="singleLevel"/>
    <w:tmpl w:val="2265FD09"/>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jQyNDI0MjIyOTZhZWMxM2MwMjdhZTJjNjgwMmQzYzcifQ=="/>
  </w:docVars>
  <w:rsids>
    <w:rsidRoot w:val="0EBD2122"/>
    <w:rsid w:val="000B0260"/>
    <w:rsid w:val="00482762"/>
    <w:rsid w:val="007E18FF"/>
    <w:rsid w:val="007E6C1F"/>
    <w:rsid w:val="00956A93"/>
    <w:rsid w:val="009E575C"/>
    <w:rsid w:val="00AF167E"/>
    <w:rsid w:val="00AF566A"/>
    <w:rsid w:val="00B478EA"/>
    <w:rsid w:val="00B6553A"/>
    <w:rsid w:val="00B87A8B"/>
    <w:rsid w:val="00BC6576"/>
    <w:rsid w:val="00CE06BA"/>
    <w:rsid w:val="00F441CC"/>
    <w:rsid w:val="018067FB"/>
    <w:rsid w:val="01B104CA"/>
    <w:rsid w:val="02106AB0"/>
    <w:rsid w:val="02B43A28"/>
    <w:rsid w:val="03004097"/>
    <w:rsid w:val="038C76D9"/>
    <w:rsid w:val="046046C1"/>
    <w:rsid w:val="046F331E"/>
    <w:rsid w:val="04702B56"/>
    <w:rsid w:val="053F077B"/>
    <w:rsid w:val="07956271"/>
    <w:rsid w:val="07D21D7A"/>
    <w:rsid w:val="08D00067"/>
    <w:rsid w:val="09721397"/>
    <w:rsid w:val="0AE07845"/>
    <w:rsid w:val="0BB63BED"/>
    <w:rsid w:val="0CDE6ACB"/>
    <w:rsid w:val="0DB31D06"/>
    <w:rsid w:val="0EB97A43"/>
    <w:rsid w:val="0EBD2122"/>
    <w:rsid w:val="0F214EAE"/>
    <w:rsid w:val="0F24110D"/>
    <w:rsid w:val="0F470958"/>
    <w:rsid w:val="0FD5392E"/>
    <w:rsid w:val="0FE16FFE"/>
    <w:rsid w:val="113118BF"/>
    <w:rsid w:val="11407D54"/>
    <w:rsid w:val="11B71E6A"/>
    <w:rsid w:val="12E52961"/>
    <w:rsid w:val="13BB36C2"/>
    <w:rsid w:val="13C6644A"/>
    <w:rsid w:val="13F15336"/>
    <w:rsid w:val="15977C75"/>
    <w:rsid w:val="163D0D06"/>
    <w:rsid w:val="16D626D4"/>
    <w:rsid w:val="17253C74"/>
    <w:rsid w:val="18147845"/>
    <w:rsid w:val="197467ED"/>
    <w:rsid w:val="1AAF0063"/>
    <w:rsid w:val="1AD67A30"/>
    <w:rsid w:val="1B3C158C"/>
    <w:rsid w:val="1B3C333B"/>
    <w:rsid w:val="1B4A5DF4"/>
    <w:rsid w:val="1BE140DE"/>
    <w:rsid w:val="1CEB6DC6"/>
    <w:rsid w:val="1D7A5A02"/>
    <w:rsid w:val="1ED06D41"/>
    <w:rsid w:val="1FD77AD6"/>
    <w:rsid w:val="20F546B7"/>
    <w:rsid w:val="21532C9C"/>
    <w:rsid w:val="219F0AC7"/>
    <w:rsid w:val="22DB168B"/>
    <w:rsid w:val="2302130E"/>
    <w:rsid w:val="23821180"/>
    <w:rsid w:val="24112D15"/>
    <w:rsid w:val="248C197D"/>
    <w:rsid w:val="24A10C0D"/>
    <w:rsid w:val="252959AF"/>
    <w:rsid w:val="25DE1BBE"/>
    <w:rsid w:val="263D6BD3"/>
    <w:rsid w:val="268A5139"/>
    <w:rsid w:val="27457052"/>
    <w:rsid w:val="277A6671"/>
    <w:rsid w:val="27DD3464"/>
    <w:rsid w:val="28833634"/>
    <w:rsid w:val="292D35B7"/>
    <w:rsid w:val="2B674404"/>
    <w:rsid w:val="2B91322F"/>
    <w:rsid w:val="2BA2121F"/>
    <w:rsid w:val="2C0A478F"/>
    <w:rsid w:val="2DCF44E2"/>
    <w:rsid w:val="2E3D58F0"/>
    <w:rsid w:val="2EEB534C"/>
    <w:rsid w:val="2F5C7FF7"/>
    <w:rsid w:val="301601A6"/>
    <w:rsid w:val="304E7940"/>
    <w:rsid w:val="306A22A0"/>
    <w:rsid w:val="30A05CC2"/>
    <w:rsid w:val="31224929"/>
    <w:rsid w:val="31C44710"/>
    <w:rsid w:val="31C75DAA"/>
    <w:rsid w:val="31CA1248"/>
    <w:rsid w:val="31E63BA8"/>
    <w:rsid w:val="324A2389"/>
    <w:rsid w:val="32817910"/>
    <w:rsid w:val="33EB6CFF"/>
    <w:rsid w:val="34713BFD"/>
    <w:rsid w:val="34CA77B1"/>
    <w:rsid w:val="353B0B1D"/>
    <w:rsid w:val="35A12947"/>
    <w:rsid w:val="36317AE8"/>
    <w:rsid w:val="368D6CE8"/>
    <w:rsid w:val="36A007CA"/>
    <w:rsid w:val="36A302BA"/>
    <w:rsid w:val="36C24BE4"/>
    <w:rsid w:val="37387040"/>
    <w:rsid w:val="383B0710"/>
    <w:rsid w:val="38966328"/>
    <w:rsid w:val="38D80EA1"/>
    <w:rsid w:val="3B625C0A"/>
    <w:rsid w:val="3B893F22"/>
    <w:rsid w:val="3B9308FD"/>
    <w:rsid w:val="3B986887"/>
    <w:rsid w:val="3BD31641"/>
    <w:rsid w:val="3C0435A9"/>
    <w:rsid w:val="3C157564"/>
    <w:rsid w:val="3C97266F"/>
    <w:rsid w:val="3CEE1963"/>
    <w:rsid w:val="3D167A38"/>
    <w:rsid w:val="3D3F1FF3"/>
    <w:rsid w:val="3DA52B6A"/>
    <w:rsid w:val="3E6E4BB2"/>
    <w:rsid w:val="3F5D2347"/>
    <w:rsid w:val="3FDE0EE3"/>
    <w:rsid w:val="405C3814"/>
    <w:rsid w:val="4121667F"/>
    <w:rsid w:val="42091919"/>
    <w:rsid w:val="421A58D4"/>
    <w:rsid w:val="42FC147E"/>
    <w:rsid w:val="436B78D3"/>
    <w:rsid w:val="43AD4526"/>
    <w:rsid w:val="452F78E8"/>
    <w:rsid w:val="463E3B5B"/>
    <w:rsid w:val="46DA7D28"/>
    <w:rsid w:val="474E2E70"/>
    <w:rsid w:val="47F508A3"/>
    <w:rsid w:val="4AF55130"/>
    <w:rsid w:val="4BF2341E"/>
    <w:rsid w:val="4C8F5111"/>
    <w:rsid w:val="4C9C27FE"/>
    <w:rsid w:val="4DBA7F6B"/>
    <w:rsid w:val="4F5341C2"/>
    <w:rsid w:val="4FE17A31"/>
    <w:rsid w:val="50F47C38"/>
    <w:rsid w:val="512260B4"/>
    <w:rsid w:val="52BD6ACB"/>
    <w:rsid w:val="549459BA"/>
    <w:rsid w:val="55537534"/>
    <w:rsid w:val="55A734CB"/>
    <w:rsid w:val="561A74F1"/>
    <w:rsid w:val="597244E8"/>
    <w:rsid w:val="5A0802B0"/>
    <w:rsid w:val="5AE26D53"/>
    <w:rsid w:val="5AF32D0E"/>
    <w:rsid w:val="5BEF12BC"/>
    <w:rsid w:val="5C9E17D1"/>
    <w:rsid w:val="5CCB7A9F"/>
    <w:rsid w:val="5DBB3FB7"/>
    <w:rsid w:val="5DC0337C"/>
    <w:rsid w:val="5E1D07CE"/>
    <w:rsid w:val="5E563CE0"/>
    <w:rsid w:val="5E7C2230"/>
    <w:rsid w:val="5EB71C30"/>
    <w:rsid w:val="5ED370DF"/>
    <w:rsid w:val="5F1576F7"/>
    <w:rsid w:val="6061058D"/>
    <w:rsid w:val="60997EB4"/>
    <w:rsid w:val="60EB4BB4"/>
    <w:rsid w:val="61970898"/>
    <w:rsid w:val="6245446B"/>
    <w:rsid w:val="6330782E"/>
    <w:rsid w:val="633914DA"/>
    <w:rsid w:val="63A159FD"/>
    <w:rsid w:val="64373C6C"/>
    <w:rsid w:val="66AF0CE5"/>
    <w:rsid w:val="66AF3F8D"/>
    <w:rsid w:val="67BD26DA"/>
    <w:rsid w:val="67F02AB0"/>
    <w:rsid w:val="682B7F8C"/>
    <w:rsid w:val="683A01CF"/>
    <w:rsid w:val="69981651"/>
    <w:rsid w:val="69A17166"/>
    <w:rsid w:val="6A527A52"/>
    <w:rsid w:val="6A793230"/>
    <w:rsid w:val="6A7F45BF"/>
    <w:rsid w:val="6A995C7D"/>
    <w:rsid w:val="6A9A5C09"/>
    <w:rsid w:val="6AC537CF"/>
    <w:rsid w:val="6C425C56"/>
    <w:rsid w:val="6C9C6D62"/>
    <w:rsid w:val="6CDE737B"/>
    <w:rsid w:val="6E2F3C06"/>
    <w:rsid w:val="6E5B14A6"/>
    <w:rsid w:val="6FB40867"/>
    <w:rsid w:val="711B255E"/>
    <w:rsid w:val="741D2E7E"/>
    <w:rsid w:val="75196D0D"/>
    <w:rsid w:val="75662603"/>
    <w:rsid w:val="765608C9"/>
    <w:rsid w:val="76E47376"/>
    <w:rsid w:val="77490242"/>
    <w:rsid w:val="78632E2A"/>
    <w:rsid w:val="78852DA0"/>
    <w:rsid w:val="78A034F6"/>
    <w:rsid w:val="79D815F5"/>
    <w:rsid w:val="79F77CCE"/>
    <w:rsid w:val="7A1C7734"/>
    <w:rsid w:val="7A41363F"/>
    <w:rsid w:val="7A552C46"/>
    <w:rsid w:val="7AD26045"/>
    <w:rsid w:val="7B9F686F"/>
    <w:rsid w:val="7BB51E06"/>
    <w:rsid w:val="7BFC3D62"/>
    <w:rsid w:val="7C387F7C"/>
    <w:rsid w:val="7D3354C1"/>
    <w:rsid w:val="7EFB3DBC"/>
    <w:rsid w:val="7F136E37"/>
    <w:rsid w:val="7F4F5EB6"/>
    <w:rsid w:val="7FE83423"/>
    <w:rsid w:val="7FEB208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ody Text"/>
    <w:semiHidden/>
    <w:qFormat/>
    <w:uiPriority w:val="0"/>
    <w:pPr>
      <w:widowControl w:val="0"/>
      <w:jc w:val="both"/>
    </w:pPr>
    <w:rPr>
      <w:rFonts w:ascii="Arial" w:hAnsi="Arial" w:eastAsia="Arial" w:cs="Arial"/>
      <w:kern w:val="2"/>
      <w:sz w:val="21"/>
      <w:szCs w:val="21"/>
      <w:lang w:val="en-US" w:eastAsia="en-US" w:bidi="ar-SA"/>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2522</Words>
  <Characters>2608</Characters>
  <Lines>4</Lines>
  <Paragraphs>1</Paragraphs>
  <TotalTime>9</TotalTime>
  <ScaleCrop>false</ScaleCrop>
  <LinksUpToDate>false</LinksUpToDate>
  <CharactersWithSpaces>2685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小苹果</cp:lastModifiedBy>
  <cp:lastPrinted>2026-05-06T01:43:00Z</cp:lastPrinted>
  <dcterms:modified xsi:type="dcterms:W3CDTF">2026-05-08T07:29:52Z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eyJoZGlkIjoiMjQyNDI0MjIyOTZhZWMxM2MwMjdhZTJjNjgwMmQzYzciLCJ1c2VySWQiOiIyNTAyNjI5MTAifQ==</vt:lpwstr>
  </property>
</Properties>
</file>