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438.65</w:t>
            </w:r>
          </w:p>
        </w:tc>
        <w:tc>
          <w:tcPr>
            <w:tcW w:w="4535" w:type="dxa"/>
            <w:vAlign w:val="center"/>
          </w:tcPr>
          <w:p>
            <w:pPr>
              <w:pStyle w:val="13"/>
            </w:pPr>
            <w:r>
              <w:t>一、一般公共服务支出</w:t>
            </w:r>
          </w:p>
        </w:tc>
        <w:tc>
          <w:tcPr>
            <w:tcW w:w="2126" w:type="dxa"/>
            <w:vAlign w:val="center"/>
          </w:tcPr>
          <w:p>
            <w:pPr>
              <w:pStyle w:val="12"/>
            </w:pPr>
            <w:r>
              <w:t>291.13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438.65</w:t>
            </w:r>
          </w:p>
        </w:tc>
        <w:tc>
          <w:tcPr>
            <w:tcW w:w="4535" w:type="dxa"/>
            <w:vAlign w:val="center"/>
          </w:tcPr>
          <w:p>
            <w:pPr>
              <w:pStyle w:val="15"/>
            </w:pPr>
            <w:r>
              <w:t>本年支出合计</w:t>
            </w:r>
          </w:p>
        </w:tc>
        <w:tc>
          <w:tcPr>
            <w:tcW w:w="2126" w:type="dxa"/>
            <w:vAlign w:val="center"/>
          </w:tcPr>
          <w:p>
            <w:pPr>
              <w:pStyle w:val="16"/>
            </w:pPr>
            <w:r>
              <w:t>440.65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440.65</w:t>
            </w:r>
          </w:p>
        </w:tc>
        <w:tc>
          <w:tcPr>
            <w:tcW w:w="4535" w:type="dxa"/>
            <w:vAlign w:val="center"/>
          </w:tcPr>
          <w:p>
            <w:pPr>
              <w:pStyle w:val="15"/>
            </w:pPr>
            <w:r>
              <w:t>支出总计</w:t>
            </w:r>
          </w:p>
        </w:tc>
        <w:tc>
          <w:tcPr>
            <w:tcW w:w="2126" w:type="dxa"/>
            <w:vAlign w:val="center"/>
          </w:tcPr>
          <w:p>
            <w:pPr>
              <w:pStyle w:val="16"/>
            </w:pPr>
            <w:r>
              <w:t>440.65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440.65</w:t>
            </w:r>
          </w:p>
        </w:tc>
        <w:tc>
          <w:tcPr>
            <w:tcW w:w="1134" w:type="dxa"/>
            <w:vAlign w:val="center"/>
          </w:tcPr>
          <w:p>
            <w:pPr>
              <w:pStyle w:val="16"/>
            </w:pPr>
            <w:r>
              <w:t>438.65</w:t>
            </w:r>
          </w:p>
        </w:tc>
        <w:tc>
          <w:tcPr>
            <w:tcW w:w="1134" w:type="dxa"/>
            <w:vAlign w:val="center"/>
          </w:tcPr>
          <w:p>
            <w:pPr>
              <w:pStyle w:val="16"/>
            </w:pPr>
            <w:r>
              <w:t>438.65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291.13</w:t>
            </w:r>
          </w:p>
        </w:tc>
        <w:tc>
          <w:tcPr>
            <w:tcW w:w="1134" w:type="dxa"/>
            <w:vAlign w:val="center"/>
          </w:tcPr>
          <w:p>
            <w:pPr>
              <w:pStyle w:val="12"/>
            </w:pPr>
            <w:r>
              <w:t>289.13</w:t>
            </w:r>
          </w:p>
        </w:tc>
        <w:tc>
          <w:tcPr>
            <w:tcW w:w="1134" w:type="dxa"/>
            <w:vAlign w:val="center"/>
          </w:tcPr>
          <w:p>
            <w:pPr>
              <w:pStyle w:val="12"/>
            </w:pPr>
            <w:r>
              <w:t>289.13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291.13</w:t>
            </w:r>
          </w:p>
        </w:tc>
        <w:tc>
          <w:tcPr>
            <w:tcW w:w="1134" w:type="dxa"/>
            <w:vAlign w:val="center"/>
          </w:tcPr>
          <w:p>
            <w:pPr>
              <w:pStyle w:val="12"/>
            </w:pPr>
            <w:r>
              <w:t>289.13</w:t>
            </w:r>
          </w:p>
        </w:tc>
        <w:tc>
          <w:tcPr>
            <w:tcW w:w="1134" w:type="dxa"/>
            <w:vAlign w:val="center"/>
          </w:tcPr>
          <w:p>
            <w:pPr>
              <w:pStyle w:val="12"/>
            </w:pPr>
            <w:r>
              <w:t>289.13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275.13</w:t>
            </w:r>
          </w:p>
        </w:tc>
        <w:tc>
          <w:tcPr>
            <w:tcW w:w="1134" w:type="dxa"/>
            <w:vAlign w:val="center"/>
          </w:tcPr>
          <w:p>
            <w:pPr>
              <w:pStyle w:val="12"/>
            </w:pPr>
            <w:r>
              <w:t>275.13</w:t>
            </w:r>
          </w:p>
        </w:tc>
        <w:tc>
          <w:tcPr>
            <w:tcW w:w="1134" w:type="dxa"/>
            <w:vAlign w:val="center"/>
          </w:tcPr>
          <w:p>
            <w:pPr>
              <w:pStyle w:val="12"/>
            </w:pPr>
            <w:r>
              <w:t>275.13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2013402</w:t>
            </w:r>
          </w:p>
        </w:tc>
        <w:tc>
          <w:tcPr>
            <w:tcW w:w="1559" w:type="dxa"/>
            <w:vAlign w:val="center"/>
          </w:tcPr>
          <w:p>
            <w:pPr>
              <w:pStyle w:val="13"/>
            </w:pPr>
            <w:r>
              <w:t>一般行政管理事务</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10.00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2013405</w:t>
            </w:r>
          </w:p>
        </w:tc>
        <w:tc>
          <w:tcPr>
            <w:tcW w:w="1559" w:type="dxa"/>
            <w:vAlign w:val="center"/>
          </w:tcPr>
          <w:p>
            <w:pPr>
              <w:pStyle w:val="13"/>
            </w:pPr>
            <w:r>
              <w:t>华侨事务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99.20</w:t>
            </w:r>
          </w:p>
        </w:tc>
        <w:tc>
          <w:tcPr>
            <w:tcW w:w="1134" w:type="dxa"/>
            <w:vAlign w:val="center"/>
          </w:tcPr>
          <w:p>
            <w:pPr>
              <w:pStyle w:val="12"/>
            </w:pPr>
            <w:r>
              <w:t>99.20</w:t>
            </w:r>
          </w:p>
        </w:tc>
        <w:tc>
          <w:tcPr>
            <w:tcW w:w="1134" w:type="dxa"/>
            <w:vAlign w:val="center"/>
          </w:tcPr>
          <w:p>
            <w:pPr>
              <w:pStyle w:val="12"/>
            </w:pPr>
            <w:r>
              <w:t>99.20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87.61</w:t>
            </w:r>
          </w:p>
        </w:tc>
        <w:tc>
          <w:tcPr>
            <w:tcW w:w="1134" w:type="dxa"/>
            <w:vAlign w:val="center"/>
          </w:tcPr>
          <w:p>
            <w:pPr>
              <w:pStyle w:val="12"/>
            </w:pPr>
            <w:r>
              <w:t>87.61</w:t>
            </w:r>
          </w:p>
        </w:tc>
        <w:tc>
          <w:tcPr>
            <w:tcW w:w="1134" w:type="dxa"/>
            <w:vAlign w:val="center"/>
          </w:tcPr>
          <w:p>
            <w:pPr>
              <w:pStyle w:val="12"/>
            </w:pPr>
            <w:r>
              <w:t>87.61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56.98</w:t>
            </w:r>
          </w:p>
        </w:tc>
        <w:tc>
          <w:tcPr>
            <w:tcW w:w="1134" w:type="dxa"/>
            <w:vAlign w:val="center"/>
          </w:tcPr>
          <w:p>
            <w:pPr>
              <w:pStyle w:val="12"/>
            </w:pPr>
            <w:r>
              <w:t>56.98</w:t>
            </w:r>
          </w:p>
        </w:tc>
        <w:tc>
          <w:tcPr>
            <w:tcW w:w="1134" w:type="dxa"/>
            <w:vAlign w:val="center"/>
          </w:tcPr>
          <w:p>
            <w:pPr>
              <w:pStyle w:val="12"/>
            </w:pPr>
            <w:r>
              <w:t>56.98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30.63</w:t>
            </w:r>
          </w:p>
        </w:tc>
        <w:tc>
          <w:tcPr>
            <w:tcW w:w="1134" w:type="dxa"/>
            <w:vAlign w:val="center"/>
          </w:tcPr>
          <w:p>
            <w:pPr>
              <w:pStyle w:val="12"/>
            </w:pPr>
            <w:r>
              <w:t>30.63</w:t>
            </w:r>
          </w:p>
        </w:tc>
        <w:tc>
          <w:tcPr>
            <w:tcW w:w="1134" w:type="dxa"/>
            <w:vAlign w:val="center"/>
          </w:tcPr>
          <w:p>
            <w:pPr>
              <w:pStyle w:val="12"/>
            </w:pPr>
            <w:r>
              <w:t>30.63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r>
              <w:t>11.59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r>
              <w:t>20.26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r>
              <w:t>30.06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440.65</w:t>
            </w:r>
          </w:p>
        </w:tc>
        <w:tc>
          <w:tcPr>
            <w:tcW w:w="1361" w:type="dxa"/>
            <w:vAlign w:val="center"/>
          </w:tcPr>
          <w:p>
            <w:pPr>
              <w:pStyle w:val="16"/>
            </w:pPr>
            <w:r>
              <w:t>413.06</w:t>
            </w:r>
          </w:p>
        </w:tc>
        <w:tc>
          <w:tcPr>
            <w:tcW w:w="1361" w:type="dxa"/>
            <w:vAlign w:val="center"/>
          </w:tcPr>
          <w:p>
            <w:pPr>
              <w:pStyle w:val="16"/>
            </w:pPr>
            <w:r>
              <w:t>27.59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291.13</w:t>
            </w:r>
          </w:p>
        </w:tc>
        <w:tc>
          <w:tcPr>
            <w:tcW w:w="1361" w:type="dxa"/>
            <w:vAlign w:val="center"/>
          </w:tcPr>
          <w:p>
            <w:pPr>
              <w:pStyle w:val="12"/>
            </w:pPr>
            <w:r>
              <w:t>275.13</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291.13</w:t>
            </w:r>
          </w:p>
        </w:tc>
        <w:tc>
          <w:tcPr>
            <w:tcW w:w="1361" w:type="dxa"/>
            <w:vAlign w:val="center"/>
          </w:tcPr>
          <w:p>
            <w:pPr>
              <w:pStyle w:val="12"/>
            </w:pPr>
            <w:r>
              <w:t>275.13</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275.13</w:t>
            </w:r>
          </w:p>
        </w:tc>
        <w:tc>
          <w:tcPr>
            <w:tcW w:w="1361" w:type="dxa"/>
            <w:vAlign w:val="center"/>
          </w:tcPr>
          <w:p>
            <w:pPr>
              <w:pStyle w:val="12"/>
            </w:pPr>
            <w:r>
              <w:t>275.13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2013402</w:t>
            </w:r>
          </w:p>
        </w:tc>
        <w:tc>
          <w:tcPr>
            <w:tcW w:w="4535" w:type="dxa"/>
            <w:vAlign w:val="center"/>
          </w:tcPr>
          <w:p>
            <w:pPr>
              <w:pStyle w:val="13"/>
            </w:pPr>
            <w:r>
              <w:t>一般行政管理事务</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2013405</w:t>
            </w:r>
          </w:p>
        </w:tc>
        <w:tc>
          <w:tcPr>
            <w:tcW w:w="4535" w:type="dxa"/>
            <w:vAlign w:val="center"/>
          </w:tcPr>
          <w:p>
            <w:pPr>
              <w:pStyle w:val="13"/>
            </w:pPr>
            <w:r>
              <w:t>华侨事务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99.20</w:t>
            </w:r>
          </w:p>
        </w:tc>
        <w:tc>
          <w:tcPr>
            <w:tcW w:w="1361" w:type="dxa"/>
            <w:vAlign w:val="center"/>
          </w:tcPr>
          <w:p>
            <w:pPr>
              <w:pStyle w:val="12"/>
            </w:pPr>
            <w:r>
              <w:t>87.61</w:t>
            </w: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87.61</w:t>
            </w:r>
          </w:p>
        </w:tc>
        <w:tc>
          <w:tcPr>
            <w:tcW w:w="1361" w:type="dxa"/>
            <w:vAlign w:val="center"/>
          </w:tcPr>
          <w:p>
            <w:pPr>
              <w:pStyle w:val="12"/>
            </w:pPr>
            <w:r>
              <w:t>87.61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56.98</w:t>
            </w:r>
          </w:p>
        </w:tc>
        <w:tc>
          <w:tcPr>
            <w:tcW w:w="1361" w:type="dxa"/>
            <w:vAlign w:val="center"/>
          </w:tcPr>
          <w:p>
            <w:pPr>
              <w:pStyle w:val="12"/>
            </w:pPr>
            <w:r>
              <w:t>56.98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30.63</w:t>
            </w:r>
          </w:p>
        </w:tc>
        <w:tc>
          <w:tcPr>
            <w:tcW w:w="1361" w:type="dxa"/>
            <w:vAlign w:val="center"/>
          </w:tcPr>
          <w:p>
            <w:pPr>
              <w:pStyle w:val="12"/>
            </w:pPr>
            <w:r>
              <w:t>30.63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r>
              <w:t>11.59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20.26</w:t>
            </w:r>
          </w:p>
        </w:tc>
        <w:tc>
          <w:tcPr>
            <w:tcW w:w="1361" w:type="dxa"/>
            <w:vAlign w:val="center"/>
          </w:tcPr>
          <w:p>
            <w:pPr>
              <w:pStyle w:val="12"/>
            </w:pPr>
            <w:r>
              <w:t>20.26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20.26</w:t>
            </w:r>
          </w:p>
        </w:tc>
        <w:tc>
          <w:tcPr>
            <w:tcW w:w="1361" w:type="dxa"/>
            <w:vAlign w:val="center"/>
          </w:tcPr>
          <w:p>
            <w:pPr>
              <w:pStyle w:val="12"/>
            </w:pPr>
            <w:r>
              <w:t>20.26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20.26</w:t>
            </w:r>
          </w:p>
        </w:tc>
        <w:tc>
          <w:tcPr>
            <w:tcW w:w="1361" w:type="dxa"/>
            <w:vAlign w:val="center"/>
          </w:tcPr>
          <w:p>
            <w:pPr>
              <w:pStyle w:val="12"/>
            </w:pPr>
            <w:r>
              <w:t>20.26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30.06</w:t>
            </w:r>
          </w:p>
        </w:tc>
        <w:tc>
          <w:tcPr>
            <w:tcW w:w="1361" w:type="dxa"/>
            <w:vAlign w:val="center"/>
          </w:tcPr>
          <w:p>
            <w:pPr>
              <w:pStyle w:val="12"/>
            </w:pPr>
            <w:r>
              <w:t>30.06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30.06</w:t>
            </w:r>
          </w:p>
        </w:tc>
        <w:tc>
          <w:tcPr>
            <w:tcW w:w="1361" w:type="dxa"/>
            <w:vAlign w:val="center"/>
          </w:tcPr>
          <w:p>
            <w:pPr>
              <w:pStyle w:val="12"/>
            </w:pPr>
            <w:r>
              <w:t>30.06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30.06</w:t>
            </w:r>
          </w:p>
        </w:tc>
        <w:tc>
          <w:tcPr>
            <w:tcW w:w="1361" w:type="dxa"/>
            <w:vAlign w:val="center"/>
          </w:tcPr>
          <w:p>
            <w:pPr>
              <w:pStyle w:val="12"/>
            </w:pPr>
            <w:r>
              <w:t>30.06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438.65</w:t>
            </w:r>
          </w:p>
        </w:tc>
        <w:tc>
          <w:tcPr>
            <w:tcW w:w="3402" w:type="dxa"/>
            <w:vAlign w:val="center"/>
          </w:tcPr>
          <w:p>
            <w:pPr>
              <w:pStyle w:val="13"/>
            </w:pPr>
            <w:r>
              <w:t>一、一般公共服务支出</w:t>
            </w:r>
          </w:p>
        </w:tc>
        <w:tc>
          <w:tcPr>
            <w:tcW w:w="1474" w:type="dxa"/>
            <w:vAlign w:val="center"/>
          </w:tcPr>
          <w:p>
            <w:pPr>
              <w:pStyle w:val="12"/>
            </w:pPr>
            <w:r>
              <w:t>291.13</w:t>
            </w:r>
          </w:p>
        </w:tc>
        <w:tc>
          <w:tcPr>
            <w:tcW w:w="1474" w:type="dxa"/>
            <w:vAlign w:val="center"/>
          </w:tcPr>
          <w:p>
            <w:pPr>
              <w:pStyle w:val="12"/>
            </w:pPr>
            <w:r>
              <w:t>291.13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99.20</w:t>
            </w:r>
          </w:p>
        </w:tc>
        <w:tc>
          <w:tcPr>
            <w:tcW w:w="1474" w:type="dxa"/>
            <w:vAlign w:val="center"/>
          </w:tcPr>
          <w:p>
            <w:pPr>
              <w:pStyle w:val="12"/>
            </w:pPr>
            <w:r>
              <w:t>99.20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20.26</w:t>
            </w:r>
          </w:p>
        </w:tc>
        <w:tc>
          <w:tcPr>
            <w:tcW w:w="1474" w:type="dxa"/>
            <w:vAlign w:val="center"/>
          </w:tcPr>
          <w:p>
            <w:pPr>
              <w:pStyle w:val="12"/>
            </w:pPr>
            <w:r>
              <w:t>20.26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30.06</w:t>
            </w:r>
          </w:p>
        </w:tc>
        <w:tc>
          <w:tcPr>
            <w:tcW w:w="1474" w:type="dxa"/>
            <w:vAlign w:val="center"/>
          </w:tcPr>
          <w:p>
            <w:pPr>
              <w:pStyle w:val="12"/>
            </w:pPr>
            <w:r>
              <w:t>30.06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438.65</w:t>
            </w:r>
          </w:p>
        </w:tc>
        <w:tc>
          <w:tcPr>
            <w:tcW w:w="3402" w:type="dxa"/>
            <w:vAlign w:val="center"/>
          </w:tcPr>
          <w:p>
            <w:pPr>
              <w:pStyle w:val="15"/>
            </w:pPr>
            <w:r>
              <w:t>本年支出合计</w:t>
            </w:r>
          </w:p>
        </w:tc>
        <w:tc>
          <w:tcPr>
            <w:tcW w:w="1474" w:type="dxa"/>
            <w:vAlign w:val="center"/>
          </w:tcPr>
          <w:p>
            <w:pPr>
              <w:pStyle w:val="16"/>
            </w:pPr>
            <w:r>
              <w:t>440.65</w:t>
            </w:r>
          </w:p>
        </w:tc>
        <w:tc>
          <w:tcPr>
            <w:tcW w:w="1474" w:type="dxa"/>
            <w:vAlign w:val="center"/>
          </w:tcPr>
          <w:p>
            <w:pPr>
              <w:pStyle w:val="16"/>
            </w:pPr>
            <w:r>
              <w:t>440.65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440.65</w:t>
            </w:r>
          </w:p>
        </w:tc>
        <w:tc>
          <w:tcPr>
            <w:tcW w:w="3402" w:type="dxa"/>
            <w:vAlign w:val="center"/>
          </w:tcPr>
          <w:p>
            <w:pPr>
              <w:pStyle w:val="15"/>
            </w:pPr>
            <w:r>
              <w:t>支出总计</w:t>
            </w:r>
          </w:p>
        </w:tc>
        <w:tc>
          <w:tcPr>
            <w:tcW w:w="1474" w:type="dxa"/>
            <w:vAlign w:val="center"/>
          </w:tcPr>
          <w:p>
            <w:pPr>
              <w:pStyle w:val="16"/>
            </w:pPr>
            <w:r>
              <w:t>440.65</w:t>
            </w:r>
          </w:p>
        </w:tc>
        <w:tc>
          <w:tcPr>
            <w:tcW w:w="1474" w:type="dxa"/>
            <w:vAlign w:val="center"/>
          </w:tcPr>
          <w:p>
            <w:pPr>
              <w:pStyle w:val="16"/>
            </w:pPr>
            <w:r>
              <w:t>440.65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440.65</w:t>
            </w:r>
          </w:p>
        </w:tc>
        <w:tc>
          <w:tcPr>
            <w:tcW w:w="2551" w:type="dxa"/>
            <w:vAlign w:val="center"/>
          </w:tcPr>
          <w:p>
            <w:pPr>
              <w:pStyle w:val="16"/>
            </w:pPr>
            <w:r>
              <w:t>413.06</w:t>
            </w:r>
          </w:p>
        </w:tc>
        <w:tc>
          <w:tcPr>
            <w:tcW w:w="2551" w:type="dxa"/>
            <w:vAlign w:val="center"/>
          </w:tcPr>
          <w:p>
            <w:pPr>
              <w:pStyle w:val="16"/>
            </w:pPr>
            <w:r>
              <w:t>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291.13</w:t>
            </w:r>
          </w:p>
        </w:tc>
        <w:tc>
          <w:tcPr>
            <w:tcW w:w="2551" w:type="dxa"/>
            <w:vAlign w:val="center"/>
          </w:tcPr>
          <w:p>
            <w:pPr>
              <w:pStyle w:val="12"/>
            </w:pPr>
            <w:r>
              <w:t>275.13</w:t>
            </w: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291.13</w:t>
            </w:r>
          </w:p>
        </w:tc>
        <w:tc>
          <w:tcPr>
            <w:tcW w:w="2551" w:type="dxa"/>
            <w:vAlign w:val="center"/>
          </w:tcPr>
          <w:p>
            <w:pPr>
              <w:pStyle w:val="12"/>
            </w:pPr>
            <w:r>
              <w:t>275.13</w:t>
            </w: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275.13</w:t>
            </w:r>
          </w:p>
        </w:tc>
        <w:tc>
          <w:tcPr>
            <w:tcW w:w="2551" w:type="dxa"/>
            <w:vAlign w:val="center"/>
          </w:tcPr>
          <w:p>
            <w:pPr>
              <w:pStyle w:val="12"/>
            </w:pPr>
            <w:r>
              <w:t>275.13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2013402</w:t>
            </w:r>
          </w:p>
        </w:tc>
        <w:tc>
          <w:tcPr>
            <w:tcW w:w="4535" w:type="dxa"/>
            <w:vAlign w:val="center"/>
          </w:tcPr>
          <w:p>
            <w:pPr>
              <w:pStyle w:val="13"/>
            </w:pPr>
            <w:r>
              <w:t>一般行政管理事务</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2013405</w:t>
            </w:r>
          </w:p>
        </w:tc>
        <w:tc>
          <w:tcPr>
            <w:tcW w:w="4535" w:type="dxa"/>
            <w:vAlign w:val="center"/>
          </w:tcPr>
          <w:p>
            <w:pPr>
              <w:pStyle w:val="13"/>
            </w:pPr>
            <w:r>
              <w:t>华侨事务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99.20</w:t>
            </w:r>
          </w:p>
        </w:tc>
        <w:tc>
          <w:tcPr>
            <w:tcW w:w="2551" w:type="dxa"/>
            <w:vAlign w:val="center"/>
          </w:tcPr>
          <w:p>
            <w:pPr>
              <w:pStyle w:val="12"/>
            </w:pPr>
            <w:r>
              <w:t>87.61</w:t>
            </w:r>
          </w:p>
        </w:tc>
        <w:tc>
          <w:tcPr>
            <w:tcW w:w="2551" w:type="dxa"/>
            <w:vAlign w:val="center"/>
          </w:tcPr>
          <w:p>
            <w:pPr>
              <w:pStyle w:val="12"/>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87.61</w:t>
            </w:r>
          </w:p>
        </w:tc>
        <w:tc>
          <w:tcPr>
            <w:tcW w:w="2551" w:type="dxa"/>
            <w:vAlign w:val="center"/>
          </w:tcPr>
          <w:p>
            <w:pPr>
              <w:pStyle w:val="12"/>
            </w:pPr>
            <w:r>
              <w:t>87.61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56.98</w:t>
            </w:r>
          </w:p>
        </w:tc>
        <w:tc>
          <w:tcPr>
            <w:tcW w:w="2551" w:type="dxa"/>
            <w:vAlign w:val="center"/>
          </w:tcPr>
          <w:p>
            <w:pPr>
              <w:pStyle w:val="12"/>
            </w:pPr>
            <w:r>
              <w:t>56.98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30.63</w:t>
            </w:r>
          </w:p>
        </w:tc>
        <w:tc>
          <w:tcPr>
            <w:tcW w:w="2551" w:type="dxa"/>
            <w:vAlign w:val="center"/>
          </w:tcPr>
          <w:p>
            <w:pPr>
              <w:pStyle w:val="12"/>
            </w:pPr>
            <w:r>
              <w:t>30.63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11.59</w:t>
            </w:r>
          </w:p>
        </w:tc>
        <w:tc>
          <w:tcPr>
            <w:tcW w:w="2551" w:type="dxa"/>
            <w:vAlign w:val="center"/>
          </w:tcPr>
          <w:p>
            <w:pPr>
              <w:pStyle w:val="12"/>
            </w:pPr>
          </w:p>
        </w:tc>
        <w:tc>
          <w:tcPr>
            <w:tcW w:w="2551" w:type="dxa"/>
            <w:vAlign w:val="center"/>
          </w:tcPr>
          <w:p>
            <w:pPr>
              <w:pStyle w:val="12"/>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11.59</w:t>
            </w:r>
          </w:p>
        </w:tc>
        <w:tc>
          <w:tcPr>
            <w:tcW w:w="2551" w:type="dxa"/>
            <w:vAlign w:val="center"/>
          </w:tcPr>
          <w:p>
            <w:pPr>
              <w:pStyle w:val="12"/>
            </w:pPr>
          </w:p>
        </w:tc>
        <w:tc>
          <w:tcPr>
            <w:tcW w:w="2551" w:type="dxa"/>
            <w:vAlign w:val="center"/>
          </w:tcPr>
          <w:p>
            <w:pPr>
              <w:pStyle w:val="12"/>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413.06</w:t>
            </w:r>
          </w:p>
        </w:tc>
        <w:tc>
          <w:tcPr>
            <w:tcW w:w="2551" w:type="dxa"/>
            <w:vAlign w:val="center"/>
          </w:tcPr>
          <w:p>
            <w:pPr>
              <w:pStyle w:val="16"/>
            </w:pPr>
            <w:r>
              <w:t>373.13</w:t>
            </w:r>
          </w:p>
        </w:tc>
        <w:tc>
          <w:tcPr>
            <w:tcW w:w="2551" w:type="dxa"/>
            <w:vAlign w:val="center"/>
          </w:tcPr>
          <w:p>
            <w:pPr>
              <w:pStyle w:val="16"/>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316.66</w:t>
            </w:r>
          </w:p>
        </w:tc>
        <w:tc>
          <w:tcPr>
            <w:tcW w:w="2551" w:type="dxa"/>
            <w:vAlign w:val="center"/>
          </w:tcPr>
          <w:p>
            <w:pPr>
              <w:pStyle w:val="12"/>
            </w:pPr>
            <w:r>
              <w:t>316.66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87.43</w:t>
            </w:r>
          </w:p>
        </w:tc>
        <w:tc>
          <w:tcPr>
            <w:tcW w:w="2551" w:type="dxa"/>
            <w:vAlign w:val="center"/>
          </w:tcPr>
          <w:p>
            <w:pPr>
              <w:pStyle w:val="12"/>
            </w:pPr>
            <w:r>
              <w:t>87.43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54.35</w:t>
            </w:r>
          </w:p>
        </w:tc>
        <w:tc>
          <w:tcPr>
            <w:tcW w:w="2551" w:type="dxa"/>
            <w:vAlign w:val="center"/>
          </w:tcPr>
          <w:p>
            <w:pPr>
              <w:pStyle w:val="12"/>
            </w:pPr>
            <w:r>
              <w:t>54.35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57.36</w:t>
            </w:r>
          </w:p>
        </w:tc>
        <w:tc>
          <w:tcPr>
            <w:tcW w:w="2551" w:type="dxa"/>
            <w:vAlign w:val="center"/>
          </w:tcPr>
          <w:p>
            <w:pPr>
              <w:pStyle w:val="12"/>
            </w:pPr>
            <w:r>
              <w:t>57.36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35.56</w:t>
            </w:r>
          </w:p>
        </w:tc>
        <w:tc>
          <w:tcPr>
            <w:tcW w:w="2551" w:type="dxa"/>
            <w:vAlign w:val="center"/>
          </w:tcPr>
          <w:p>
            <w:pPr>
              <w:pStyle w:val="12"/>
            </w:pPr>
            <w:r>
              <w:t>35.56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30.63</w:t>
            </w:r>
          </w:p>
        </w:tc>
        <w:tc>
          <w:tcPr>
            <w:tcW w:w="2551" w:type="dxa"/>
            <w:vAlign w:val="center"/>
          </w:tcPr>
          <w:p>
            <w:pPr>
              <w:pStyle w:val="12"/>
            </w:pPr>
            <w:r>
              <w:t>30.63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10.43</w:t>
            </w:r>
          </w:p>
        </w:tc>
        <w:tc>
          <w:tcPr>
            <w:tcW w:w="2551" w:type="dxa"/>
            <w:vAlign w:val="center"/>
          </w:tcPr>
          <w:p>
            <w:pPr>
              <w:pStyle w:val="12"/>
            </w:pPr>
            <w:r>
              <w:t>10.43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9.83</w:t>
            </w:r>
          </w:p>
        </w:tc>
        <w:tc>
          <w:tcPr>
            <w:tcW w:w="2551" w:type="dxa"/>
            <w:vAlign w:val="center"/>
          </w:tcPr>
          <w:p>
            <w:pPr>
              <w:pStyle w:val="12"/>
            </w:pPr>
            <w:r>
              <w:t>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1.01</w:t>
            </w:r>
          </w:p>
        </w:tc>
        <w:tc>
          <w:tcPr>
            <w:tcW w:w="2551" w:type="dxa"/>
            <w:vAlign w:val="center"/>
          </w:tcPr>
          <w:p>
            <w:pPr>
              <w:pStyle w:val="12"/>
            </w:pPr>
            <w:r>
              <w:t>1.01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30.06</w:t>
            </w:r>
          </w:p>
        </w:tc>
        <w:tc>
          <w:tcPr>
            <w:tcW w:w="2551" w:type="dxa"/>
            <w:vAlign w:val="center"/>
          </w:tcPr>
          <w:p>
            <w:pPr>
              <w:pStyle w:val="12"/>
            </w:pPr>
            <w:r>
              <w:t>30.06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39.94</w:t>
            </w:r>
          </w:p>
        </w:tc>
        <w:tc>
          <w:tcPr>
            <w:tcW w:w="2551" w:type="dxa"/>
            <w:vAlign w:val="center"/>
          </w:tcPr>
          <w:p>
            <w:pPr>
              <w:pStyle w:val="12"/>
            </w:pPr>
          </w:p>
        </w:tc>
        <w:tc>
          <w:tcPr>
            <w:tcW w:w="2551" w:type="dxa"/>
            <w:vAlign w:val="center"/>
          </w:tcPr>
          <w:p>
            <w:pPr>
              <w:pStyle w:val="12"/>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10.80</w:t>
            </w:r>
          </w:p>
        </w:tc>
        <w:tc>
          <w:tcPr>
            <w:tcW w:w="2551" w:type="dxa"/>
            <w:vAlign w:val="center"/>
          </w:tcPr>
          <w:p>
            <w:pPr>
              <w:pStyle w:val="12"/>
            </w:pPr>
          </w:p>
        </w:tc>
        <w:tc>
          <w:tcPr>
            <w:tcW w:w="2551"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7.28</w:t>
            </w:r>
          </w:p>
        </w:tc>
        <w:tc>
          <w:tcPr>
            <w:tcW w:w="2551" w:type="dxa"/>
            <w:vAlign w:val="center"/>
          </w:tcPr>
          <w:p>
            <w:pPr>
              <w:pStyle w:val="12"/>
            </w:pPr>
          </w:p>
        </w:tc>
        <w:tc>
          <w:tcPr>
            <w:tcW w:w="2551" w:type="dxa"/>
            <w:vAlign w:val="center"/>
          </w:tcPr>
          <w:p>
            <w:pPr>
              <w:pStyle w:val="12"/>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1.76</w:t>
            </w:r>
          </w:p>
        </w:tc>
        <w:tc>
          <w:tcPr>
            <w:tcW w:w="2551" w:type="dxa"/>
            <w:vAlign w:val="center"/>
          </w:tcPr>
          <w:p>
            <w:pPr>
              <w:pStyle w:val="12"/>
            </w:pPr>
          </w:p>
        </w:tc>
        <w:tc>
          <w:tcPr>
            <w:tcW w:w="2551" w:type="dxa"/>
            <w:vAlign w:val="center"/>
          </w:tcPr>
          <w:p>
            <w:pPr>
              <w:pStyle w:val="12"/>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8.88</w:t>
            </w:r>
          </w:p>
        </w:tc>
        <w:tc>
          <w:tcPr>
            <w:tcW w:w="2551" w:type="dxa"/>
            <w:vAlign w:val="center"/>
          </w:tcPr>
          <w:p>
            <w:pPr>
              <w:pStyle w:val="12"/>
            </w:pPr>
          </w:p>
        </w:tc>
        <w:tc>
          <w:tcPr>
            <w:tcW w:w="2551" w:type="dxa"/>
            <w:vAlign w:val="center"/>
          </w:tcPr>
          <w:p>
            <w:pPr>
              <w:pStyle w:val="12"/>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3.89</w:t>
            </w:r>
          </w:p>
        </w:tc>
        <w:tc>
          <w:tcPr>
            <w:tcW w:w="2551" w:type="dxa"/>
            <w:vAlign w:val="center"/>
          </w:tcPr>
          <w:p>
            <w:pPr>
              <w:pStyle w:val="12"/>
            </w:pPr>
          </w:p>
        </w:tc>
        <w:tc>
          <w:tcPr>
            <w:tcW w:w="2551" w:type="dxa"/>
            <w:vAlign w:val="center"/>
          </w:tcPr>
          <w:p>
            <w:pPr>
              <w:pStyle w:val="12"/>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56.46</w:t>
            </w:r>
          </w:p>
        </w:tc>
        <w:tc>
          <w:tcPr>
            <w:tcW w:w="2551" w:type="dxa"/>
            <w:vAlign w:val="center"/>
          </w:tcPr>
          <w:p>
            <w:pPr>
              <w:pStyle w:val="12"/>
            </w:pPr>
            <w:r>
              <w:t>56.46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21.83</w:t>
            </w:r>
          </w:p>
        </w:tc>
        <w:tc>
          <w:tcPr>
            <w:tcW w:w="2551" w:type="dxa"/>
            <w:vAlign w:val="center"/>
          </w:tcPr>
          <w:p>
            <w:pPr>
              <w:pStyle w:val="12"/>
            </w:pPr>
            <w:r>
              <w:t>21.83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34.64</w:t>
            </w:r>
          </w:p>
        </w:tc>
        <w:tc>
          <w:tcPr>
            <w:tcW w:w="2551" w:type="dxa"/>
            <w:vAlign w:val="center"/>
          </w:tcPr>
          <w:p>
            <w:pPr>
              <w:pStyle w:val="12"/>
            </w:pPr>
            <w:r>
              <w:t>34.64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中共石家庄市鹿泉区委统一战线工作部2026年部门预算信息公开情况说明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按照《中华人民共和国预算法》、《地方预决算公开操作规程》和《关于进一步推进预算公开工作的实施意见》规定，现将中共石家庄市鹿泉区委统一战线工作部2026年部门预算公开如下：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根据《中共石家庄市鹿泉区委统一战线工作部职能配置、内设机构和人员编制规定》，中共石家庄市鹿泉区委统一战线工作部的主要职责是：</w:t>
      </w:r>
    </w:p>
    <w:p>
      <w:pPr>
        <w:pStyle w:val="18"/>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8"/>
      </w:pPr>
      <w:r>
        <w:t>（二）开展统一战线理论研究，贯彻落实统一战线工作的政策、地方性法规等，深入调查研究，及时向区委报告统一战线工作情况并提出建议，统筹协调和指导各乡镇（区）各部门各单位统一战线工作。</w:t>
      </w:r>
    </w:p>
    <w:p>
      <w:pPr>
        <w:pStyle w:val="18"/>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8"/>
      </w:pPr>
      <w:r>
        <w:t>（四）贯彻落实党的宣传工作方针，统筹推进全区统一战线宣传工作，拟订全区统一战线宣传工作规划并组织实施，研判涉及统一战线的舆情并协调有关部门应对处置。</w:t>
      </w:r>
    </w:p>
    <w:p>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8"/>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土健康成长。</w:t>
      </w:r>
    </w:p>
    <w:p>
      <w:pPr>
        <w:pStyle w:val="18"/>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8"/>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8"/>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8"/>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8"/>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中共石家庄市鹿泉区委统一战线工作部本级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按照预算管理有关规定，目前部门预算的编制实行综合预算管理，即全部收入和支出都反映在预算中。中共石家庄市鹿泉区委统一战线工作部机关及所属事业单位的收支包含在部门预算中。</w:t>
      </w:r>
    </w:p>
    <w:p>
      <w:pPr>
        <w:pStyle w:val="19"/>
      </w:pPr>
      <w:r>
        <w:t>1、收入说明</w:t>
      </w:r>
    </w:p>
    <w:p>
      <w:pPr>
        <w:pStyle w:val="19"/>
      </w:pPr>
      <w:r>
        <w:t>反映本部门当年全部收入。2026年预算收入440.65万元，其中：一般公共预算收入438.65万元，基金预算收入0.00万元，国有资本经营预算收入0.00万元，财政专户核拨收入0.00万元，单位资金收入0.00万元，上年结转结余2.00万元。</w:t>
      </w:r>
    </w:p>
    <w:p>
      <w:pPr>
        <w:pStyle w:val="19"/>
      </w:pPr>
      <w:r>
        <w:t>2、支出说明</w:t>
      </w:r>
    </w:p>
    <w:p>
      <w:pPr>
        <w:pStyle w:val="19"/>
      </w:pPr>
      <w:r>
        <w:t>收支预算总表支出栏、基本支出表、项目支出表按经济分类和支出功能分类科目编制，反映中共石家庄市鹿泉区委统一战线工作部年度部门预算中支出预算的总体情况。2026年支出预算440.65万元，其中基本支出413.06万元，包括人员经费373.13万元和日常公用经费39.94万元；项目支出27.59万元，主要为民族宗教工作专项经费8万元，党外知识分子和新的社会阶层人士统战工作经费1万元，民主党派工作经费2万元，台侨工作经费2万元，涉军人员工资及社保11.59万元，数字统战平台建设费、维护费1万，结转关于下达省市级宗教事务管理补助经费2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2026年预算收支安排440.65万元，较2025年预算增加20.65万元，其中：基本支出增加50.79万元，主要为人员经费支出增加</w:t>
      </w:r>
      <w:r>
        <w:rPr>
          <w:rFonts w:hint="eastAsia"/>
          <w:lang w:eastAsia="zh-CN"/>
        </w:rPr>
        <w:t>；</w:t>
      </w:r>
      <w:r>
        <w:t>项目支出减少30.14万元，主要为减少民族宗教专项支出经费2万元、统战工作协调机制专项经费3万元、党外知识分子和新的社会阶层人士统战工作经费2万元、民主党派工作经费1万元、台侨工作经费2万元、涉军人员工资 及社保7.14万元、数字统战平台建设费、维护费13万元支出。预计下年使用的单位资金结余增加0.00万元。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2026年，我部门机关运行经费共计安排39.94万元，主要用于日常维修、办公用房水电费、办公用房取暖费、办公用房物业管理费等日常运行支出。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2026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3"/>
      </w:pPr>
      <w:r>
        <w:t>2.强化系统治理，切实维护宗教领域的和谐稳定。系统推进我国宗教中国化，加强宗教场所规范化管理及宗教事务依法治理，切实维护宗教领域和谐稳定。提升民族事务治理水平，全面推进民族团结进步创建工作，打造民族团结示范点位，开展民族团结宣传月活动。</w:t>
      </w:r>
    </w:p>
    <w:p>
      <w:pPr>
        <w:pStyle w:val="23"/>
      </w:pPr>
      <w:r>
        <w:t>3.健全工作机制，提升党外代表人士工作水平。加强党外后备人才数据库动态管理，做好党外干部的储备和推荐使用工作。支持民主党派通过政党协商、主题调研等形式发挥积极作用。发挥党外知识分子和新的社会阶层人士的优势，开展服务群众活动。持续做好新时代民营经济统战工作和侨务工作，不断提升统战工作的科学化水平。</w:t>
      </w:r>
    </w:p>
    <w:p>
      <w:pPr>
        <w:pStyle w:val="23"/>
      </w:pPr>
      <w:r>
        <w:t>4.加强自身建设，提升统战干部队伍能力素质。领导班子落实主体责任，全面从严治党，班子成员落实一岗双责，严格落实党内生活，教育督促党员干部不断加强党员的党性意识和党性修养，不断提高业务能力和素质。深刻领会中央八项规定精神，从严要求，不断改进工作作风。</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1.加强和完善制度建设，不断夯实制度基础。不断加强和完善预算绩效管理制度、资金管理办法，工作保障制度等，为全年预算绩效目标的实现奠定制度基础；</w:t>
      </w:r>
    </w:p>
    <w:p>
      <w:pPr>
        <w:pStyle w:val="24"/>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4"/>
      </w:pPr>
      <w:r>
        <w:t>3、做好绩效自评。按要求开展上年度部门预算绩效自评工作，对评价中发现的问题及时整改，调整优化支出结构，提高财政拨付项目资金的使用效益。</w:t>
      </w:r>
    </w:p>
    <w:p>
      <w:pPr>
        <w:pStyle w:val="24"/>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5、加强宣传培训调研等。通过开展专题培训、宣传政策、观摩交流等形式，提高本部门职工业务素质；加大宣传力度，强化预算绩效管理意识，促进统战各项工作开展。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1、2026年党外知识分子和新的社会阶层人士统战工作经费绩效目标表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13011026P00322710037B</w:t>
            </w:r>
          </w:p>
        </w:tc>
        <w:tc>
          <w:tcPr>
            <w:tcW w:w="2835" w:type="dxa"/>
            <w:vAlign w:val="center"/>
          </w:tcPr>
          <w:p>
            <w:pPr>
              <w:pStyle w:val="11"/>
            </w:pPr>
            <w:r>
              <w:t>项目名称</w:t>
            </w:r>
          </w:p>
        </w:tc>
        <w:tc>
          <w:tcPr>
            <w:tcW w:w="6095" w:type="dxa"/>
            <w:gridSpan w:val="3"/>
            <w:vAlign w:val="center"/>
          </w:tcPr>
          <w:p>
            <w:pPr>
              <w:pStyle w:val="13"/>
            </w:pPr>
            <w:r>
              <w:t>2026年党外知识分子和新的社会阶层人士统战工作经费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党外知识分子和新的社会阶层人士培训班数量</w:t>
            </w:r>
          </w:p>
        </w:tc>
        <w:tc>
          <w:tcPr>
            <w:tcW w:w="5386" w:type="dxa"/>
            <w:vAlign w:val="center"/>
          </w:tcPr>
          <w:p>
            <w:pPr>
              <w:pStyle w:val="13"/>
            </w:pPr>
            <w:r>
              <w:t>全年开展党外知识分子和新的社会阶层人士培训班数量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党外知识分子和新的社会阶层人士培训成本</w:t>
            </w:r>
          </w:p>
        </w:tc>
        <w:tc>
          <w:tcPr>
            <w:tcW w:w="5386" w:type="dxa"/>
            <w:vAlign w:val="center"/>
          </w:tcPr>
          <w:p>
            <w:pPr>
              <w:pStyle w:val="13"/>
            </w:pPr>
            <w:r>
              <w:t>党外知识分子和新的社会阶层人士培训班平均成本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党外知识分子和新的社会阶层人士完成及时率</w:t>
            </w:r>
          </w:p>
        </w:tc>
        <w:tc>
          <w:tcPr>
            <w:tcW w:w="5386" w:type="dxa"/>
            <w:vAlign w:val="center"/>
          </w:tcPr>
          <w:p>
            <w:pPr>
              <w:pStyle w:val="13"/>
            </w:pPr>
            <w:r>
              <w:t>党外知识分子和新的社会阶层人士工作任务完成及时率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党外知识分子和新的社会阶层人士座谈、调研数量</w:t>
            </w:r>
          </w:p>
        </w:tc>
        <w:tc>
          <w:tcPr>
            <w:tcW w:w="5386" w:type="dxa"/>
            <w:vAlign w:val="center"/>
          </w:tcPr>
          <w:p>
            <w:pPr>
              <w:pStyle w:val="13"/>
            </w:pPr>
            <w:r>
              <w:t>开展党外知识分子和新的社会阶层人士座谈、调研相关座谈会数量</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党外知识分子和新的社会阶层人士座谈、调研参与率</w:t>
            </w:r>
          </w:p>
        </w:tc>
        <w:tc>
          <w:tcPr>
            <w:tcW w:w="5386" w:type="dxa"/>
            <w:vAlign w:val="center"/>
          </w:tcPr>
          <w:p>
            <w:pPr>
              <w:pStyle w:val="13"/>
            </w:pPr>
            <w:r>
              <w:t>参加党外知识分子和新的社会阶层人士座谈、调研培训占应参加培训、调研人数的比例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党外知识分子和新的社会阶层人士座谈、调研成本</w:t>
            </w:r>
          </w:p>
        </w:tc>
        <w:tc>
          <w:tcPr>
            <w:tcW w:w="5386" w:type="dxa"/>
            <w:vAlign w:val="center"/>
          </w:tcPr>
          <w:p>
            <w:pPr>
              <w:pStyle w:val="13"/>
            </w:pPr>
            <w:r>
              <w:t>召开党外知识分子和新的社会阶层人士座谈、调研平均成本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党外知识分子和新的社会阶层人士社会服务数量</w:t>
            </w:r>
          </w:p>
        </w:tc>
        <w:tc>
          <w:tcPr>
            <w:tcW w:w="5386" w:type="dxa"/>
            <w:vAlign w:val="center"/>
          </w:tcPr>
          <w:p>
            <w:pPr>
              <w:pStyle w:val="13"/>
            </w:pPr>
            <w:r>
              <w:t>全年开展党外知识分子和新的社会阶层人士服务社会数量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党外知识分子和新的社会阶层人士社会服务成本</w:t>
            </w:r>
          </w:p>
        </w:tc>
        <w:tc>
          <w:tcPr>
            <w:tcW w:w="5386" w:type="dxa"/>
            <w:vAlign w:val="center"/>
          </w:tcPr>
          <w:p>
            <w:pPr>
              <w:pStyle w:val="13"/>
            </w:pPr>
            <w:r>
              <w:t>党外知识分子和新的社会阶层人士社会服务活动平均成本</w:t>
            </w:r>
          </w:p>
        </w:tc>
        <w:tc>
          <w:tcPr>
            <w:tcW w:w="2268" w:type="dxa"/>
            <w:vAlign w:val="center"/>
          </w:tcPr>
          <w:p>
            <w:pPr>
              <w:pStyle w:val="13"/>
            </w:pPr>
            <w:r>
              <w:t>≤1000元/次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党外知识分子和新的社会阶层人士完成及时率</w:t>
            </w:r>
          </w:p>
        </w:tc>
        <w:tc>
          <w:tcPr>
            <w:tcW w:w="5386" w:type="dxa"/>
            <w:vAlign w:val="center"/>
          </w:tcPr>
          <w:p>
            <w:pPr>
              <w:pStyle w:val="13"/>
            </w:pPr>
            <w:r>
              <w:t>党外知识分子和新的社会阶层人士工作任务完成及时率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“寻美 鹿泉”系列活动数量</w:t>
            </w:r>
          </w:p>
        </w:tc>
        <w:tc>
          <w:tcPr>
            <w:tcW w:w="5386" w:type="dxa"/>
            <w:vAlign w:val="center"/>
          </w:tcPr>
          <w:p>
            <w:pPr>
              <w:pStyle w:val="13"/>
            </w:pPr>
            <w:r>
              <w:t>全年组织开展“寻美鹿泉”写生数量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组织活动平均成本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书画展数量</w:t>
            </w:r>
          </w:p>
        </w:tc>
        <w:tc>
          <w:tcPr>
            <w:tcW w:w="5386" w:type="dxa"/>
            <w:vAlign w:val="center"/>
          </w:tcPr>
          <w:p>
            <w:pPr>
              <w:pStyle w:val="13"/>
            </w:pPr>
            <w:r>
              <w:t>组织党外知识分子开展“寻美鹿泉”书画展</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组织活动平均成本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开展相关党外知识分子和新的社会阶层人士培训班，通过组织党外知识分子和新的社会阶层人士开展党的政策理论宣讲和专题培训2次，召开座谈、调研3次，开展社会服务2次，开展“寻美鹿泉”写生活动3次，进一步加强党外知识分子和新的社会阶层人士的思想政治引领。进一步落实习近平总书记提出的”找出最大公约数、画出最大同心圆“的重要指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参加培训人员对培训效果满意程度</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2、2026年民主党派工作经费绩效目标表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13011026P00322710038Y</w:t>
            </w:r>
          </w:p>
        </w:tc>
        <w:tc>
          <w:tcPr>
            <w:tcW w:w="2835" w:type="dxa"/>
            <w:vAlign w:val="center"/>
          </w:tcPr>
          <w:p>
            <w:pPr>
              <w:pStyle w:val="11"/>
            </w:pPr>
            <w:r>
              <w:t>项目名称</w:t>
            </w:r>
          </w:p>
        </w:tc>
        <w:tc>
          <w:tcPr>
            <w:tcW w:w="6095" w:type="dxa"/>
            <w:gridSpan w:val="3"/>
            <w:vAlign w:val="center"/>
          </w:tcPr>
          <w:p>
            <w:pPr>
              <w:pStyle w:val="13"/>
            </w:pPr>
            <w:r>
              <w:t>2026年民主党派工作经费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w:t>
            </w:r>
            <w:r>
              <w:rPr>
                <w:rFonts w:hint="eastAsia"/>
                <w:lang w:val="en-US" w:eastAsia="zh-CN"/>
              </w:rPr>
              <w:t>主</w:t>
            </w:r>
            <w:r>
              <w:t>党派及党外知识分子培训班数量</w:t>
            </w:r>
          </w:p>
        </w:tc>
        <w:tc>
          <w:tcPr>
            <w:tcW w:w="5386" w:type="dxa"/>
            <w:vAlign w:val="center"/>
          </w:tcPr>
          <w:p>
            <w:pPr>
              <w:pStyle w:val="13"/>
            </w:pPr>
            <w:r>
              <w:t>全年召集民主党派、党外知识分子统战团体召开联席会、爱国主义联系，座谈调研</w:t>
            </w:r>
          </w:p>
        </w:tc>
        <w:tc>
          <w:tcPr>
            <w:tcW w:w="2268" w:type="dxa"/>
            <w:vAlign w:val="center"/>
          </w:tcPr>
          <w:p>
            <w:pPr>
              <w:pStyle w:val="13"/>
            </w:pPr>
            <w:r>
              <w:t>≥7次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民</w:t>
            </w:r>
            <w:r>
              <w:rPr>
                <w:rFonts w:hint="eastAsia"/>
                <w:lang w:val="en-US" w:eastAsia="zh-CN"/>
              </w:rPr>
              <w:t>主</w:t>
            </w:r>
            <w:bookmarkStart w:id="20" w:name="_GoBack"/>
            <w:bookmarkEnd w:id="20"/>
            <w:r>
              <w:t>党派、无党派及统战团体联席会</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开展调研及座谈会数量</w:t>
            </w:r>
          </w:p>
        </w:tc>
        <w:tc>
          <w:tcPr>
            <w:tcW w:w="5386" w:type="dxa"/>
            <w:vAlign w:val="center"/>
          </w:tcPr>
          <w:p>
            <w:pPr>
              <w:pStyle w:val="13"/>
            </w:pPr>
            <w:r>
              <w:t>全年开展民主党派、党外知识分子座谈会</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党外知识分子培训参与率</w:t>
            </w:r>
          </w:p>
        </w:tc>
        <w:tc>
          <w:tcPr>
            <w:tcW w:w="5386" w:type="dxa"/>
            <w:vAlign w:val="center"/>
          </w:tcPr>
          <w:p>
            <w:pPr>
              <w:pStyle w:val="13"/>
            </w:pPr>
            <w:r>
              <w:t>参加民主党派及党外知识分子培训占应参加培训人数的比例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座谈会成本</w:t>
            </w:r>
          </w:p>
        </w:tc>
        <w:tc>
          <w:tcPr>
            <w:tcW w:w="5386" w:type="dxa"/>
            <w:vAlign w:val="center"/>
          </w:tcPr>
          <w:p>
            <w:pPr>
              <w:pStyle w:val="13"/>
            </w:pPr>
            <w:r>
              <w:t>召开座谈会平均成本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普法进社区及法律咨询等社会服务数量</w:t>
            </w:r>
          </w:p>
        </w:tc>
        <w:tc>
          <w:tcPr>
            <w:tcW w:w="5386" w:type="dxa"/>
            <w:vAlign w:val="center"/>
          </w:tcPr>
          <w:p>
            <w:pPr>
              <w:pStyle w:val="13"/>
            </w:pPr>
            <w:r>
              <w:t>为提高鹿泉影响力组织民主党派及各阶层召开爱国主义教育、服务社会数量</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普法进社区及法律咨询等社会服务成本</w:t>
            </w:r>
          </w:p>
        </w:tc>
        <w:tc>
          <w:tcPr>
            <w:tcW w:w="5386" w:type="dxa"/>
            <w:vAlign w:val="center"/>
          </w:tcPr>
          <w:p>
            <w:pPr>
              <w:pStyle w:val="13"/>
            </w:pPr>
            <w:r>
              <w:t>社会服务活动平均成本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为切实提高同中国共产党同心同德、团结奋斗的的能力素质，开展相关民主党派及党外知识分子培训班2次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召开民主党派及党外知识分子调研座谈2次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为提高鹿泉影响力，突出鹿泉产业美、风景美提高影响力，从而带动经济发展特组织各界人士开展“寻美鹿泉”画展展览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3、2026年民族宗教工作专项经费绩效目标表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13011026P003227100354</w:t>
            </w:r>
          </w:p>
        </w:tc>
        <w:tc>
          <w:tcPr>
            <w:tcW w:w="2835" w:type="dxa"/>
            <w:vAlign w:val="center"/>
          </w:tcPr>
          <w:p>
            <w:pPr>
              <w:pStyle w:val="11"/>
            </w:pPr>
            <w:r>
              <w:t>项目名称</w:t>
            </w:r>
          </w:p>
        </w:tc>
        <w:tc>
          <w:tcPr>
            <w:tcW w:w="6095" w:type="dxa"/>
            <w:gridSpan w:val="3"/>
            <w:vAlign w:val="center"/>
          </w:tcPr>
          <w:p>
            <w:pPr>
              <w:pStyle w:val="13"/>
            </w:pPr>
            <w:r>
              <w:t>2026年民族宗教工作专项经费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提升民族事务治理水平，全面推进民族团结进步创建工作，主要用于：民族团结进步示范点位打造；开展民族团结进步宣传月活动；开展民族工作观摩学习等。主要用于日常办公经费，保障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p>
            <w:pPr>
              <w:pStyle w:val="13"/>
            </w:pPr>
            <w:r>
              <w:t>2.二、提升民族事务治理水平，全面推进民族团结进步创建工作，主要用于：民族团结进步示范点位打造；开展民族团结进步宣传月活动；开展民族工作观摩学习等。</w:t>
            </w:r>
          </w:p>
          <w:p>
            <w:pPr>
              <w:pStyle w:val="13"/>
            </w:pPr>
            <w:r>
              <w:t>3.三、主要用于日常办公经费，保障日常工作开展。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开展宗教干部培训、宗教界人士培训、爱国主义教育</w:t>
            </w:r>
          </w:p>
        </w:tc>
        <w:tc>
          <w:tcPr>
            <w:tcW w:w="5386" w:type="dxa"/>
            <w:vAlign w:val="center"/>
          </w:tcPr>
          <w:p>
            <w:pPr>
              <w:pStyle w:val="13"/>
            </w:pPr>
            <w:r>
              <w:t>培训学习次数</w:t>
            </w:r>
          </w:p>
        </w:tc>
        <w:tc>
          <w:tcPr>
            <w:tcW w:w="2268" w:type="dxa"/>
            <w:vAlign w:val="center"/>
          </w:tcPr>
          <w:p>
            <w:pPr>
              <w:pStyle w:val="13"/>
            </w:pPr>
            <w:r>
              <w:t>≥6次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宗教场所及宗教教职人员培训覆盖率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每季度至少一次培训学习</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宗教工作相关培训班平均成本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走访慰问宗教团体宗教场所数量</w:t>
            </w:r>
          </w:p>
        </w:tc>
        <w:tc>
          <w:tcPr>
            <w:tcW w:w="5386" w:type="dxa"/>
            <w:vAlign w:val="center"/>
          </w:tcPr>
          <w:p>
            <w:pPr>
              <w:pStyle w:val="13"/>
            </w:pPr>
            <w:r>
              <w:t>走访宗教团体宗教场所数量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走访慰问覆盖率</w:t>
            </w:r>
          </w:p>
        </w:tc>
        <w:tc>
          <w:tcPr>
            <w:tcW w:w="5386" w:type="dxa"/>
            <w:vAlign w:val="center"/>
          </w:tcPr>
          <w:p>
            <w:pPr>
              <w:pStyle w:val="13"/>
            </w:pPr>
            <w:r>
              <w:t>宗教场所及宗教教职人员走访慰问覆盖率</w:t>
            </w:r>
          </w:p>
        </w:tc>
        <w:tc>
          <w:tcPr>
            <w:tcW w:w="2268" w:type="dxa"/>
            <w:vAlign w:val="center"/>
          </w:tcPr>
          <w:p>
            <w:pPr>
              <w:pStyle w:val="13"/>
            </w:pPr>
            <w:r>
              <w:t>≥50%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及时完成中秋、春节等重要节点走访慰问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走访慰问平均成本</w:t>
            </w:r>
          </w:p>
        </w:tc>
        <w:tc>
          <w:tcPr>
            <w:tcW w:w="5386" w:type="dxa"/>
            <w:vAlign w:val="center"/>
          </w:tcPr>
          <w:p>
            <w:pPr>
              <w:pStyle w:val="13"/>
            </w:pPr>
            <w:r>
              <w:t>走访慰问平均成本</w:t>
            </w:r>
          </w:p>
        </w:tc>
        <w:tc>
          <w:tcPr>
            <w:tcW w:w="2268" w:type="dxa"/>
            <w:vAlign w:val="center"/>
          </w:tcPr>
          <w:p>
            <w:pPr>
              <w:pStyle w:val="13"/>
            </w:pPr>
            <w:r>
              <w:t>≤500元/个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宗教活动场所及宗教团体审计</w:t>
            </w:r>
          </w:p>
        </w:tc>
        <w:tc>
          <w:tcPr>
            <w:tcW w:w="5386" w:type="dxa"/>
            <w:vAlign w:val="center"/>
          </w:tcPr>
          <w:p>
            <w:pPr>
              <w:pStyle w:val="13"/>
            </w:pPr>
            <w:r>
              <w:t>审计场所及团体数</w:t>
            </w:r>
          </w:p>
        </w:tc>
        <w:tc>
          <w:tcPr>
            <w:tcW w:w="2268" w:type="dxa"/>
            <w:vAlign w:val="center"/>
          </w:tcPr>
          <w:p>
            <w:pPr>
              <w:pStyle w:val="13"/>
            </w:pPr>
            <w:r>
              <w:t>≥21个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聘请第三方会计师事务所审计成本</w:t>
            </w:r>
          </w:p>
        </w:tc>
        <w:tc>
          <w:tcPr>
            <w:tcW w:w="5386" w:type="dxa"/>
            <w:vAlign w:val="center"/>
          </w:tcPr>
          <w:p>
            <w:pPr>
              <w:pStyle w:val="13"/>
            </w:pPr>
            <w:r>
              <w:t>宗教活动场所、宗教团体审计平均成本</w:t>
            </w:r>
          </w:p>
        </w:tc>
        <w:tc>
          <w:tcPr>
            <w:tcW w:w="2268" w:type="dxa"/>
            <w:vAlign w:val="center"/>
          </w:tcPr>
          <w:p>
            <w:pPr>
              <w:pStyle w:val="13"/>
            </w:pPr>
            <w:r>
              <w:t>≤2000元/个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提升场所规范化管理水平</w:t>
            </w:r>
          </w:p>
        </w:tc>
        <w:tc>
          <w:tcPr>
            <w:tcW w:w="5386" w:type="dxa"/>
            <w:vAlign w:val="center"/>
          </w:tcPr>
          <w:p>
            <w:pPr>
              <w:pStyle w:val="13"/>
            </w:pPr>
            <w:r>
              <w:t>场所数量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提升费用</w:t>
            </w:r>
          </w:p>
        </w:tc>
        <w:tc>
          <w:tcPr>
            <w:tcW w:w="5386" w:type="dxa"/>
            <w:vAlign w:val="center"/>
          </w:tcPr>
          <w:p>
            <w:pPr>
              <w:pStyle w:val="13"/>
            </w:pPr>
            <w:r>
              <w:t>场所规范化管理提升费用</w:t>
            </w:r>
          </w:p>
        </w:tc>
        <w:tc>
          <w:tcPr>
            <w:tcW w:w="2268" w:type="dxa"/>
            <w:vAlign w:val="center"/>
          </w:tcPr>
          <w:p>
            <w:pPr>
              <w:pStyle w:val="13"/>
            </w:pPr>
            <w:r>
              <w:t>≤5000元/个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日常办公支出及系统维护</w:t>
            </w:r>
          </w:p>
        </w:tc>
        <w:tc>
          <w:tcPr>
            <w:tcW w:w="5386" w:type="dxa"/>
            <w:vAlign w:val="center"/>
          </w:tcPr>
          <w:p>
            <w:pPr>
              <w:pStyle w:val="13"/>
            </w:pPr>
            <w:r>
              <w:t>办公用品</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日常办公支出及系统维护费用</w:t>
            </w:r>
          </w:p>
        </w:tc>
        <w:tc>
          <w:tcPr>
            <w:tcW w:w="5386" w:type="dxa"/>
            <w:vAlign w:val="center"/>
          </w:tcPr>
          <w:p>
            <w:pPr>
              <w:pStyle w:val="13"/>
            </w:pPr>
            <w:r>
              <w:t>日常办公支出及系统维护费用</w:t>
            </w:r>
          </w:p>
        </w:tc>
        <w:tc>
          <w:tcPr>
            <w:tcW w:w="2268" w:type="dxa"/>
            <w:vAlign w:val="center"/>
          </w:tcPr>
          <w:p>
            <w:pPr>
              <w:pStyle w:val="13"/>
            </w:pPr>
            <w:r>
              <w:t>≤20000元/年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民族团结进步示范单位打造</w:t>
            </w:r>
          </w:p>
        </w:tc>
        <w:tc>
          <w:tcPr>
            <w:tcW w:w="5386" w:type="dxa"/>
            <w:vAlign w:val="center"/>
          </w:tcPr>
          <w:p>
            <w:pPr>
              <w:pStyle w:val="13"/>
            </w:pPr>
            <w:r>
              <w:t>民族团结进步示范单位打造数量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民族团结进步示范点位创建成本</w:t>
            </w:r>
          </w:p>
        </w:tc>
        <w:tc>
          <w:tcPr>
            <w:tcW w:w="5386" w:type="dxa"/>
            <w:vAlign w:val="center"/>
          </w:tcPr>
          <w:p>
            <w:pPr>
              <w:pStyle w:val="13"/>
            </w:pPr>
            <w:r>
              <w:t>民族团结进步示范点位创建成本</w:t>
            </w:r>
          </w:p>
        </w:tc>
        <w:tc>
          <w:tcPr>
            <w:tcW w:w="2268" w:type="dxa"/>
            <w:vAlign w:val="center"/>
          </w:tcPr>
          <w:p>
            <w:pPr>
              <w:pStyle w:val="13"/>
            </w:pPr>
            <w:r>
              <w:t>≤7500元/个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民族团结进步宣传活动开展次数</w:t>
            </w:r>
          </w:p>
        </w:tc>
        <w:tc>
          <w:tcPr>
            <w:tcW w:w="5386" w:type="dxa"/>
            <w:vAlign w:val="center"/>
          </w:tcPr>
          <w:p>
            <w:pPr>
              <w:pStyle w:val="13"/>
            </w:pPr>
            <w:r>
              <w:t>开展各类宣传活动次数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及时完成“民族团结进步宣传月”活动开展</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民族团结进步宣传活动成本</w:t>
            </w:r>
          </w:p>
        </w:tc>
        <w:tc>
          <w:tcPr>
            <w:tcW w:w="5386" w:type="dxa"/>
            <w:vAlign w:val="center"/>
          </w:tcPr>
          <w:p>
            <w:pPr>
              <w:pStyle w:val="13"/>
            </w:pPr>
            <w:r>
              <w:t>开展宣传活动成本</w:t>
            </w:r>
          </w:p>
        </w:tc>
        <w:tc>
          <w:tcPr>
            <w:tcW w:w="2268" w:type="dxa"/>
            <w:vAlign w:val="center"/>
          </w:tcPr>
          <w:p>
            <w:pPr>
              <w:pStyle w:val="13"/>
            </w:pPr>
            <w:r>
              <w:t>≤7500元/次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开展民族工作学习观摩活动</w:t>
            </w:r>
          </w:p>
        </w:tc>
        <w:tc>
          <w:tcPr>
            <w:tcW w:w="5386" w:type="dxa"/>
            <w:vAlign w:val="center"/>
          </w:tcPr>
          <w:p>
            <w:pPr>
              <w:pStyle w:val="13"/>
            </w:pPr>
            <w:r>
              <w:t>民族工作学习观摩次数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观摩活动参与度</w:t>
            </w:r>
          </w:p>
        </w:tc>
        <w:tc>
          <w:tcPr>
            <w:tcW w:w="5386" w:type="dxa"/>
            <w:vAlign w:val="center"/>
          </w:tcPr>
          <w:p>
            <w:pPr>
              <w:pStyle w:val="13"/>
            </w:pPr>
            <w:r>
              <w:t>观摩活动参与人数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开展民族工作观摩活动</w:t>
            </w:r>
          </w:p>
        </w:tc>
        <w:tc>
          <w:tcPr>
            <w:tcW w:w="5386" w:type="dxa"/>
            <w:vAlign w:val="center"/>
          </w:tcPr>
          <w:p>
            <w:pPr>
              <w:pStyle w:val="13"/>
            </w:pPr>
            <w:r>
              <w:t>观摩活动成本</w:t>
            </w:r>
          </w:p>
          <w:p>
            <w:pPr>
              <w:pStyle w:val="13"/>
            </w:pP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维护宗教领域和谐稳定</w:t>
            </w:r>
          </w:p>
        </w:tc>
        <w:tc>
          <w:tcPr>
            <w:tcW w:w="5386" w:type="dxa"/>
            <w:vAlign w:val="center"/>
          </w:tcPr>
          <w:p>
            <w:pPr>
              <w:pStyle w:val="13"/>
            </w:pPr>
            <w:r>
              <w:t>维护宗教领域和谐稳定</w:t>
            </w:r>
          </w:p>
        </w:tc>
        <w:tc>
          <w:tcPr>
            <w:tcW w:w="2268" w:type="dxa"/>
            <w:vAlign w:val="center"/>
          </w:tcPr>
          <w:p>
            <w:pPr>
              <w:pStyle w:val="13"/>
            </w:pPr>
            <w:r>
              <w:t>防范化解风险隐患，切实维护宗教领域的和谐稳定。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提升民族事务治理水平，推进民族团结进步创建工作</w:t>
            </w:r>
          </w:p>
        </w:tc>
        <w:tc>
          <w:tcPr>
            <w:tcW w:w="5386" w:type="dxa"/>
            <w:vAlign w:val="center"/>
          </w:tcPr>
          <w:p>
            <w:pPr>
              <w:pStyle w:val="13"/>
            </w:pPr>
            <w:r>
              <w:t>提升民族事务治理水平，推进民族团结进步创建工作</w:t>
            </w:r>
          </w:p>
        </w:tc>
        <w:tc>
          <w:tcPr>
            <w:tcW w:w="2268" w:type="dxa"/>
            <w:vAlign w:val="center"/>
          </w:tcPr>
          <w:p>
            <w:pPr>
              <w:pStyle w:val="13"/>
            </w:pPr>
            <w:r>
              <w:t>铸牢中华民族共同体意识，民族工作高质量发展。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13011026P00322710040X</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11.59</w:t>
            </w:r>
          </w:p>
        </w:tc>
        <w:tc>
          <w:tcPr>
            <w:tcW w:w="2835" w:type="dxa"/>
            <w:vAlign w:val="center"/>
          </w:tcPr>
          <w:p>
            <w:pPr>
              <w:pStyle w:val="11"/>
            </w:pPr>
            <w:r>
              <w:t>其中：财政    资金</w:t>
            </w:r>
          </w:p>
        </w:tc>
        <w:tc>
          <w:tcPr>
            <w:tcW w:w="2551" w:type="dxa"/>
            <w:vAlign w:val="center"/>
          </w:tcPr>
          <w:p>
            <w:pPr>
              <w:pStyle w:val="13"/>
            </w:pPr>
            <w:r>
              <w:t>11.59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鹿办文【2017】31号文件，对符合就业困难且符合政府安排工作条件的退役士兵二名，实行公益性岗位托管安置，帮扶救助到位，加大就业援助工作，实现就业。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1.鹿办文【2017】31号文件，对符合就业困难且符合政府安排工作条件的退役士兵二名，实行公益性岗位托管安置，帮扶救助到位，加大就业援助工作，实现就业。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安排退役军人人数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工资按时发放完成率</w:t>
            </w:r>
          </w:p>
        </w:tc>
        <w:tc>
          <w:tcPr>
            <w:tcW w:w="5386" w:type="dxa"/>
            <w:vAlign w:val="center"/>
          </w:tcPr>
          <w:p>
            <w:pPr>
              <w:pStyle w:val="13"/>
            </w:pPr>
            <w:r>
              <w:t>按时足额发放工资补的次数占总发的次数</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工资发放准时率</w:t>
            </w:r>
          </w:p>
        </w:tc>
        <w:tc>
          <w:tcPr>
            <w:tcW w:w="5386" w:type="dxa"/>
            <w:vAlign w:val="center"/>
          </w:tcPr>
          <w:p>
            <w:pPr>
              <w:pStyle w:val="13"/>
            </w:pPr>
            <w:r>
              <w:t>工资发放准时率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人均发放水平 </w:t>
            </w:r>
          </w:p>
        </w:tc>
        <w:tc>
          <w:tcPr>
            <w:tcW w:w="5386" w:type="dxa"/>
            <w:vAlign w:val="center"/>
          </w:tcPr>
          <w:p>
            <w:pPr>
              <w:pStyle w:val="13"/>
            </w:pPr>
            <w:r>
              <w:t>人均发放水平</w:t>
            </w:r>
          </w:p>
        </w:tc>
        <w:tc>
          <w:tcPr>
            <w:tcW w:w="2268" w:type="dxa"/>
            <w:vAlign w:val="center"/>
          </w:tcPr>
          <w:p>
            <w:pPr>
              <w:pStyle w:val="13"/>
            </w:pPr>
            <w:r>
              <w:t>2人取暖费4400元，工资合计81600元，社保合计29900元，总计115900元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实行公益岗性位托管安置，帮扶救助到位，加大就业援助工作，实现就业。</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对退役军人安置满意度和较满意人数</w:t>
            </w:r>
          </w:p>
        </w:tc>
        <w:tc>
          <w:tcPr>
            <w:tcW w:w="2268" w:type="dxa"/>
            <w:vAlign w:val="center"/>
          </w:tcPr>
          <w:p>
            <w:pPr>
              <w:pStyle w:val="13"/>
            </w:pPr>
            <w:r>
              <w:t>≥90%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5、2026年数字统战平台建设费、维护费绩效目标表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13011026P00322710041H</w:t>
            </w:r>
          </w:p>
        </w:tc>
        <w:tc>
          <w:tcPr>
            <w:tcW w:w="2835" w:type="dxa"/>
            <w:vAlign w:val="center"/>
          </w:tcPr>
          <w:p>
            <w:pPr>
              <w:pStyle w:val="11"/>
            </w:pPr>
            <w:r>
              <w:t>项目名称</w:t>
            </w:r>
          </w:p>
        </w:tc>
        <w:tc>
          <w:tcPr>
            <w:tcW w:w="6095" w:type="dxa"/>
            <w:gridSpan w:val="3"/>
            <w:vAlign w:val="center"/>
          </w:tcPr>
          <w:p>
            <w:pPr>
              <w:pStyle w:val="13"/>
            </w:pPr>
            <w:r>
              <w:t>2026年数字统战平台建设费、维护费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依托专业的数字化建设和运维团队提供技术支持，充分运用云计算、大数据技术，打造数字统战平台，推动统战工作全方位提档升级。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统战工作数字化平台年度维护管理费</w:t>
            </w:r>
          </w:p>
        </w:tc>
        <w:tc>
          <w:tcPr>
            <w:tcW w:w="5386" w:type="dxa"/>
            <w:vAlign w:val="center"/>
          </w:tcPr>
          <w:p>
            <w:pPr>
              <w:pStyle w:val="13"/>
            </w:pPr>
            <w:r>
              <w:t>统战工作数字化平台日常管理维护</w:t>
            </w:r>
          </w:p>
        </w:tc>
        <w:tc>
          <w:tcPr>
            <w:tcW w:w="2268" w:type="dxa"/>
            <w:vAlign w:val="center"/>
          </w:tcPr>
          <w:p>
            <w:pPr>
              <w:pStyle w:val="13"/>
            </w:pPr>
            <w:r>
              <w:t>1个</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数字平台维护完成率</w:t>
            </w:r>
          </w:p>
        </w:tc>
        <w:tc>
          <w:tcPr>
            <w:tcW w:w="5386" w:type="dxa"/>
            <w:vAlign w:val="center"/>
          </w:tcPr>
          <w:p>
            <w:pPr>
              <w:pStyle w:val="13"/>
            </w:pPr>
            <w:r>
              <w:t>数字平台维护完成率</w:t>
            </w:r>
          </w:p>
        </w:tc>
        <w:tc>
          <w:tcPr>
            <w:tcW w:w="2268" w:type="dxa"/>
            <w:vAlign w:val="center"/>
          </w:tcPr>
          <w:p>
            <w:pPr>
              <w:pStyle w:val="13"/>
            </w:pPr>
            <w:r>
              <w:t>100%</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数字平台维护成本</w:t>
            </w:r>
          </w:p>
        </w:tc>
        <w:tc>
          <w:tcPr>
            <w:tcW w:w="5386" w:type="dxa"/>
            <w:vAlign w:val="center"/>
          </w:tcPr>
          <w:p>
            <w:pPr>
              <w:pStyle w:val="13"/>
            </w:pPr>
            <w:r>
              <w:t>数字平台维护成本</w:t>
            </w:r>
          </w:p>
        </w:tc>
        <w:tc>
          <w:tcPr>
            <w:tcW w:w="2268" w:type="dxa"/>
            <w:vAlign w:val="center"/>
          </w:tcPr>
          <w:p>
            <w:pPr>
              <w:pStyle w:val="13"/>
            </w:pPr>
            <w:r>
              <w:t>1万元</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持续发挥作用办</w:t>
            </w:r>
          </w:p>
        </w:tc>
        <w:tc>
          <w:tcPr>
            <w:tcW w:w="5386" w:type="dxa"/>
            <w:vAlign w:val="center"/>
          </w:tcPr>
          <w:p>
            <w:pPr>
              <w:pStyle w:val="13"/>
            </w:pPr>
            <w:r>
              <w:t>持续发挥作用力</w:t>
            </w:r>
          </w:p>
        </w:tc>
        <w:tc>
          <w:tcPr>
            <w:tcW w:w="2268" w:type="dxa"/>
            <w:vAlign w:val="center"/>
          </w:tcPr>
          <w:p>
            <w:pPr>
              <w:pStyle w:val="13"/>
            </w:pPr>
            <w:r>
              <w:t>推动统战工作全方位提档升级</w:t>
            </w:r>
          </w:p>
        </w:tc>
        <w:tc>
          <w:tcPr>
            <w:tcW w:w="1276"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6、2026年台侨工作经费绩效目标表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13011026P00322710039J</w:t>
            </w:r>
          </w:p>
        </w:tc>
        <w:tc>
          <w:tcPr>
            <w:tcW w:w="2835" w:type="dxa"/>
            <w:vAlign w:val="center"/>
          </w:tcPr>
          <w:p>
            <w:pPr>
              <w:pStyle w:val="11"/>
            </w:pPr>
            <w:r>
              <w:t>项目名称</w:t>
            </w:r>
          </w:p>
        </w:tc>
        <w:tc>
          <w:tcPr>
            <w:tcW w:w="6095" w:type="dxa"/>
            <w:gridSpan w:val="3"/>
            <w:vAlign w:val="center"/>
          </w:tcPr>
          <w:p>
            <w:pPr>
              <w:pStyle w:val="13"/>
            </w:pPr>
            <w:r>
              <w:t>2026年台侨工作经费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侨务工作学习教育、座谈会数量</w:t>
            </w:r>
          </w:p>
        </w:tc>
        <w:tc>
          <w:tcPr>
            <w:tcW w:w="5386" w:type="dxa"/>
            <w:vAlign w:val="center"/>
          </w:tcPr>
          <w:p>
            <w:pPr>
              <w:pStyle w:val="13"/>
            </w:pPr>
            <w:r>
              <w:t>侨务工作学习教育、座谈会数量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学习教育和座谈会成本</w:t>
            </w:r>
          </w:p>
        </w:tc>
        <w:tc>
          <w:tcPr>
            <w:tcW w:w="5386" w:type="dxa"/>
            <w:vAlign w:val="center"/>
          </w:tcPr>
          <w:p>
            <w:pPr>
              <w:pStyle w:val="13"/>
            </w:pPr>
            <w:r>
              <w:t>学习教育和座谈会成本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学习教育参与率</w:t>
            </w:r>
          </w:p>
        </w:tc>
        <w:tc>
          <w:tcPr>
            <w:tcW w:w="5386" w:type="dxa"/>
            <w:vAlign w:val="center"/>
          </w:tcPr>
          <w:p>
            <w:pPr>
              <w:pStyle w:val="13"/>
            </w:pPr>
            <w:r>
              <w:t>学习教育参与率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慰问台侨侨眷人数及次数</w:t>
            </w:r>
          </w:p>
        </w:tc>
        <w:tc>
          <w:tcPr>
            <w:tcW w:w="5386" w:type="dxa"/>
            <w:vAlign w:val="center"/>
          </w:tcPr>
          <w:p>
            <w:pPr>
              <w:pStyle w:val="13"/>
            </w:pPr>
            <w:r>
              <w:t>慰问台侨侨眷人数及次数</w:t>
            </w:r>
          </w:p>
        </w:tc>
        <w:tc>
          <w:tcPr>
            <w:tcW w:w="2268" w:type="dxa"/>
            <w:vAlign w:val="center"/>
          </w:tcPr>
          <w:p>
            <w:pPr>
              <w:pStyle w:val="13"/>
            </w:pPr>
            <w:r>
              <w:t>≥1人次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慰问成本</w:t>
            </w:r>
          </w:p>
        </w:tc>
        <w:tc>
          <w:tcPr>
            <w:tcW w:w="5386" w:type="dxa"/>
            <w:vAlign w:val="center"/>
          </w:tcPr>
          <w:p>
            <w:pPr>
              <w:pStyle w:val="13"/>
            </w:pPr>
            <w:r>
              <w:t>慰问成本</w:t>
            </w:r>
          </w:p>
        </w:tc>
        <w:tc>
          <w:tcPr>
            <w:tcW w:w="2268" w:type="dxa"/>
            <w:vAlign w:val="center"/>
          </w:tcPr>
          <w:p>
            <w:pPr>
              <w:pStyle w:val="13"/>
            </w:pPr>
            <w:r>
              <w:t>≤500元/人次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侨胞之家开展国学讲座、健康服务等活动次数</w:t>
            </w:r>
          </w:p>
        </w:tc>
        <w:tc>
          <w:tcPr>
            <w:tcW w:w="5386" w:type="dxa"/>
            <w:vAlign w:val="center"/>
          </w:tcPr>
          <w:p>
            <w:pPr>
              <w:pStyle w:val="13"/>
            </w:pPr>
            <w:r>
              <w:t>侨胞之家开展国学讲座、健康服务等活动次数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活动成本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召开侨联二届四次全会会议数量</w:t>
            </w:r>
          </w:p>
        </w:tc>
        <w:tc>
          <w:tcPr>
            <w:tcW w:w="5386" w:type="dxa"/>
            <w:vAlign w:val="center"/>
          </w:tcPr>
          <w:p>
            <w:pPr>
              <w:pStyle w:val="13"/>
            </w:pPr>
            <w:r>
              <w:t>召开侨联二届四次全会会议数量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会议成本</w:t>
            </w:r>
          </w:p>
        </w:tc>
        <w:tc>
          <w:tcPr>
            <w:tcW w:w="5386" w:type="dxa"/>
            <w:vAlign w:val="center"/>
          </w:tcPr>
          <w:p>
            <w:pPr>
              <w:pStyle w:val="13"/>
            </w:pPr>
            <w:r>
              <w:t>会议成本</w:t>
            </w:r>
          </w:p>
        </w:tc>
        <w:tc>
          <w:tcPr>
            <w:tcW w:w="2268" w:type="dxa"/>
            <w:vAlign w:val="center"/>
          </w:tcPr>
          <w:p>
            <w:pPr>
              <w:pStyle w:val="13"/>
            </w:pPr>
            <w:r>
              <w:t>≤4000元/次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会议参与率</w:t>
            </w:r>
          </w:p>
        </w:tc>
        <w:tc>
          <w:tcPr>
            <w:tcW w:w="5386" w:type="dxa"/>
            <w:vAlign w:val="center"/>
          </w:tcPr>
          <w:p>
            <w:pPr>
              <w:pStyle w:val="13"/>
            </w:pPr>
            <w:r>
              <w:t>会议参与率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召开侨联联谊会数量</w:t>
            </w:r>
          </w:p>
        </w:tc>
        <w:tc>
          <w:tcPr>
            <w:tcW w:w="5386" w:type="dxa"/>
            <w:vAlign w:val="center"/>
          </w:tcPr>
          <w:p>
            <w:pPr>
              <w:pStyle w:val="13"/>
            </w:pPr>
            <w:r>
              <w:t>召开侨联联谊会数量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联谊会成本</w:t>
            </w:r>
          </w:p>
        </w:tc>
        <w:tc>
          <w:tcPr>
            <w:tcW w:w="5386" w:type="dxa"/>
            <w:vAlign w:val="center"/>
          </w:tcPr>
          <w:p>
            <w:pPr>
              <w:pStyle w:val="13"/>
            </w:pPr>
            <w:r>
              <w:t>联谊会成本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联谊会参与率</w:t>
            </w:r>
          </w:p>
        </w:tc>
        <w:tc>
          <w:tcPr>
            <w:tcW w:w="5386" w:type="dxa"/>
            <w:vAlign w:val="center"/>
          </w:tcPr>
          <w:p>
            <w:pPr>
              <w:pStyle w:val="13"/>
            </w:pPr>
            <w:r>
              <w:t>联谊会参与率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《中华人民共和国归侨侨眷权益保护法》及其实施细则宣传，普及相关法律次数</w:t>
            </w:r>
          </w:p>
        </w:tc>
        <w:tc>
          <w:tcPr>
            <w:tcW w:w="5386" w:type="dxa"/>
            <w:vAlign w:val="center"/>
          </w:tcPr>
          <w:p>
            <w:pPr>
              <w:pStyle w:val="13"/>
            </w:pPr>
            <w:r>
              <w:t>《中华人民共和国归侨侨眷权益保护法》及其实施细则宣传，普及相关法律次数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普法宣传成本</w:t>
            </w:r>
          </w:p>
        </w:tc>
        <w:tc>
          <w:tcPr>
            <w:tcW w:w="5386" w:type="dxa"/>
            <w:vAlign w:val="center"/>
          </w:tcPr>
          <w:p>
            <w:pPr>
              <w:pStyle w:val="13"/>
            </w:pPr>
            <w:r>
              <w:t>普法宣传成本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侨胞之家、法律服务中心等活动阵地建设</w:t>
            </w:r>
          </w:p>
        </w:tc>
        <w:tc>
          <w:tcPr>
            <w:tcW w:w="5386" w:type="dxa"/>
            <w:vAlign w:val="center"/>
          </w:tcPr>
          <w:p>
            <w:pPr>
              <w:pStyle w:val="13"/>
            </w:pPr>
            <w:r>
              <w:t>侨胞之家、法律服务中心等活动阵地建设</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装修、制作展牌等成本</w:t>
            </w:r>
          </w:p>
        </w:tc>
        <w:tc>
          <w:tcPr>
            <w:tcW w:w="5386" w:type="dxa"/>
            <w:vAlign w:val="center"/>
          </w:tcPr>
          <w:p>
            <w:pPr>
              <w:pStyle w:val="13"/>
            </w:pPr>
            <w:r>
              <w:t>装修、制作展牌等成本</w:t>
            </w:r>
          </w:p>
        </w:tc>
        <w:tc>
          <w:tcPr>
            <w:tcW w:w="2268" w:type="dxa"/>
            <w:vAlign w:val="center"/>
          </w:tcPr>
          <w:p>
            <w:pPr>
              <w:pStyle w:val="13"/>
            </w:pPr>
            <w:r>
              <w:t>≤5000元/个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招商引资招才引智活动次数</w:t>
            </w:r>
          </w:p>
        </w:tc>
        <w:tc>
          <w:tcPr>
            <w:tcW w:w="5386" w:type="dxa"/>
            <w:vAlign w:val="center"/>
          </w:tcPr>
          <w:p>
            <w:pPr>
              <w:pStyle w:val="13"/>
            </w:pPr>
            <w:r>
              <w:t>招商引资招才引智活动次数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招商引资招才引智活动成本</w:t>
            </w:r>
          </w:p>
        </w:tc>
        <w:tc>
          <w:tcPr>
            <w:tcW w:w="5386" w:type="dxa"/>
            <w:vAlign w:val="center"/>
          </w:tcPr>
          <w:p>
            <w:pPr>
              <w:pStyle w:val="13"/>
            </w:pPr>
            <w:r>
              <w:t>招商引资招才引智活动成本</w:t>
            </w:r>
          </w:p>
        </w:tc>
        <w:tc>
          <w:tcPr>
            <w:tcW w:w="2268" w:type="dxa"/>
            <w:vAlign w:val="center"/>
          </w:tcPr>
          <w:p>
            <w:pPr>
              <w:pStyle w:val="13"/>
            </w:pPr>
            <w:r>
              <w:t>≤9500元/次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通过宣传加强了对台和对海外的影响力，做好港澳台侨海外各界人士 的思想政治引领，做好为侨服务工作。</w:t>
            </w:r>
          </w:p>
        </w:tc>
        <w:tc>
          <w:tcPr>
            <w:tcW w:w="2268" w:type="dxa"/>
            <w:vAlign w:val="center"/>
          </w:tcPr>
          <w:p>
            <w:pPr>
              <w:pStyle w:val="13"/>
            </w:pPr>
            <w:r>
              <w:t>通过印制发放宣传资料等方式，加强对台和对海外的统战政策宣传工作；举办台侨相关学习教育讲座和座谈，进行思想政治引导，增强交流合作、走访慰问台侨侨眷，加强为台侨服务意识。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归侨侨眷等台侨工作对象，被慰问人员满意度</w:t>
            </w:r>
          </w:p>
        </w:tc>
        <w:tc>
          <w:tcPr>
            <w:tcW w:w="5386" w:type="dxa"/>
            <w:vAlign w:val="center"/>
          </w:tcPr>
          <w:p>
            <w:pPr>
              <w:pStyle w:val="13"/>
            </w:pPr>
            <w:r>
              <w:t>台侨工作对象及被慰问人员满意度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7、关于下达2025年省市级宗教事务管理补助经费绩效目标表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13011025P003227100342</w:t>
            </w:r>
          </w:p>
        </w:tc>
        <w:tc>
          <w:tcPr>
            <w:tcW w:w="2835" w:type="dxa"/>
            <w:vAlign w:val="center"/>
          </w:tcPr>
          <w:p>
            <w:pPr>
              <w:pStyle w:val="11"/>
            </w:pPr>
            <w:r>
              <w:t>项目名称</w:t>
            </w:r>
          </w:p>
        </w:tc>
        <w:tc>
          <w:tcPr>
            <w:tcW w:w="6095" w:type="dxa"/>
            <w:gridSpan w:val="3"/>
            <w:vAlign w:val="center"/>
          </w:tcPr>
          <w:p>
            <w:pPr>
              <w:pStyle w:val="13"/>
            </w:pPr>
            <w:r>
              <w:t>关于下达2025年省市级宗教事务管理补助经费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组织宗教界人士开展培训、爱国主义教育</w:t>
            </w:r>
          </w:p>
        </w:tc>
        <w:tc>
          <w:tcPr>
            <w:tcW w:w="5386" w:type="dxa"/>
            <w:vAlign w:val="center"/>
          </w:tcPr>
          <w:p>
            <w:pPr>
              <w:pStyle w:val="13"/>
            </w:pPr>
            <w:r>
              <w:t>组织培训、学习次数</w:t>
            </w:r>
          </w:p>
        </w:tc>
        <w:tc>
          <w:tcPr>
            <w:tcW w:w="2268" w:type="dxa"/>
            <w:vAlign w:val="center"/>
          </w:tcPr>
          <w:p>
            <w:pPr>
              <w:pStyle w:val="13"/>
            </w:pPr>
            <w:r>
              <w:t>&gt;2次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场所规范管理创建提升</w:t>
            </w:r>
          </w:p>
        </w:tc>
        <w:tc>
          <w:tcPr>
            <w:tcW w:w="5386" w:type="dxa"/>
            <w:vAlign w:val="center"/>
          </w:tcPr>
          <w:p>
            <w:pPr>
              <w:pStyle w:val="13"/>
            </w:pPr>
            <w:r>
              <w:t>创建提升场所数量</w:t>
            </w:r>
          </w:p>
        </w:tc>
        <w:tc>
          <w:tcPr>
            <w:tcW w:w="2268" w:type="dxa"/>
            <w:vAlign w:val="center"/>
          </w:tcPr>
          <w:p>
            <w:pPr>
              <w:pStyle w:val="13"/>
            </w:pPr>
            <w:r>
              <w:t>&gt;20个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宗教场所及宗教教职人员培训覆盖率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加强宗教干部队伍建设</w:t>
            </w:r>
          </w:p>
        </w:tc>
        <w:tc>
          <w:tcPr>
            <w:tcW w:w="5386" w:type="dxa"/>
            <w:vAlign w:val="center"/>
          </w:tcPr>
          <w:p>
            <w:pPr>
              <w:pStyle w:val="13"/>
            </w:pPr>
            <w:r>
              <w:t>切实提高宗教事务管理能力</w:t>
            </w:r>
          </w:p>
        </w:tc>
        <w:tc>
          <w:tcPr>
            <w:tcW w:w="2268" w:type="dxa"/>
            <w:vAlign w:val="center"/>
          </w:tcPr>
          <w:p>
            <w:pPr>
              <w:pStyle w:val="13"/>
            </w:pPr>
            <w:r>
              <w:t>切实提高宗教事务管理能力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培训学习完成率</w:t>
            </w:r>
          </w:p>
        </w:tc>
        <w:tc>
          <w:tcPr>
            <w:tcW w:w="5386" w:type="dxa"/>
            <w:vAlign w:val="center"/>
          </w:tcPr>
          <w:p>
            <w:pPr>
              <w:pStyle w:val="13"/>
            </w:pPr>
            <w:r>
              <w:t>按时完成组织各类培训、学习</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场所规范管理创建提升完成率</w:t>
            </w:r>
          </w:p>
        </w:tc>
        <w:tc>
          <w:tcPr>
            <w:tcW w:w="5386" w:type="dxa"/>
            <w:vAlign w:val="center"/>
          </w:tcPr>
          <w:p>
            <w:pPr>
              <w:pStyle w:val="13"/>
            </w:pPr>
            <w:r>
              <w:t>按时完成场所规范管理创建提升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宗教工作相关学习培训平均成本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场所规范管理创建提升</w:t>
            </w:r>
          </w:p>
        </w:tc>
        <w:tc>
          <w:tcPr>
            <w:tcW w:w="5386" w:type="dxa"/>
            <w:vAlign w:val="center"/>
          </w:tcPr>
          <w:p>
            <w:pPr>
              <w:pStyle w:val="13"/>
            </w:pPr>
            <w:r>
              <w:t>宗教活动场所规范管理创建提升费用</w:t>
            </w:r>
          </w:p>
        </w:tc>
        <w:tc>
          <w:tcPr>
            <w:tcW w:w="2268" w:type="dxa"/>
            <w:vAlign w:val="center"/>
          </w:tcPr>
          <w:p>
            <w:pPr>
              <w:pStyle w:val="13"/>
            </w:pPr>
            <w:r>
              <w:t>≤500元/个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维护宗教领域社会稳定</w:t>
            </w:r>
          </w:p>
        </w:tc>
        <w:tc>
          <w:tcPr>
            <w:tcW w:w="5386" w:type="dxa"/>
            <w:vAlign w:val="center"/>
          </w:tcPr>
          <w:p>
            <w:pPr>
              <w:pStyle w:val="13"/>
            </w:pPr>
            <w:r>
              <w:t>排查化解宗教领域各类风险隐患件数</w:t>
            </w:r>
          </w:p>
        </w:tc>
        <w:tc>
          <w:tcPr>
            <w:tcW w:w="2268" w:type="dxa"/>
            <w:vAlign w:val="center"/>
          </w:tcPr>
          <w:p>
            <w:pPr>
              <w:pStyle w:val="13"/>
            </w:pPr>
            <w:r>
              <w:t>&gt;3件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促进全区宗教工作开展，提高基层宗教干部工作能力</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3.05</w:t>
            </w:r>
          </w:p>
        </w:tc>
        <w:tc>
          <w:tcPr>
            <w:tcW w:w="964" w:type="dxa"/>
            <w:vAlign w:val="center"/>
          </w:tcPr>
          <w:p>
            <w:pPr>
              <w:pStyle w:val="16"/>
            </w:pPr>
            <w:r>
              <w:t>3.05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中共石家庄市鹿泉区委统一战线工作部本级小计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3.05</w:t>
            </w:r>
          </w:p>
        </w:tc>
        <w:tc>
          <w:tcPr>
            <w:tcW w:w="964" w:type="dxa"/>
            <w:vAlign w:val="center"/>
          </w:tcPr>
          <w:p>
            <w:pPr>
              <w:pStyle w:val="16"/>
            </w:pPr>
            <w:r>
              <w:t>3.05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29.14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29.14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29.14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35</w:t>
            </w:r>
          </w:p>
        </w:tc>
        <w:tc>
          <w:tcPr>
            <w:tcW w:w="850" w:type="dxa"/>
            <w:vAlign w:val="center"/>
          </w:tcPr>
          <w:p>
            <w:pPr>
              <w:pStyle w:val="12"/>
            </w:pPr>
            <w:r>
              <w:t>0.02</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中共石家庄市鹿泉区委统一战线工作部（含所属单位）上年末固定资产金额为63.40万元（详见下表）。本年度拟购置固定资产总额为0.00万元，已按要求列入政府采购预算，详见政府采购预算表。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213</w:t>
            </w:r>
          </w:p>
        </w:tc>
        <w:tc>
          <w:tcPr>
            <w:tcW w:w="2835" w:type="dxa"/>
            <w:vAlign w:val="center"/>
          </w:tcPr>
          <w:p>
            <w:pPr>
              <w:pStyle w:val="12"/>
            </w:pPr>
            <w:r>
              <w:t>30.12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1A6AC6"/>
    <w:rsid w:val="1A085AAB"/>
    <w:rsid w:val="33BF2903"/>
    <w:rsid w:val="3D72717D"/>
    <w:rsid w:val="3DAA1DC9"/>
    <w:rsid w:val="4A5120C5"/>
    <w:rsid w:val="50A42161"/>
    <w:rsid w:val="5C190553"/>
    <w:rsid w:val="5D8002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TotalTime>15</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2026-02-27T10:09:00Z</dcterms:created>
  <dc:creator>Administrator</dc:creator>
  <cp:lastModifiedBy>Lenovo</cp:lastModifiedBy>
  <dcterms:modified xsi:type="dcterms:W3CDTF">2026-04-22T02:44:57Z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A8BF794931604BE79C921E95638694B2</vt:lpwstr>
  </property>
</Properties>
</file>