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rPr>
          <w:sz w:val="32"/>
          <w:szCs w:val="32"/>
        </w:rPr>
      </w:pPr>
      <w:r>
        <w:rPr>
          <w:rFonts w:ascii="黑体" w:hAnsi="黑体" w:eastAsia="黑体" w:cs="黑体"/>
          <w:b/>
          <w:color w:val="000000"/>
          <w:sz w:val="32"/>
          <w:szCs w:val="32"/>
        </w:rPr>
        <w:t xml:space="preserve"> </w:t>
      </w:r>
    </w:p>
    <w:p>
      <w:pPr>
        <w:pStyle w:val="3"/>
        <w:tabs>
          <w:tab w:val="right" w:leader="dot" w:pos="14572"/>
        </w:tabs>
        <w:rPr>
          <w:sz w:val="32"/>
          <w:szCs w:val="32"/>
        </w:rPr>
      </w:pPr>
      <w:r>
        <w:rPr>
          <w:sz w:val="32"/>
          <w:szCs w:val="32"/>
        </w:rPr>
        <w:fldChar w:fldCharType="begin"/>
      </w:r>
      <w:r>
        <w:rPr>
          <w:sz w:val="32"/>
          <w:szCs w:val="32"/>
        </w:rPr>
        <w:instrText xml:space="preserve">TOC \o "4-4" \h \z \u</w:instrText>
      </w:r>
      <w:r>
        <w:rPr>
          <w:sz w:val="32"/>
          <w:szCs w:val="32"/>
        </w:rPr>
        <w:fldChar w:fldCharType="separate"/>
      </w:r>
      <w:r>
        <w:rPr>
          <w:sz w:val="32"/>
          <w:szCs w:val="32"/>
        </w:rPr>
        <w:fldChar w:fldCharType="begin"/>
      </w:r>
      <w:r>
        <w:rPr>
          <w:sz w:val="32"/>
          <w:szCs w:val="32"/>
        </w:rPr>
        <w:instrText xml:space="preserve"> HYPERLINK \l _Toc30095 </w:instrText>
      </w:r>
      <w:r>
        <w:rPr>
          <w:sz w:val="32"/>
          <w:szCs w:val="32"/>
        </w:rPr>
        <w:fldChar w:fldCharType="separate"/>
      </w:r>
      <w:r>
        <w:rPr>
          <w:rFonts w:ascii="方正小标宋_GBK" w:hAnsi="方正小标宋_GBK" w:eastAsia="方正小标宋_GBK" w:cs="方正小标宋_GBK"/>
          <w:sz w:val="32"/>
          <w:szCs w:val="32"/>
        </w:rPr>
        <w:t>一、石家庄市鹿泉区公用事业管理中心本级收支预算</w:t>
      </w:r>
      <w:r>
        <w:rPr>
          <w:sz w:val="32"/>
          <w:szCs w:val="32"/>
        </w:rPr>
        <w:tab/>
      </w:r>
      <w:r>
        <w:rPr>
          <w:sz w:val="32"/>
          <w:szCs w:val="32"/>
        </w:rPr>
        <w:fldChar w:fldCharType="begin"/>
      </w:r>
      <w:r>
        <w:rPr>
          <w:sz w:val="32"/>
          <w:szCs w:val="32"/>
        </w:rPr>
        <w:instrText xml:space="preserve"> PAGEREF _Toc30095 \h </w:instrText>
      </w:r>
      <w:r>
        <w:rPr>
          <w:sz w:val="32"/>
          <w:szCs w:val="32"/>
        </w:rPr>
        <w:fldChar w:fldCharType="separate"/>
      </w:r>
      <w:r>
        <w:rPr>
          <w:sz w:val="32"/>
          <w:szCs w:val="32"/>
        </w:rPr>
        <w:t>1</w:t>
      </w:r>
      <w:r>
        <w:rPr>
          <w:sz w:val="32"/>
          <w:szCs w:val="32"/>
        </w:rPr>
        <w:fldChar w:fldCharType="end"/>
      </w:r>
      <w:r>
        <w:rPr>
          <w:sz w:val="32"/>
          <w:szCs w:val="32"/>
        </w:rPr>
        <w:fldChar w:fldCharType="end"/>
      </w:r>
    </w:p>
    <w:p>
      <w:pPr>
        <w:pStyle w:val="3"/>
        <w:tabs>
          <w:tab w:val="right" w:leader="dot" w:pos="14572"/>
        </w:tabs>
        <w:rPr>
          <w:sz w:val="32"/>
          <w:szCs w:val="32"/>
        </w:rPr>
      </w:pPr>
      <w:r>
        <w:rPr>
          <w:sz w:val="32"/>
          <w:szCs w:val="32"/>
        </w:rPr>
        <w:fldChar w:fldCharType="begin"/>
      </w:r>
      <w:r>
        <w:rPr>
          <w:sz w:val="32"/>
          <w:szCs w:val="32"/>
        </w:rPr>
        <w:instrText xml:space="preserve"> HYPERLINK \l _Toc14896 </w:instrText>
      </w:r>
      <w:r>
        <w:rPr>
          <w:sz w:val="32"/>
          <w:szCs w:val="32"/>
        </w:rPr>
        <w:fldChar w:fldCharType="separate"/>
      </w:r>
      <w:r>
        <w:rPr>
          <w:rFonts w:hint="eastAsia" w:ascii="方正小标宋_GBK" w:hAnsi="方正小标宋_GBK" w:eastAsia="方正小标宋_GBK" w:cs="方正小标宋_GBK"/>
          <w:sz w:val="32"/>
          <w:szCs w:val="32"/>
          <w:lang w:eastAsia="zh-CN"/>
        </w:rPr>
        <w:t>二</w:t>
      </w:r>
      <w:r>
        <w:rPr>
          <w:rFonts w:ascii="方正小标宋_GBK" w:hAnsi="方正小标宋_GBK" w:eastAsia="方正小标宋_GBK" w:cs="方正小标宋_GBK"/>
          <w:sz w:val="32"/>
          <w:szCs w:val="32"/>
        </w:rPr>
        <w:t>、石家庄市鹿泉区海山公园收支预算</w:t>
      </w:r>
      <w:r>
        <w:rPr>
          <w:sz w:val="32"/>
          <w:szCs w:val="32"/>
        </w:rPr>
        <w:tab/>
      </w:r>
      <w:r>
        <w:rPr>
          <w:sz w:val="32"/>
          <w:szCs w:val="32"/>
        </w:rPr>
        <w:fldChar w:fldCharType="begin"/>
      </w:r>
      <w:r>
        <w:rPr>
          <w:sz w:val="32"/>
          <w:szCs w:val="32"/>
        </w:rPr>
        <w:instrText xml:space="preserve"> PAGEREF _Toc14896 \h </w:instrText>
      </w:r>
      <w:r>
        <w:rPr>
          <w:sz w:val="32"/>
          <w:szCs w:val="32"/>
        </w:rPr>
        <w:fldChar w:fldCharType="separate"/>
      </w:r>
      <w:r>
        <w:rPr>
          <w:sz w:val="32"/>
          <w:szCs w:val="32"/>
        </w:rPr>
        <w:t>61</w:t>
      </w:r>
      <w:r>
        <w:rPr>
          <w:sz w:val="32"/>
          <w:szCs w:val="32"/>
        </w:rPr>
        <w:fldChar w:fldCharType="end"/>
      </w:r>
      <w:r>
        <w:rPr>
          <w:sz w:val="32"/>
          <w:szCs w:val="32"/>
        </w:rPr>
        <w:fldChar w:fldCharType="end"/>
      </w:r>
    </w:p>
    <w:p>
      <w:pPr>
        <w:pStyle w:val="3"/>
        <w:tabs>
          <w:tab w:val="right" w:leader="dot" w:pos="14572"/>
        </w:tabs>
        <w:rPr>
          <w:sz w:val="32"/>
          <w:szCs w:val="32"/>
        </w:rPr>
      </w:pPr>
      <w:r>
        <w:rPr>
          <w:sz w:val="32"/>
          <w:szCs w:val="32"/>
        </w:rPr>
        <w:fldChar w:fldCharType="begin"/>
      </w:r>
      <w:r>
        <w:rPr>
          <w:sz w:val="32"/>
          <w:szCs w:val="32"/>
        </w:rPr>
        <w:instrText xml:space="preserve"> HYPERLINK \l _Toc1340 </w:instrText>
      </w:r>
      <w:r>
        <w:rPr>
          <w:sz w:val="32"/>
          <w:szCs w:val="32"/>
        </w:rPr>
        <w:fldChar w:fldCharType="separate"/>
      </w:r>
      <w:r>
        <w:rPr>
          <w:rFonts w:hint="eastAsia" w:ascii="方正小标宋_GBK" w:hAnsi="方正小标宋_GBK" w:eastAsia="方正小标宋_GBK" w:cs="方正小标宋_GBK"/>
          <w:sz w:val="32"/>
          <w:szCs w:val="32"/>
          <w:lang w:eastAsia="zh-CN"/>
        </w:rPr>
        <w:t>三</w:t>
      </w:r>
      <w:r>
        <w:rPr>
          <w:rFonts w:ascii="方正小标宋_GBK" w:hAnsi="方正小标宋_GBK" w:eastAsia="方正小标宋_GBK" w:cs="方正小标宋_GBK"/>
          <w:sz w:val="32"/>
          <w:szCs w:val="32"/>
        </w:rPr>
        <w:t>、石家庄市鹿泉区市政公用设施管理维护中心收支预算</w:t>
      </w:r>
      <w:r>
        <w:rPr>
          <w:sz w:val="32"/>
          <w:szCs w:val="32"/>
        </w:rPr>
        <w:tab/>
      </w:r>
      <w:r>
        <w:rPr>
          <w:sz w:val="32"/>
          <w:szCs w:val="32"/>
        </w:rPr>
        <w:fldChar w:fldCharType="begin"/>
      </w:r>
      <w:r>
        <w:rPr>
          <w:sz w:val="32"/>
          <w:szCs w:val="32"/>
        </w:rPr>
        <w:instrText xml:space="preserve"> PAGEREF _Toc1340 \h </w:instrText>
      </w:r>
      <w:r>
        <w:rPr>
          <w:sz w:val="32"/>
          <w:szCs w:val="32"/>
        </w:rPr>
        <w:fldChar w:fldCharType="separate"/>
      </w:r>
      <w:r>
        <w:rPr>
          <w:sz w:val="32"/>
          <w:szCs w:val="32"/>
        </w:rPr>
        <w:t>90</w:t>
      </w:r>
      <w:r>
        <w:rPr>
          <w:sz w:val="32"/>
          <w:szCs w:val="32"/>
        </w:rPr>
        <w:fldChar w:fldCharType="end"/>
      </w:r>
      <w:r>
        <w:rPr>
          <w:sz w:val="32"/>
          <w:szCs w:val="32"/>
        </w:rPr>
        <w:fldChar w:fldCharType="end"/>
      </w:r>
    </w:p>
    <w:p>
      <w:pPr>
        <w:pStyle w:val="3"/>
        <w:tabs>
          <w:tab w:val="right" w:leader="dot" w:pos="14572"/>
        </w:tabs>
        <w:rPr>
          <w:sz w:val="32"/>
          <w:szCs w:val="32"/>
        </w:rPr>
      </w:pPr>
      <w:r>
        <w:rPr>
          <w:sz w:val="32"/>
          <w:szCs w:val="32"/>
        </w:rPr>
        <w:fldChar w:fldCharType="begin"/>
      </w:r>
      <w:r>
        <w:rPr>
          <w:sz w:val="32"/>
          <w:szCs w:val="32"/>
        </w:rPr>
        <w:instrText xml:space="preserve"> HYPERLINK \l _Toc11777 </w:instrText>
      </w:r>
      <w:r>
        <w:rPr>
          <w:sz w:val="32"/>
          <w:szCs w:val="32"/>
        </w:rPr>
        <w:fldChar w:fldCharType="separate"/>
      </w:r>
      <w:r>
        <w:rPr>
          <w:rFonts w:hint="eastAsia" w:ascii="方正小标宋_GBK" w:hAnsi="方正小标宋_GBK" w:eastAsia="方正小标宋_GBK" w:cs="方正小标宋_GBK"/>
          <w:sz w:val="32"/>
          <w:szCs w:val="32"/>
          <w:lang w:eastAsia="zh-CN"/>
        </w:rPr>
        <w:t>四</w:t>
      </w:r>
      <w:r>
        <w:rPr>
          <w:rFonts w:ascii="方正小标宋_GBK" w:hAnsi="方正小标宋_GBK" w:eastAsia="方正小标宋_GBK" w:cs="方正小标宋_GBK"/>
          <w:sz w:val="32"/>
          <w:szCs w:val="32"/>
        </w:rPr>
        <w:t>、石家庄市鹿泉区石柏公园收支预算</w:t>
      </w:r>
      <w:r>
        <w:rPr>
          <w:sz w:val="32"/>
          <w:szCs w:val="32"/>
        </w:rPr>
        <w:tab/>
      </w:r>
      <w:r>
        <w:rPr>
          <w:sz w:val="32"/>
          <w:szCs w:val="32"/>
        </w:rPr>
        <w:fldChar w:fldCharType="begin"/>
      </w:r>
      <w:r>
        <w:rPr>
          <w:sz w:val="32"/>
          <w:szCs w:val="32"/>
        </w:rPr>
        <w:instrText xml:space="preserve"> PAGEREF _Toc11777 \h </w:instrText>
      </w:r>
      <w:r>
        <w:rPr>
          <w:sz w:val="32"/>
          <w:szCs w:val="32"/>
        </w:rPr>
        <w:fldChar w:fldCharType="separate"/>
      </w:r>
      <w:r>
        <w:rPr>
          <w:sz w:val="32"/>
          <w:szCs w:val="32"/>
        </w:rPr>
        <w:t>131</w:t>
      </w:r>
      <w:r>
        <w:rPr>
          <w:sz w:val="32"/>
          <w:szCs w:val="32"/>
        </w:rPr>
        <w:fldChar w:fldCharType="end"/>
      </w:r>
      <w:r>
        <w:rPr>
          <w:sz w:val="32"/>
          <w:szCs w:val="32"/>
        </w:rPr>
        <w:fldChar w:fldCharType="end"/>
      </w:r>
    </w:p>
    <w:p>
      <w:pPr>
        <w:pStyle w:val="3"/>
        <w:tabs>
          <w:tab w:val="right" w:leader="dot" w:pos="14572"/>
        </w:tabs>
        <w:rPr>
          <w:sz w:val="32"/>
          <w:szCs w:val="32"/>
        </w:rPr>
      </w:pPr>
      <w:r>
        <w:rPr>
          <w:sz w:val="32"/>
          <w:szCs w:val="32"/>
        </w:rPr>
        <w:fldChar w:fldCharType="begin"/>
      </w:r>
      <w:r>
        <w:rPr>
          <w:sz w:val="32"/>
          <w:szCs w:val="32"/>
        </w:rPr>
        <w:instrText xml:space="preserve"> HYPERLINK \l _Toc22506 </w:instrText>
      </w:r>
      <w:r>
        <w:rPr>
          <w:sz w:val="32"/>
          <w:szCs w:val="32"/>
        </w:rPr>
        <w:fldChar w:fldCharType="separate"/>
      </w:r>
      <w:r>
        <w:rPr>
          <w:rFonts w:hint="eastAsia" w:ascii="方正小标宋_GBK" w:hAnsi="方正小标宋_GBK" w:eastAsia="方正小标宋_GBK" w:cs="方正小标宋_GBK"/>
          <w:sz w:val="32"/>
          <w:szCs w:val="32"/>
          <w:lang w:eastAsia="zh-CN"/>
        </w:rPr>
        <w:t>五</w:t>
      </w:r>
      <w:r>
        <w:rPr>
          <w:rFonts w:ascii="方正小标宋_GBK" w:hAnsi="方正小标宋_GBK" w:eastAsia="方正小标宋_GBK" w:cs="方正小标宋_GBK"/>
          <w:sz w:val="32"/>
          <w:szCs w:val="32"/>
        </w:rPr>
        <w:t>、石家庄市鹿泉区供热服务中心收支预算</w:t>
      </w:r>
      <w:r>
        <w:rPr>
          <w:sz w:val="32"/>
          <w:szCs w:val="32"/>
        </w:rPr>
        <w:tab/>
      </w:r>
      <w:r>
        <w:rPr>
          <w:sz w:val="32"/>
          <w:szCs w:val="32"/>
        </w:rPr>
        <w:fldChar w:fldCharType="begin"/>
      </w:r>
      <w:r>
        <w:rPr>
          <w:sz w:val="32"/>
          <w:szCs w:val="32"/>
        </w:rPr>
        <w:instrText xml:space="preserve"> PAGEREF _Toc22506 \h </w:instrText>
      </w:r>
      <w:r>
        <w:rPr>
          <w:sz w:val="32"/>
          <w:szCs w:val="32"/>
        </w:rPr>
        <w:fldChar w:fldCharType="separate"/>
      </w:r>
      <w:r>
        <w:rPr>
          <w:sz w:val="32"/>
          <w:szCs w:val="32"/>
        </w:rPr>
        <w:t>159</w:t>
      </w:r>
      <w:r>
        <w:rPr>
          <w:sz w:val="32"/>
          <w:szCs w:val="32"/>
        </w:rPr>
        <w:fldChar w:fldCharType="end"/>
      </w:r>
      <w:r>
        <w:rPr>
          <w:sz w:val="32"/>
          <w:szCs w:val="32"/>
        </w:rPr>
        <w:fldChar w:fldCharType="end"/>
      </w:r>
    </w:p>
    <w:p>
      <w:pPr>
        <w:sectPr>
          <w:pgSz w:w="16840" w:h="11900" w:orient="landscape"/>
          <w:pgMar w:top="1587" w:right="1134" w:bottom="1361" w:left="1134" w:header="720" w:footer="720" w:gutter="0"/>
          <w:pgNumType w:start="1"/>
          <w:cols w:space="720" w:num="1"/>
        </w:sectPr>
      </w:pPr>
      <w:r>
        <w:rPr>
          <w:sz w:val="32"/>
          <w:szCs w:val="32"/>
        </w:rPr>
        <w:fldChar w:fldCharType="end"/>
      </w:r>
    </w:p>
    <w:p>
      <w:pPr>
        <w:spacing w:before="0" w:after="0"/>
        <w:ind w:firstLine="0"/>
        <w:jc w:val="center"/>
        <w:outlineLvl w:val="3"/>
      </w:pPr>
      <w:bookmarkStart w:id="0" w:name="_Toc30095"/>
      <w:r>
        <w:rPr>
          <w:rFonts w:ascii="方正小标宋_GBK" w:hAnsi="方正小标宋_GBK" w:eastAsia="方正小标宋_GBK" w:cs="方正小标宋_GBK"/>
          <w:b w:val="0"/>
          <w:color w:val="000000"/>
          <w:sz w:val="44"/>
        </w:rPr>
        <w:t>一、石家庄市鹿泉区公用事业管理中心本级收支预算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8695.76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8571.43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8895.76</w:t>
            </w:r>
          </w:p>
        </w:tc>
        <w:tc>
          <w:tcPr>
            <w:tcW w:w="4535" w:type="dxa"/>
            <w:vAlign w:val="center"/>
          </w:tcPr>
          <w:p>
            <w:pPr>
              <w:pStyle w:val="14"/>
            </w:pPr>
            <w:r>
              <w:t>本年支出合计</w:t>
            </w:r>
          </w:p>
        </w:tc>
        <w:tc>
          <w:tcPr>
            <w:tcW w:w="2126" w:type="dxa"/>
            <w:vAlign w:val="center"/>
          </w:tcPr>
          <w:p>
            <w:pPr>
              <w:pStyle w:val="15"/>
            </w:pPr>
            <w:r>
              <w:t>8903.93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8.16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8903.93</w:t>
            </w:r>
          </w:p>
        </w:tc>
        <w:tc>
          <w:tcPr>
            <w:tcW w:w="4535" w:type="dxa"/>
            <w:vAlign w:val="center"/>
          </w:tcPr>
          <w:p>
            <w:pPr>
              <w:pStyle w:val="14"/>
            </w:pPr>
            <w:r>
              <w:t>支出总计</w:t>
            </w:r>
          </w:p>
        </w:tc>
        <w:tc>
          <w:tcPr>
            <w:tcW w:w="2126" w:type="dxa"/>
            <w:vAlign w:val="center"/>
          </w:tcPr>
          <w:p>
            <w:pPr>
              <w:pStyle w:val="15"/>
            </w:pPr>
            <w:r>
              <w:t>8903.93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8903.93</w:t>
            </w:r>
          </w:p>
        </w:tc>
        <w:tc>
          <w:tcPr>
            <w:tcW w:w="1134" w:type="dxa"/>
            <w:vAlign w:val="center"/>
          </w:tcPr>
          <w:p>
            <w:pPr>
              <w:pStyle w:val="15"/>
            </w:pPr>
            <w:r>
              <w:t>8895.76</w:t>
            </w:r>
          </w:p>
        </w:tc>
        <w:tc>
          <w:tcPr>
            <w:tcW w:w="1134" w:type="dxa"/>
            <w:vAlign w:val="center"/>
          </w:tcPr>
          <w:p>
            <w:pPr>
              <w:pStyle w:val="15"/>
            </w:pPr>
            <w:r>
              <w:t>8895.76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256.94</w:t>
            </w:r>
          </w:p>
        </w:tc>
        <w:tc>
          <w:tcPr>
            <w:tcW w:w="1134" w:type="dxa"/>
            <w:vAlign w:val="center"/>
          </w:tcPr>
          <w:p>
            <w:pPr>
              <w:pStyle w:val="11"/>
            </w:pPr>
            <w:r>
              <w:t>256.94</w:t>
            </w:r>
          </w:p>
        </w:tc>
        <w:tc>
          <w:tcPr>
            <w:tcW w:w="1134" w:type="dxa"/>
            <w:vAlign w:val="center"/>
          </w:tcPr>
          <w:p>
            <w:pPr>
              <w:pStyle w:val="11"/>
            </w:pPr>
            <w:r>
              <w:t>256.94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256.94</w:t>
            </w:r>
          </w:p>
        </w:tc>
        <w:tc>
          <w:tcPr>
            <w:tcW w:w="1134" w:type="dxa"/>
            <w:vAlign w:val="center"/>
          </w:tcPr>
          <w:p>
            <w:pPr>
              <w:pStyle w:val="11"/>
            </w:pPr>
            <w:r>
              <w:t>256.94</w:t>
            </w:r>
          </w:p>
        </w:tc>
        <w:tc>
          <w:tcPr>
            <w:tcW w:w="1134" w:type="dxa"/>
            <w:vAlign w:val="center"/>
          </w:tcPr>
          <w:p>
            <w:pPr>
              <w:pStyle w:val="11"/>
            </w:pPr>
            <w:r>
              <w:t>256.94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214.52</w:t>
            </w:r>
          </w:p>
        </w:tc>
        <w:tc>
          <w:tcPr>
            <w:tcW w:w="1134" w:type="dxa"/>
            <w:vAlign w:val="center"/>
          </w:tcPr>
          <w:p>
            <w:pPr>
              <w:pStyle w:val="11"/>
            </w:pPr>
            <w:r>
              <w:t>214.52</w:t>
            </w:r>
          </w:p>
        </w:tc>
        <w:tc>
          <w:tcPr>
            <w:tcW w:w="1134" w:type="dxa"/>
            <w:vAlign w:val="center"/>
          </w:tcPr>
          <w:p>
            <w:pPr>
              <w:pStyle w:val="11"/>
            </w:pPr>
            <w:r>
              <w:t>214.52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42.42</w:t>
            </w:r>
          </w:p>
        </w:tc>
        <w:tc>
          <w:tcPr>
            <w:tcW w:w="1134" w:type="dxa"/>
            <w:vAlign w:val="center"/>
          </w:tcPr>
          <w:p>
            <w:pPr>
              <w:pStyle w:val="11"/>
            </w:pPr>
            <w:r>
              <w:t>42.42</w:t>
            </w:r>
          </w:p>
        </w:tc>
        <w:tc>
          <w:tcPr>
            <w:tcW w:w="1134" w:type="dxa"/>
            <w:vAlign w:val="center"/>
          </w:tcPr>
          <w:p>
            <w:pPr>
              <w:pStyle w:val="11"/>
            </w:pPr>
            <w:r>
              <w:t>42.42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r>
              <w:t>28.08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8571.43</w:t>
            </w:r>
          </w:p>
        </w:tc>
        <w:tc>
          <w:tcPr>
            <w:tcW w:w="1134" w:type="dxa"/>
            <w:vAlign w:val="center"/>
          </w:tcPr>
          <w:p>
            <w:pPr>
              <w:pStyle w:val="11"/>
            </w:pPr>
            <w:r>
              <w:t>8571.43</w:t>
            </w:r>
          </w:p>
        </w:tc>
        <w:tc>
          <w:tcPr>
            <w:tcW w:w="1134" w:type="dxa"/>
            <w:vAlign w:val="center"/>
          </w:tcPr>
          <w:p>
            <w:pPr>
              <w:pStyle w:val="11"/>
            </w:pPr>
            <w:r>
              <w:t>8571.43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362.94</w:t>
            </w:r>
          </w:p>
        </w:tc>
        <w:tc>
          <w:tcPr>
            <w:tcW w:w="1134" w:type="dxa"/>
            <w:vAlign w:val="center"/>
          </w:tcPr>
          <w:p>
            <w:pPr>
              <w:pStyle w:val="11"/>
            </w:pPr>
            <w:r>
              <w:t>362.94</w:t>
            </w:r>
          </w:p>
        </w:tc>
        <w:tc>
          <w:tcPr>
            <w:tcW w:w="1134" w:type="dxa"/>
            <w:vAlign w:val="center"/>
          </w:tcPr>
          <w:p>
            <w:pPr>
              <w:pStyle w:val="11"/>
            </w:pPr>
            <w:r>
              <w:t>362.94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362.94</w:t>
            </w:r>
          </w:p>
        </w:tc>
        <w:tc>
          <w:tcPr>
            <w:tcW w:w="1134" w:type="dxa"/>
            <w:vAlign w:val="center"/>
          </w:tcPr>
          <w:p>
            <w:pPr>
              <w:pStyle w:val="11"/>
            </w:pPr>
            <w:r>
              <w:t>362.94</w:t>
            </w:r>
          </w:p>
        </w:tc>
        <w:tc>
          <w:tcPr>
            <w:tcW w:w="1134" w:type="dxa"/>
            <w:vAlign w:val="center"/>
          </w:tcPr>
          <w:p>
            <w:pPr>
              <w:pStyle w:val="11"/>
            </w:pPr>
            <w:r>
              <w:t>362.94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8008.49</w:t>
            </w:r>
          </w:p>
        </w:tc>
        <w:tc>
          <w:tcPr>
            <w:tcW w:w="1134" w:type="dxa"/>
            <w:vAlign w:val="center"/>
          </w:tcPr>
          <w:p>
            <w:pPr>
              <w:pStyle w:val="11"/>
            </w:pPr>
            <w:r>
              <w:t>8008.49</w:t>
            </w:r>
          </w:p>
        </w:tc>
        <w:tc>
          <w:tcPr>
            <w:tcW w:w="1134" w:type="dxa"/>
            <w:vAlign w:val="center"/>
          </w:tcPr>
          <w:p>
            <w:pPr>
              <w:pStyle w:val="11"/>
            </w:pPr>
            <w:r>
              <w:t>8008.49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8008.49</w:t>
            </w:r>
          </w:p>
        </w:tc>
        <w:tc>
          <w:tcPr>
            <w:tcW w:w="1134" w:type="dxa"/>
            <w:vAlign w:val="center"/>
          </w:tcPr>
          <w:p>
            <w:pPr>
              <w:pStyle w:val="11"/>
            </w:pPr>
            <w:r>
              <w:t>8008.49</w:t>
            </w:r>
          </w:p>
        </w:tc>
        <w:tc>
          <w:tcPr>
            <w:tcW w:w="1134" w:type="dxa"/>
            <w:vAlign w:val="center"/>
          </w:tcPr>
          <w:p>
            <w:pPr>
              <w:pStyle w:val="11"/>
            </w:pPr>
            <w:r>
              <w:t>8008.49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r>
              <w:t>39.31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8903.93</w:t>
            </w:r>
          </w:p>
        </w:tc>
        <w:tc>
          <w:tcPr>
            <w:tcW w:w="1361" w:type="dxa"/>
            <w:vAlign w:val="center"/>
          </w:tcPr>
          <w:p>
            <w:pPr>
              <w:pStyle w:val="15"/>
            </w:pPr>
            <w:r>
              <w:t>687.28</w:t>
            </w:r>
          </w:p>
        </w:tc>
        <w:tc>
          <w:tcPr>
            <w:tcW w:w="1361" w:type="dxa"/>
            <w:vAlign w:val="center"/>
          </w:tcPr>
          <w:p>
            <w:pPr>
              <w:pStyle w:val="15"/>
            </w:pPr>
            <w:r>
              <w:t>8216.65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256.94</w:t>
            </w:r>
          </w:p>
        </w:tc>
        <w:tc>
          <w:tcPr>
            <w:tcW w:w="1361" w:type="dxa"/>
            <w:vAlign w:val="center"/>
          </w:tcPr>
          <w:p>
            <w:pPr>
              <w:pStyle w:val="11"/>
            </w:pPr>
            <w:r>
              <w:t>256.94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256.94</w:t>
            </w:r>
          </w:p>
        </w:tc>
        <w:tc>
          <w:tcPr>
            <w:tcW w:w="1361" w:type="dxa"/>
            <w:vAlign w:val="center"/>
          </w:tcPr>
          <w:p>
            <w:pPr>
              <w:pStyle w:val="11"/>
            </w:pPr>
            <w:r>
              <w:t>256.94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214.52</w:t>
            </w:r>
          </w:p>
        </w:tc>
        <w:tc>
          <w:tcPr>
            <w:tcW w:w="1361" w:type="dxa"/>
            <w:vAlign w:val="center"/>
          </w:tcPr>
          <w:p>
            <w:pPr>
              <w:pStyle w:val="11"/>
            </w:pPr>
            <w:r>
              <w:t>214.52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42.42</w:t>
            </w:r>
          </w:p>
        </w:tc>
        <w:tc>
          <w:tcPr>
            <w:tcW w:w="1361" w:type="dxa"/>
            <w:vAlign w:val="center"/>
          </w:tcPr>
          <w:p>
            <w:pPr>
              <w:pStyle w:val="11"/>
            </w:pPr>
            <w:r>
              <w:t>42.42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28.08</w:t>
            </w:r>
          </w:p>
        </w:tc>
        <w:tc>
          <w:tcPr>
            <w:tcW w:w="1361" w:type="dxa"/>
            <w:vAlign w:val="center"/>
          </w:tcPr>
          <w:p>
            <w:pPr>
              <w:pStyle w:val="11"/>
            </w:pPr>
            <w:r>
              <w:t>28.08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28.08</w:t>
            </w:r>
          </w:p>
        </w:tc>
        <w:tc>
          <w:tcPr>
            <w:tcW w:w="1361" w:type="dxa"/>
            <w:vAlign w:val="center"/>
          </w:tcPr>
          <w:p>
            <w:pPr>
              <w:pStyle w:val="11"/>
            </w:pPr>
            <w:r>
              <w:t>28.08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28.08</w:t>
            </w:r>
          </w:p>
        </w:tc>
        <w:tc>
          <w:tcPr>
            <w:tcW w:w="1361" w:type="dxa"/>
            <w:vAlign w:val="center"/>
          </w:tcPr>
          <w:p>
            <w:pPr>
              <w:pStyle w:val="11"/>
            </w:pPr>
            <w:r>
              <w:t>28.08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8571.43</w:t>
            </w:r>
          </w:p>
        </w:tc>
        <w:tc>
          <w:tcPr>
            <w:tcW w:w="1361" w:type="dxa"/>
            <w:vAlign w:val="center"/>
          </w:tcPr>
          <w:p>
            <w:pPr>
              <w:pStyle w:val="11"/>
            </w:pPr>
            <w:r>
              <w:t>362.94</w:t>
            </w:r>
          </w:p>
        </w:tc>
        <w:tc>
          <w:tcPr>
            <w:tcW w:w="1361" w:type="dxa"/>
            <w:vAlign w:val="center"/>
          </w:tcPr>
          <w:p>
            <w:pPr>
              <w:pStyle w:val="11"/>
            </w:pPr>
            <w:r>
              <w:t>8208.49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362.94</w:t>
            </w:r>
          </w:p>
        </w:tc>
        <w:tc>
          <w:tcPr>
            <w:tcW w:w="1361" w:type="dxa"/>
            <w:vAlign w:val="center"/>
          </w:tcPr>
          <w:p>
            <w:pPr>
              <w:pStyle w:val="11"/>
            </w:pPr>
            <w:r>
              <w:t>362.94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362.94</w:t>
            </w:r>
          </w:p>
        </w:tc>
        <w:tc>
          <w:tcPr>
            <w:tcW w:w="1361" w:type="dxa"/>
            <w:vAlign w:val="center"/>
          </w:tcPr>
          <w:p>
            <w:pPr>
              <w:pStyle w:val="11"/>
            </w:pPr>
            <w:r>
              <w:t>362.94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8008.49</w:t>
            </w:r>
          </w:p>
        </w:tc>
        <w:tc>
          <w:tcPr>
            <w:tcW w:w="1361" w:type="dxa"/>
            <w:vAlign w:val="center"/>
          </w:tcPr>
          <w:p>
            <w:pPr>
              <w:pStyle w:val="11"/>
            </w:pPr>
          </w:p>
        </w:tc>
        <w:tc>
          <w:tcPr>
            <w:tcW w:w="1361" w:type="dxa"/>
            <w:vAlign w:val="center"/>
          </w:tcPr>
          <w:p>
            <w:pPr>
              <w:pStyle w:val="11"/>
            </w:pPr>
            <w:r>
              <w:t>8008.49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8008.49</w:t>
            </w:r>
          </w:p>
        </w:tc>
        <w:tc>
          <w:tcPr>
            <w:tcW w:w="1361" w:type="dxa"/>
            <w:vAlign w:val="center"/>
          </w:tcPr>
          <w:p>
            <w:pPr>
              <w:pStyle w:val="11"/>
            </w:pPr>
          </w:p>
        </w:tc>
        <w:tc>
          <w:tcPr>
            <w:tcW w:w="1361" w:type="dxa"/>
            <w:vAlign w:val="center"/>
          </w:tcPr>
          <w:p>
            <w:pPr>
              <w:pStyle w:val="11"/>
            </w:pPr>
            <w:r>
              <w:t>8008.49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39.31</w:t>
            </w:r>
          </w:p>
        </w:tc>
        <w:tc>
          <w:tcPr>
            <w:tcW w:w="1361" w:type="dxa"/>
            <w:vAlign w:val="center"/>
          </w:tcPr>
          <w:p>
            <w:pPr>
              <w:pStyle w:val="11"/>
            </w:pPr>
            <w:r>
              <w:t>39.31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39.31</w:t>
            </w:r>
          </w:p>
        </w:tc>
        <w:tc>
          <w:tcPr>
            <w:tcW w:w="1361" w:type="dxa"/>
            <w:vAlign w:val="center"/>
          </w:tcPr>
          <w:p>
            <w:pPr>
              <w:pStyle w:val="11"/>
            </w:pPr>
            <w:r>
              <w:t>39.31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39.31</w:t>
            </w:r>
          </w:p>
        </w:tc>
        <w:tc>
          <w:tcPr>
            <w:tcW w:w="1361" w:type="dxa"/>
            <w:vAlign w:val="center"/>
          </w:tcPr>
          <w:p>
            <w:pPr>
              <w:pStyle w:val="11"/>
            </w:pPr>
            <w:r>
              <w:t>39.31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8695.76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256.94</w:t>
            </w:r>
          </w:p>
        </w:tc>
        <w:tc>
          <w:tcPr>
            <w:tcW w:w="1474" w:type="dxa"/>
            <w:vAlign w:val="center"/>
          </w:tcPr>
          <w:p>
            <w:pPr>
              <w:pStyle w:val="11"/>
            </w:pPr>
            <w:r>
              <w:t>256.94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28.08</w:t>
            </w:r>
          </w:p>
        </w:tc>
        <w:tc>
          <w:tcPr>
            <w:tcW w:w="1474" w:type="dxa"/>
            <w:vAlign w:val="center"/>
          </w:tcPr>
          <w:p>
            <w:pPr>
              <w:pStyle w:val="11"/>
            </w:pPr>
            <w:r>
              <w:t>28.08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8571.43</w:t>
            </w:r>
          </w:p>
        </w:tc>
        <w:tc>
          <w:tcPr>
            <w:tcW w:w="1474" w:type="dxa"/>
            <w:vAlign w:val="center"/>
          </w:tcPr>
          <w:p>
            <w:pPr>
              <w:pStyle w:val="11"/>
            </w:pPr>
            <w:r>
              <w:t>8371.43</w:t>
            </w:r>
          </w:p>
        </w:tc>
        <w:tc>
          <w:tcPr>
            <w:tcW w:w="1474" w:type="dxa"/>
            <w:vAlign w:val="center"/>
          </w:tcPr>
          <w:p>
            <w:pPr>
              <w:pStyle w:val="11"/>
            </w:pPr>
            <w:r>
              <w:t>200.00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39.31</w:t>
            </w:r>
          </w:p>
        </w:tc>
        <w:tc>
          <w:tcPr>
            <w:tcW w:w="1474" w:type="dxa"/>
            <w:vAlign w:val="center"/>
          </w:tcPr>
          <w:p>
            <w:pPr>
              <w:pStyle w:val="11"/>
            </w:pPr>
            <w:r>
              <w:t>39.31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8.16</w:t>
            </w:r>
          </w:p>
        </w:tc>
        <w:tc>
          <w:tcPr>
            <w:tcW w:w="1474" w:type="dxa"/>
            <w:vAlign w:val="center"/>
          </w:tcPr>
          <w:p>
            <w:pPr>
              <w:pStyle w:val="11"/>
            </w:pPr>
          </w:p>
        </w:tc>
        <w:tc>
          <w:tcPr>
            <w:tcW w:w="1474" w:type="dxa"/>
            <w:vAlign w:val="center"/>
          </w:tcPr>
          <w:p>
            <w:pPr>
              <w:pStyle w:val="11"/>
            </w:pPr>
            <w:r>
              <w:t>8.16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8895.76</w:t>
            </w:r>
          </w:p>
        </w:tc>
        <w:tc>
          <w:tcPr>
            <w:tcW w:w="3402" w:type="dxa"/>
            <w:vAlign w:val="center"/>
          </w:tcPr>
          <w:p>
            <w:pPr>
              <w:pStyle w:val="14"/>
            </w:pPr>
            <w:r>
              <w:t>本年支出合计</w:t>
            </w:r>
          </w:p>
        </w:tc>
        <w:tc>
          <w:tcPr>
            <w:tcW w:w="1474" w:type="dxa"/>
            <w:vAlign w:val="center"/>
          </w:tcPr>
          <w:p>
            <w:pPr>
              <w:pStyle w:val="15"/>
            </w:pPr>
            <w:r>
              <w:t>8903.93</w:t>
            </w:r>
          </w:p>
        </w:tc>
        <w:tc>
          <w:tcPr>
            <w:tcW w:w="1474" w:type="dxa"/>
            <w:vAlign w:val="center"/>
          </w:tcPr>
          <w:p>
            <w:pPr>
              <w:pStyle w:val="15"/>
            </w:pPr>
            <w:r>
              <w:t>8695.76</w:t>
            </w:r>
          </w:p>
        </w:tc>
        <w:tc>
          <w:tcPr>
            <w:tcW w:w="1474" w:type="dxa"/>
            <w:vAlign w:val="center"/>
          </w:tcPr>
          <w:p>
            <w:pPr>
              <w:pStyle w:val="15"/>
            </w:pPr>
            <w:r>
              <w:t>208.16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8.16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8.16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8903.93</w:t>
            </w:r>
          </w:p>
        </w:tc>
        <w:tc>
          <w:tcPr>
            <w:tcW w:w="3402" w:type="dxa"/>
            <w:vAlign w:val="center"/>
          </w:tcPr>
          <w:p>
            <w:pPr>
              <w:pStyle w:val="14"/>
            </w:pPr>
            <w:r>
              <w:t>支出总计</w:t>
            </w:r>
          </w:p>
        </w:tc>
        <w:tc>
          <w:tcPr>
            <w:tcW w:w="1474" w:type="dxa"/>
            <w:vAlign w:val="center"/>
          </w:tcPr>
          <w:p>
            <w:pPr>
              <w:pStyle w:val="15"/>
            </w:pPr>
            <w:r>
              <w:t>8903.93</w:t>
            </w:r>
          </w:p>
        </w:tc>
        <w:tc>
          <w:tcPr>
            <w:tcW w:w="1474" w:type="dxa"/>
            <w:vAlign w:val="center"/>
          </w:tcPr>
          <w:p>
            <w:pPr>
              <w:pStyle w:val="15"/>
            </w:pPr>
            <w:r>
              <w:t>8695.76</w:t>
            </w:r>
          </w:p>
        </w:tc>
        <w:tc>
          <w:tcPr>
            <w:tcW w:w="1474" w:type="dxa"/>
            <w:vAlign w:val="center"/>
          </w:tcPr>
          <w:p>
            <w:pPr>
              <w:pStyle w:val="15"/>
            </w:pPr>
            <w:r>
              <w:t>208.16</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8695.76</w:t>
            </w:r>
          </w:p>
        </w:tc>
        <w:tc>
          <w:tcPr>
            <w:tcW w:w="2551" w:type="dxa"/>
            <w:vAlign w:val="center"/>
          </w:tcPr>
          <w:p>
            <w:pPr>
              <w:pStyle w:val="15"/>
            </w:pPr>
            <w:r>
              <w:t>687.28</w:t>
            </w:r>
          </w:p>
        </w:tc>
        <w:tc>
          <w:tcPr>
            <w:tcW w:w="2551" w:type="dxa"/>
            <w:vAlign w:val="center"/>
          </w:tcPr>
          <w:p>
            <w:pPr>
              <w:pStyle w:val="15"/>
            </w:pPr>
            <w:r>
              <w:t>8008.49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256.94</w:t>
            </w:r>
          </w:p>
        </w:tc>
        <w:tc>
          <w:tcPr>
            <w:tcW w:w="2551" w:type="dxa"/>
            <w:vAlign w:val="center"/>
          </w:tcPr>
          <w:p>
            <w:pPr>
              <w:pStyle w:val="11"/>
            </w:pPr>
            <w:r>
              <w:t>256.94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256.94</w:t>
            </w:r>
          </w:p>
        </w:tc>
        <w:tc>
          <w:tcPr>
            <w:tcW w:w="2551" w:type="dxa"/>
            <w:vAlign w:val="center"/>
          </w:tcPr>
          <w:p>
            <w:pPr>
              <w:pStyle w:val="11"/>
            </w:pPr>
            <w:r>
              <w:t>256.94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214.52</w:t>
            </w:r>
          </w:p>
        </w:tc>
        <w:tc>
          <w:tcPr>
            <w:tcW w:w="2551" w:type="dxa"/>
            <w:vAlign w:val="center"/>
          </w:tcPr>
          <w:p>
            <w:pPr>
              <w:pStyle w:val="11"/>
            </w:pPr>
            <w:r>
              <w:t>214.52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42.42</w:t>
            </w:r>
          </w:p>
        </w:tc>
        <w:tc>
          <w:tcPr>
            <w:tcW w:w="2551" w:type="dxa"/>
            <w:vAlign w:val="center"/>
          </w:tcPr>
          <w:p>
            <w:pPr>
              <w:pStyle w:val="11"/>
            </w:pPr>
            <w:r>
              <w:t>42.42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28.08</w:t>
            </w:r>
          </w:p>
        </w:tc>
        <w:tc>
          <w:tcPr>
            <w:tcW w:w="2551" w:type="dxa"/>
            <w:vAlign w:val="center"/>
          </w:tcPr>
          <w:p>
            <w:pPr>
              <w:pStyle w:val="11"/>
            </w:pPr>
            <w:r>
              <w:t>28.08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28.08</w:t>
            </w:r>
          </w:p>
        </w:tc>
        <w:tc>
          <w:tcPr>
            <w:tcW w:w="2551" w:type="dxa"/>
            <w:vAlign w:val="center"/>
          </w:tcPr>
          <w:p>
            <w:pPr>
              <w:pStyle w:val="11"/>
            </w:pPr>
            <w:r>
              <w:t>28.08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28.08</w:t>
            </w:r>
          </w:p>
        </w:tc>
        <w:tc>
          <w:tcPr>
            <w:tcW w:w="2551" w:type="dxa"/>
            <w:vAlign w:val="center"/>
          </w:tcPr>
          <w:p>
            <w:pPr>
              <w:pStyle w:val="11"/>
            </w:pPr>
            <w:r>
              <w:t>28.08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8371.43</w:t>
            </w:r>
          </w:p>
        </w:tc>
        <w:tc>
          <w:tcPr>
            <w:tcW w:w="2551" w:type="dxa"/>
            <w:vAlign w:val="center"/>
          </w:tcPr>
          <w:p>
            <w:pPr>
              <w:pStyle w:val="11"/>
            </w:pPr>
            <w:r>
              <w:t>362.94</w:t>
            </w:r>
          </w:p>
        </w:tc>
        <w:tc>
          <w:tcPr>
            <w:tcW w:w="2551" w:type="dxa"/>
            <w:vAlign w:val="center"/>
          </w:tcPr>
          <w:p>
            <w:pPr>
              <w:pStyle w:val="11"/>
            </w:pPr>
            <w:r>
              <w:t>8008.49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362.94</w:t>
            </w:r>
          </w:p>
        </w:tc>
        <w:tc>
          <w:tcPr>
            <w:tcW w:w="2551" w:type="dxa"/>
            <w:vAlign w:val="center"/>
          </w:tcPr>
          <w:p>
            <w:pPr>
              <w:pStyle w:val="11"/>
            </w:pPr>
            <w:r>
              <w:t>362.94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362.94</w:t>
            </w:r>
          </w:p>
        </w:tc>
        <w:tc>
          <w:tcPr>
            <w:tcW w:w="2551" w:type="dxa"/>
            <w:vAlign w:val="center"/>
          </w:tcPr>
          <w:p>
            <w:pPr>
              <w:pStyle w:val="11"/>
            </w:pPr>
            <w:r>
              <w:t>362.94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8008.49</w:t>
            </w:r>
          </w:p>
        </w:tc>
        <w:tc>
          <w:tcPr>
            <w:tcW w:w="2551" w:type="dxa"/>
            <w:vAlign w:val="center"/>
          </w:tcPr>
          <w:p>
            <w:pPr>
              <w:pStyle w:val="11"/>
            </w:pPr>
          </w:p>
        </w:tc>
        <w:tc>
          <w:tcPr>
            <w:tcW w:w="2551" w:type="dxa"/>
            <w:vAlign w:val="center"/>
          </w:tcPr>
          <w:p>
            <w:pPr>
              <w:pStyle w:val="11"/>
            </w:pPr>
            <w:r>
              <w:t>8008.49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8008.49</w:t>
            </w:r>
          </w:p>
        </w:tc>
        <w:tc>
          <w:tcPr>
            <w:tcW w:w="2551" w:type="dxa"/>
            <w:vAlign w:val="center"/>
          </w:tcPr>
          <w:p>
            <w:pPr>
              <w:pStyle w:val="11"/>
            </w:pPr>
          </w:p>
        </w:tc>
        <w:tc>
          <w:tcPr>
            <w:tcW w:w="2551" w:type="dxa"/>
            <w:vAlign w:val="center"/>
          </w:tcPr>
          <w:p>
            <w:pPr>
              <w:pStyle w:val="11"/>
            </w:pPr>
            <w:r>
              <w:t>8008.49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39.31</w:t>
            </w:r>
          </w:p>
        </w:tc>
        <w:tc>
          <w:tcPr>
            <w:tcW w:w="2551" w:type="dxa"/>
            <w:vAlign w:val="center"/>
          </w:tcPr>
          <w:p>
            <w:pPr>
              <w:pStyle w:val="11"/>
            </w:pPr>
            <w:r>
              <w:t>39.31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39.31</w:t>
            </w:r>
          </w:p>
        </w:tc>
        <w:tc>
          <w:tcPr>
            <w:tcW w:w="2551" w:type="dxa"/>
            <w:vAlign w:val="center"/>
          </w:tcPr>
          <w:p>
            <w:pPr>
              <w:pStyle w:val="11"/>
            </w:pPr>
            <w:r>
              <w:t>39.31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39.31</w:t>
            </w:r>
          </w:p>
        </w:tc>
        <w:tc>
          <w:tcPr>
            <w:tcW w:w="2551" w:type="dxa"/>
            <w:vAlign w:val="center"/>
          </w:tcPr>
          <w:p>
            <w:pPr>
              <w:pStyle w:val="11"/>
            </w:pPr>
            <w:r>
              <w:t>39.31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687.28</w:t>
            </w:r>
          </w:p>
        </w:tc>
        <w:tc>
          <w:tcPr>
            <w:tcW w:w="2551" w:type="dxa"/>
            <w:vAlign w:val="center"/>
          </w:tcPr>
          <w:p>
            <w:pPr>
              <w:pStyle w:val="15"/>
            </w:pPr>
            <w:r>
              <w:t>651.10</w:t>
            </w:r>
          </w:p>
        </w:tc>
        <w:tc>
          <w:tcPr>
            <w:tcW w:w="2551" w:type="dxa"/>
            <w:vAlign w:val="center"/>
          </w:tcPr>
          <w:p>
            <w:pPr>
              <w:pStyle w:val="15"/>
            </w:pPr>
            <w:r>
              <w:t>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436.79</w:t>
            </w:r>
          </w:p>
        </w:tc>
        <w:tc>
          <w:tcPr>
            <w:tcW w:w="2551" w:type="dxa"/>
            <w:vAlign w:val="center"/>
          </w:tcPr>
          <w:p>
            <w:pPr>
              <w:pStyle w:val="11"/>
            </w:pPr>
            <w:r>
              <w:t>436.79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127.15</w:t>
            </w:r>
          </w:p>
        </w:tc>
        <w:tc>
          <w:tcPr>
            <w:tcW w:w="2551" w:type="dxa"/>
            <w:vAlign w:val="center"/>
          </w:tcPr>
          <w:p>
            <w:pPr>
              <w:pStyle w:val="11"/>
            </w:pPr>
            <w:r>
              <w:t>127.15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22.72</w:t>
            </w:r>
          </w:p>
        </w:tc>
        <w:tc>
          <w:tcPr>
            <w:tcW w:w="2551" w:type="dxa"/>
            <w:vAlign w:val="center"/>
          </w:tcPr>
          <w:p>
            <w:pPr>
              <w:pStyle w:val="11"/>
            </w:pPr>
            <w:r>
              <w:t>22.72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173.23</w:t>
            </w:r>
          </w:p>
        </w:tc>
        <w:tc>
          <w:tcPr>
            <w:tcW w:w="2551" w:type="dxa"/>
            <w:vAlign w:val="center"/>
          </w:tcPr>
          <w:p>
            <w:pPr>
              <w:pStyle w:val="11"/>
            </w:pPr>
            <w:r>
              <w:t>173.23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42.42</w:t>
            </w:r>
          </w:p>
        </w:tc>
        <w:tc>
          <w:tcPr>
            <w:tcW w:w="2551" w:type="dxa"/>
            <w:vAlign w:val="center"/>
          </w:tcPr>
          <w:p>
            <w:pPr>
              <w:pStyle w:val="11"/>
            </w:pPr>
            <w:r>
              <w:t>42.42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14.46</w:t>
            </w:r>
          </w:p>
        </w:tc>
        <w:tc>
          <w:tcPr>
            <w:tcW w:w="2551" w:type="dxa"/>
            <w:vAlign w:val="center"/>
          </w:tcPr>
          <w:p>
            <w:pPr>
              <w:pStyle w:val="11"/>
            </w:pPr>
            <w:r>
              <w:t>14.46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13.62</w:t>
            </w:r>
          </w:p>
        </w:tc>
        <w:tc>
          <w:tcPr>
            <w:tcW w:w="2551" w:type="dxa"/>
            <w:vAlign w:val="center"/>
          </w:tcPr>
          <w:p>
            <w:pPr>
              <w:pStyle w:val="11"/>
            </w:pPr>
            <w:r>
              <w:t>13.62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3.88</w:t>
            </w:r>
          </w:p>
        </w:tc>
        <w:tc>
          <w:tcPr>
            <w:tcW w:w="2551" w:type="dxa"/>
            <w:vAlign w:val="center"/>
          </w:tcPr>
          <w:p>
            <w:pPr>
              <w:pStyle w:val="11"/>
            </w:pPr>
            <w:r>
              <w:t>3.88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39.31</w:t>
            </w:r>
          </w:p>
        </w:tc>
        <w:tc>
          <w:tcPr>
            <w:tcW w:w="2551" w:type="dxa"/>
            <w:vAlign w:val="center"/>
          </w:tcPr>
          <w:p>
            <w:pPr>
              <w:pStyle w:val="11"/>
            </w:pPr>
            <w:r>
              <w:t>39.31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36.18</w:t>
            </w:r>
          </w:p>
        </w:tc>
        <w:tc>
          <w:tcPr>
            <w:tcW w:w="2551" w:type="dxa"/>
            <w:vAlign w:val="center"/>
          </w:tcPr>
          <w:p>
            <w:pPr>
              <w:pStyle w:val="11"/>
            </w:pPr>
          </w:p>
        </w:tc>
        <w:tc>
          <w:tcPr>
            <w:tcW w:w="2551" w:type="dxa"/>
            <w:vAlign w:val="center"/>
          </w:tcPr>
          <w:p>
            <w:pPr>
              <w:pStyle w:val="11"/>
            </w:pPr>
            <w:r>
              <w:t>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11.40</w:t>
            </w:r>
          </w:p>
        </w:tc>
        <w:tc>
          <w:tcPr>
            <w:tcW w:w="2551" w:type="dxa"/>
            <w:vAlign w:val="center"/>
          </w:tcPr>
          <w:p>
            <w:pPr>
              <w:pStyle w:val="11"/>
            </w:pPr>
          </w:p>
        </w:tc>
        <w:tc>
          <w:tcPr>
            <w:tcW w:w="2551" w:type="dxa"/>
            <w:vAlign w:val="center"/>
          </w:tcPr>
          <w:p>
            <w:pPr>
              <w:pStyle w:val="11"/>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5.70</w:t>
            </w:r>
          </w:p>
        </w:tc>
        <w:tc>
          <w:tcPr>
            <w:tcW w:w="2551" w:type="dxa"/>
            <w:vAlign w:val="center"/>
          </w:tcPr>
          <w:p>
            <w:pPr>
              <w:pStyle w:val="11"/>
            </w:pPr>
          </w:p>
        </w:tc>
        <w:tc>
          <w:tcPr>
            <w:tcW w:w="2551" w:type="dxa"/>
            <w:vAlign w:val="center"/>
          </w:tcPr>
          <w:p>
            <w:pPr>
              <w:pStyle w:val="11"/>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2.46</w:t>
            </w:r>
          </w:p>
        </w:tc>
        <w:tc>
          <w:tcPr>
            <w:tcW w:w="2551" w:type="dxa"/>
            <w:vAlign w:val="center"/>
          </w:tcPr>
          <w:p>
            <w:pPr>
              <w:pStyle w:val="11"/>
            </w:pPr>
          </w:p>
        </w:tc>
        <w:tc>
          <w:tcPr>
            <w:tcW w:w="2551" w:type="dxa"/>
            <w:vAlign w:val="center"/>
          </w:tcPr>
          <w:p>
            <w:pPr>
              <w:pStyle w:val="11"/>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8.82</w:t>
            </w:r>
          </w:p>
        </w:tc>
        <w:tc>
          <w:tcPr>
            <w:tcW w:w="2551" w:type="dxa"/>
            <w:vAlign w:val="center"/>
          </w:tcPr>
          <w:p>
            <w:pPr>
              <w:pStyle w:val="11"/>
            </w:pPr>
          </w:p>
        </w:tc>
        <w:tc>
          <w:tcPr>
            <w:tcW w:w="2551" w:type="dxa"/>
            <w:vAlign w:val="center"/>
          </w:tcPr>
          <w:p>
            <w:pPr>
              <w:pStyle w:val="11"/>
            </w:pPr>
            <w:r>
              <w:t>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214.31</w:t>
            </w:r>
          </w:p>
        </w:tc>
        <w:tc>
          <w:tcPr>
            <w:tcW w:w="2551" w:type="dxa"/>
            <w:vAlign w:val="center"/>
          </w:tcPr>
          <w:p>
            <w:pPr>
              <w:pStyle w:val="11"/>
            </w:pPr>
            <w:r>
              <w:t>214.31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213.25</w:t>
            </w:r>
          </w:p>
        </w:tc>
        <w:tc>
          <w:tcPr>
            <w:tcW w:w="2551" w:type="dxa"/>
            <w:vAlign w:val="center"/>
          </w:tcPr>
          <w:p>
            <w:pPr>
              <w:pStyle w:val="11"/>
            </w:pPr>
            <w:r>
              <w:t>213.25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208.16</w:t>
            </w:r>
          </w:p>
        </w:tc>
        <w:tc>
          <w:tcPr>
            <w:tcW w:w="2551" w:type="dxa"/>
            <w:vAlign w:val="center"/>
          </w:tcPr>
          <w:p>
            <w:pPr>
              <w:pStyle w:val="15"/>
            </w:pPr>
          </w:p>
        </w:tc>
        <w:tc>
          <w:tcPr>
            <w:tcW w:w="2551" w:type="dxa"/>
            <w:vAlign w:val="center"/>
          </w:tcPr>
          <w:p>
            <w:pPr>
              <w:pStyle w:val="15"/>
            </w:pPr>
            <w:r>
              <w:t>208.16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8.16</w:t>
            </w:r>
          </w:p>
        </w:tc>
        <w:tc>
          <w:tcPr>
            <w:tcW w:w="2551" w:type="dxa"/>
            <w:vAlign w:val="center"/>
          </w:tcPr>
          <w:p>
            <w:pPr>
              <w:pStyle w:val="11"/>
            </w:pPr>
          </w:p>
        </w:tc>
        <w:tc>
          <w:tcPr>
            <w:tcW w:w="2551"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8.16</w:t>
            </w:r>
          </w:p>
        </w:tc>
        <w:tc>
          <w:tcPr>
            <w:tcW w:w="2551" w:type="dxa"/>
            <w:vAlign w:val="center"/>
          </w:tcPr>
          <w:p>
            <w:pPr>
              <w:pStyle w:val="11"/>
            </w:pPr>
          </w:p>
        </w:tc>
        <w:tc>
          <w:tcPr>
            <w:tcW w:w="2551" w:type="dxa"/>
            <w:vAlign w:val="center"/>
          </w:tcPr>
          <w:p>
            <w:pPr>
              <w:pStyle w:val="11"/>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8.16</w:t>
            </w:r>
          </w:p>
        </w:tc>
        <w:tc>
          <w:tcPr>
            <w:tcW w:w="2551" w:type="dxa"/>
            <w:vAlign w:val="center"/>
          </w:tcPr>
          <w:p>
            <w:pPr>
              <w:pStyle w:val="11"/>
            </w:pPr>
          </w:p>
        </w:tc>
        <w:tc>
          <w:tcPr>
            <w:tcW w:w="2551" w:type="dxa"/>
            <w:vAlign w:val="center"/>
          </w:tcPr>
          <w:p>
            <w:pPr>
              <w:pStyle w:val="11"/>
            </w:pPr>
            <w:r>
              <w:t>8.16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石家庄市鹿泉区公用事业管理中心本级2026年单位预算信息公开情况说明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按照《中华人民共和国预算法》、《地方预决算公开操作规程》和《关于进一步推进预算公开工作的实施意见》规定，现将石家庄市鹿泉区公用事业管理中心本级2026年单位预算公开如下：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根据《石家庄市鹿泉区公用事业管理中心职能配置、内设机构和人员编制规定》，石家庄市鹿泉区公用事业管理中心的主要职责是：</w:t>
      </w:r>
    </w:p>
    <w:p>
      <w:pPr>
        <w:pStyle w:val="17"/>
      </w:pPr>
      <w:r>
        <w:rPr>
          <w:rFonts w:hint="eastAsia"/>
        </w:rPr>
        <w:t>贯彻落实国家、省、市园林绿化方面的政策法规，制定本区相关政策性文件，会同有关部门编制城市园林相关规划并组织实施。负责城乡绿化管理及园林绿化的方案设计、建设管理，新、改、扩项目配套绿地审查及竣工验收；加强城区市政基础设施维护、绿化、亮化、防汛、公园管理；依法查处破坏园林绿化、市政基础设施行为；负责城区集中供热管理及液化气供应保障；负责城市市政、园林绿化设施行政审批后续监管工作；承办区委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石家庄市鹿泉区公用事业管理中心本级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8903.93万元，其中：一般公共预算收入8695.76万元，基金预算收入200.00万元，国有资本经营预算收入0.00万元，财政专户核拨收入0.00万元，单位资金收入0.00万元，上年结转结余8.16万元。</w:t>
      </w:r>
    </w:p>
    <w:p>
      <w:pPr>
        <w:pStyle w:val="18"/>
      </w:pPr>
      <w:r>
        <w:t>2、支出说明</w:t>
      </w:r>
    </w:p>
    <w:p>
      <w:pPr>
        <w:pStyle w:val="18"/>
      </w:pPr>
      <w:r>
        <w:t>收支预算总表支出栏、基本支出表、项目支出表按经济分类和支出功能分类科目编制，反映石家庄市鹿泉区公用事业管理中心本级年度单位预算中支出预算的总体情况。2026年支出预算8903.93万元，其中基本支出687.28万元，包括人员经费651.10万元和日常公用经费36.18万元；项目支出8216.65万元，主要为城市维护费、绿化租地费、供热补贴、工程旧欠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8903.93万元，较2025年预算减少1833.25万元，其中：基本支出增加58.58万元，主要为职工新增项目支出减少1891.83万元，主要为工程项目预算安排较2025年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2026年，我单位机关运行经费共计安排36.18万元，主要用于日常维修、办公用房水电费、办公用房取暖费、办公用房物业管理费等日常运行支出。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1、2019年翠屏大街道路大修工程绩效目标表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13011026P00156410611K</w:t>
            </w:r>
          </w:p>
        </w:tc>
        <w:tc>
          <w:tcPr>
            <w:tcW w:w="2835" w:type="dxa"/>
            <w:vAlign w:val="center"/>
          </w:tcPr>
          <w:p>
            <w:pPr>
              <w:pStyle w:val="10"/>
            </w:pPr>
            <w:r>
              <w:t>项目名称</w:t>
            </w:r>
          </w:p>
        </w:tc>
        <w:tc>
          <w:tcPr>
            <w:tcW w:w="6095" w:type="dxa"/>
            <w:gridSpan w:val="3"/>
            <w:vAlign w:val="center"/>
          </w:tcPr>
          <w:p>
            <w:pPr>
              <w:pStyle w:val="12"/>
            </w:pPr>
            <w:r>
              <w:t>2019年翠屏大街道路大修工程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资金用于2019年翠屏大街道路大修工程支出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1.完成道路维修面积7551平方米，改善交通条件、方便市民出行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完成道路维修面积的数量</w:t>
            </w:r>
          </w:p>
        </w:tc>
        <w:tc>
          <w:tcPr>
            <w:tcW w:w="5386" w:type="dxa"/>
            <w:vAlign w:val="center"/>
          </w:tcPr>
          <w:p>
            <w:pPr>
              <w:pStyle w:val="12"/>
            </w:pPr>
            <w:r>
              <w:t>完成道路维修面积的数量</w:t>
            </w:r>
          </w:p>
        </w:tc>
        <w:tc>
          <w:tcPr>
            <w:tcW w:w="2268" w:type="dxa"/>
            <w:vAlign w:val="center"/>
          </w:tcPr>
          <w:p>
            <w:pPr>
              <w:pStyle w:val="12"/>
            </w:pPr>
            <w:r>
              <w:t>≤7551平方米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每平方米路面的成本</w:t>
            </w:r>
          </w:p>
        </w:tc>
        <w:tc>
          <w:tcPr>
            <w:tcW w:w="5386" w:type="dxa"/>
            <w:vAlign w:val="center"/>
          </w:tcPr>
          <w:p>
            <w:pPr>
              <w:pStyle w:val="12"/>
            </w:pPr>
            <w:r>
              <w:t>每平方米路面的成本</w:t>
            </w:r>
          </w:p>
        </w:tc>
        <w:tc>
          <w:tcPr>
            <w:tcW w:w="2268" w:type="dxa"/>
            <w:vAlign w:val="center"/>
          </w:tcPr>
          <w:p>
            <w:pPr>
              <w:pStyle w:val="12"/>
            </w:pPr>
            <w:r>
              <w:t>≤750元/平方米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已完成的工程量占计划完成工程量的比率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改善交通条件、方便市民出行</w:t>
            </w:r>
          </w:p>
        </w:tc>
        <w:tc>
          <w:tcPr>
            <w:tcW w:w="5386" w:type="dxa"/>
            <w:vAlign w:val="center"/>
          </w:tcPr>
          <w:p>
            <w:pPr>
              <w:pStyle w:val="12"/>
            </w:pPr>
            <w:r>
              <w:t>改善交通条件、方便市民出行</w:t>
            </w:r>
          </w:p>
        </w:tc>
        <w:tc>
          <w:tcPr>
            <w:tcW w:w="2268" w:type="dxa"/>
            <w:vAlign w:val="center"/>
          </w:tcPr>
          <w:p>
            <w:pPr>
              <w:pStyle w:val="12"/>
            </w:pPr>
            <w:r>
              <w:t>提升、美化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道路维修使用期限</w:t>
            </w:r>
          </w:p>
        </w:tc>
        <w:tc>
          <w:tcPr>
            <w:tcW w:w="5386" w:type="dxa"/>
            <w:vAlign w:val="center"/>
          </w:tcPr>
          <w:p>
            <w:pPr>
              <w:pStyle w:val="12"/>
            </w:pPr>
            <w:r>
              <w:t>道路维修使用期限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市民对道路维修改造的满意度</w:t>
            </w:r>
          </w:p>
        </w:tc>
        <w:tc>
          <w:tcPr>
            <w:tcW w:w="5386" w:type="dxa"/>
            <w:vAlign w:val="center"/>
          </w:tcPr>
          <w:p>
            <w:pPr>
              <w:pStyle w:val="12"/>
            </w:pPr>
            <w:r>
              <w:t>市民对道路维修改造的满意度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2、2022年鹿泉区口袋公园项目绩效目标表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13011026P00156410614E</w:t>
            </w:r>
          </w:p>
        </w:tc>
        <w:tc>
          <w:tcPr>
            <w:tcW w:w="2835" w:type="dxa"/>
            <w:vAlign w:val="center"/>
          </w:tcPr>
          <w:p>
            <w:pPr>
              <w:pStyle w:val="10"/>
            </w:pPr>
            <w:r>
              <w:t>项目名称</w:t>
            </w:r>
          </w:p>
        </w:tc>
        <w:tc>
          <w:tcPr>
            <w:tcW w:w="6095" w:type="dxa"/>
            <w:gridSpan w:val="3"/>
            <w:vAlign w:val="center"/>
          </w:tcPr>
          <w:p>
            <w:pPr>
              <w:pStyle w:val="12"/>
            </w:pPr>
            <w:r>
              <w:t>2022年鹿泉区口袋公园项目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0.82</w:t>
            </w:r>
          </w:p>
        </w:tc>
        <w:tc>
          <w:tcPr>
            <w:tcW w:w="2835" w:type="dxa"/>
            <w:vAlign w:val="center"/>
          </w:tcPr>
          <w:p>
            <w:pPr>
              <w:pStyle w:val="10"/>
            </w:pPr>
            <w:r>
              <w:t>其中：财政    资金</w:t>
            </w:r>
          </w:p>
        </w:tc>
        <w:tc>
          <w:tcPr>
            <w:tcW w:w="2551" w:type="dxa"/>
            <w:vAlign w:val="center"/>
          </w:tcPr>
          <w:p>
            <w:pPr>
              <w:pStyle w:val="12"/>
            </w:pPr>
            <w:r>
              <w:t>0.82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资金用于2022年口袋公园项目建设支出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1.完成15座口袋公园的建设，提升城市品位，改善生活环境。</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完成口袋公园建设的数量</w:t>
            </w:r>
          </w:p>
        </w:tc>
        <w:tc>
          <w:tcPr>
            <w:tcW w:w="5386" w:type="dxa"/>
            <w:vAlign w:val="center"/>
          </w:tcPr>
          <w:p>
            <w:pPr>
              <w:pStyle w:val="12"/>
            </w:pPr>
            <w:r>
              <w:t>完成口袋公园建设的数量</w:t>
            </w:r>
          </w:p>
        </w:tc>
        <w:tc>
          <w:tcPr>
            <w:tcW w:w="2268" w:type="dxa"/>
            <w:vAlign w:val="center"/>
          </w:tcPr>
          <w:p>
            <w:pPr>
              <w:pStyle w:val="12"/>
            </w:pPr>
            <w:r>
              <w:t>≤15个</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完成绿化面积的数量</w:t>
            </w:r>
          </w:p>
        </w:tc>
        <w:tc>
          <w:tcPr>
            <w:tcW w:w="5386" w:type="dxa"/>
            <w:vAlign w:val="center"/>
          </w:tcPr>
          <w:p>
            <w:pPr>
              <w:pStyle w:val="12"/>
            </w:pPr>
            <w:r>
              <w:t>完成绿化面积的数量</w:t>
            </w:r>
          </w:p>
        </w:tc>
        <w:tc>
          <w:tcPr>
            <w:tcW w:w="2268" w:type="dxa"/>
            <w:vAlign w:val="center"/>
          </w:tcPr>
          <w:p>
            <w:pPr>
              <w:pStyle w:val="12"/>
            </w:pPr>
            <w:r>
              <w:t>≤3.96公顷</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每平方米绿地建设的成本</w:t>
            </w:r>
          </w:p>
        </w:tc>
        <w:tc>
          <w:tcPr>
            <w:tcW w:w="5386" w:type="dxa"/>
            <w:vAlign w:val="center"/>
          </w:tcPr>
          <w:p>
            <w:pPr>
              <w:pStyle w:val="12"/>
            </w:pPr>
            <w:r>
              <w:t>每平方米绿地建设的成本</w:t>
            </w:r>
          </w:p>
        </w:tc>
        <w:tc>
          <w:tcPr>
            <w:tcW w:w="2268" w:type="dxa"/>
            <w:vAlign w:val="center"/>
          </w:tcPr>
          <w:p>
            <w:pPr>
              <w:pStyle w:val="12"/>
            </w:pPr>
            <w:r>
              <w:t>≤200元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已完成的工程量占计划完成工程量的比率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提升城市品位，美化环境</w:t>
            </w:r>
          </w:p>
        </w:tc>
        <w:tc>
          <w:tcPr>
            <w:tcW w:w="5386" w:type="dxa"/>
            <w:vAlign w:val="center"/>
          </w:tcPr>
          <w:p>
            <w:pPr>
              <w:pStyle w:val="12"/>
            </w:pPr>
            <w:r>
              <w:t>提升城市品位，美化环境</w:t>
            </w:r>
          </w:p>
        </w:tc>
        <w:tc>
          <w:tcPr>
            <w:tcW w:w="2268" w:type="dxa"/>
            <w:vAlign w:val="center"/>
          </w:tcPr>
          <w:p>
            <w:pPr>
              <w:pStyle w:val="12"/>
            </w:pPr>
            <w:r>
              <w:t>提升美化</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口袋公园建成保持的时间</w:t>
            </w:r>
          </w:p>
        </w:tc>
        <w:tc>
          <w:tcPr>
            <w:tcW w:w="5386" w:type="dxa"/>
            <w:vAlign w:val="center"/>
          </w:tcPr>
          <w:p>
            <w:pPr>
              <w:pStyle w:val="12"/>
            </w:pPr>
            <w:r>
              <w:t>口袋公园建成保持的时间</w:t>
            </w:r>
          </w:p>
        </w:tc>
        <w:tc>
          <w:tcPr>
            <w:tcW w:w="2268" w:type="dxa"/>
            <w:vAlign w:val="center"/>
          </w:tcPr>
          <w:p>
            <w:pPr>
              <w:pStyle w:val="12"/>
            </w:pPr>
            <w:r>
              <w:t>≥10年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市民对口袋公园建设的满意度</w:t>
            </w:r>
          </w:p>
        </w:tc>
        <w:tc>
          <w:tcPr>
            <w:tcW w:w="5386" w:type="dxa"/>
            <w:vAlign w:val="center"/>
          </w:tcPr>
          <w:p>
            <w:pPr>
              <w:pStyle w:val="12"/>
            </w:pPr>
            <w:r>
              <w:t>市民对口袋公园建设的满意度</w:t>
            </w:r>
          </w:p>
        </w:tc>
        <w:tc>
          <w:tcPr>
            <w:tcW w:w="2268" w:type="dxa"/>
            <w:vAlign w:val="center"/>
          </w:tcPr>
          <w:p>
            <w:pPr>
              <w:pStyle w:val="12"/>
            </w:pPr>
            <w:r>
              <w:t>≥90 %</w:t>
            </w:r>
          </w:p>
        </w:tc>
        <w:tc>
          <w:tcPr>
            <w:tcW w:w="1276" w:type="dxa"/>
            <w:vAlign w:val="center"/>
          </w:tcPr>
          <w:p>
            <w:pPr>
              <w:pStyle w:val="12"/>
            </w:pPr>
            <w:r>
              <w:t xml:space="preserve"> 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3、2023年口袋公园建设绩效目标表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13011026P001564106152</w:t>
            </w:r>
          </w:p>
        </w:tc>
        <w:tc>
          <w:tcPr>
            <w:tcW w:w="2835" w:type="dxa"/>
            <w:vAlign w:val="center"/>
          </w:tcPr>
          <w:p>
            <w:pPr>
              <w:pStyle w:val="10"/>
            </w:pPr>
            <w:r>
              <w:t>项目名称</w:t>
            </w:r>
          </w:p>
        </w:tc>
        <w:tc>
          <w:tcPr>
            <w:tcW w:w="6095" w:type="dxa"/>
            <w:gridSpan w:val="3"/>
            <w:vAlign w:val="center"/>
          </w:tcPr>
          <w:p>
            <w:pPr>
              <w:pStyle w:val="12"/>
            </w:pPr>
            <w:r>
              <w:t>2023年口袋公园建设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w:t>
            </w:r>
          </w:p>
        </w:tc>
        <w:tc>
          <w:tcPr>
            <w:tcW w:w="2835" w:type="dxa"/>
            <w:vAlign w:val="center"/>
          </w:tcPr>
          <w:p>
            <w:pPr>
              <w:pStyle w:val="10"/>
            </w:pPr>
            <w:r>
              <w:t>其中：财政    资金</w:t>
            </w:r>
          </w:p>
        </w:tc>
        <w:tc>
          <w:tcPr>
            <w:tcW w:w="2551" w:type="dxa"/>
            <w:vAlign w:val="center"/>
          </w:tcPr>
          <w:p>
            <w:pPr>
              <w:pStyle w:val="12"/>
            </w:pPr>
            <w:r>
              <w:t>1.47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资金用于2023年口袋公园建设项目支出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1.完成6个口袋公园的建设，建设绿地1.33公顷，满足公园服务半径，提升城市品味，美化环境。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完成口袋公园建设的数量</w:t>
            </w:r>
          </w:p>
        </w:tc>
        <w:tc>
          <w:tcPr>
            <w:tcW w:w="5386" w:type="dxa"/>
            <w:vAlign w:val="center"/>
          </w:tcPr>
          <w:p>
            <w:pPr>
              <w:pStyle w:val="12"/>
            </w:pPr>
            <w:r>
              <w:t>完成口袋公园建设的数量</w:t>
            </w:r>
          </w:p>
        </w:tc>
        <w:tc>
          <w:tcPr>
            <w:tcW w:w="2268" w:type="dxa"/>
            <w:vAlign w:val="center"/>
          </w:tcPr>
          <w:p>
            <w:pPr>
              <w:pStyle w:val="12"/>
            </w:pPr>
            <w:r>
              <w:t>≥6个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完成绿化面积的数量</w:t>
            </w:r>
          </w:p>
        </w:tc>
        <w:tc>
          <w:tcPr>
            <w:tcW w:w="5386" w:type="dxa"/>
            <w:vAlign w:val="center"/>
          </w:tcPr>
          <w:p>
            <w:pPr>
              <w:pStyle w:val="12"/>
            </w:pPr>
            <w:r>
              <w:t>完成绿化面积的数量</w:t>
            </w:r>
          </w:p>
        </w:tc>
        <w:tc>
          <w:tcPr>
            <w:tcW w:w="2268" w:type="dxa"/>
            <w:vAlign w:val="center"/>
          </w:tcPr>
          <w:p>
            <w:pPr>
              <w:pStyle w:val="12"/>
            </w:pPr>
            <w:r>
              <w:t>≤1.33公顷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每平方米绿地建设的成本</w:t>
            </w:r>
          </w:p>
        </w:tc>
        <w:tc>
          <w:tcPr>
            <w:tcW w:w="5386" w:type="dxa"/>
            <w:vAlign w:val="center"/>
          </w:tcPr>
          <w:p>
            <w:pPr>
              <w:pStyle w:val="12"/>
            </w:pPr>
            <w:r>
              <w:t>每平方米绿地建设的平均成本</w:t>
            </w:r>
          </w:p>
        </w:tc>
        <w:tc>
          <w:tcPr>
            <w:tcW w:w="2268" w:type="dxa"/>
            <w:vAlign w:val="center"/>
          </w:tcPr>
          <w:p>
            <w:pPr>
              <w:pStyle w:val="12"/>
            </w:pPr>
            <w:r>
              <w:t>≤295元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已完成的工程量占计划完成工程量的比率</w:t>
            </w:r>
          </w:p>
        </w:tc>
        <w:tc>
          <w:tcPr>
            <w:tcW w:w="2268" w:type="dxa"/>
            <w:vAlign w:val="center"/>
          </w:tcPr>
          <w:p>
            <w:pPr>
              <w:pStyle w:val="12"/>
            </w:pPr>
            <w:r>
              <w:t>100 %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提升城市品位，美化环境</w:t>
            </w:r>
          </w:p>
        </w:tc>
        <w:tc>
          <w:tcPr>
            <w:tcW w:w="5386" w:type="dxa"/>
            <w:vAlign w:val="center"/>
          </w:tcPr>
          <w:p>
            <w:pPr>
              <w:pStyle w:val="12"/>
            </w:pPr>
            <w:r>
              <w:t>提升城市品位，美化环境</w:t>
            </w:r>
          </w:p>
        </w:tc>
        <w:tc>
          <w:tcPr>
            <w:tcW w:w="2268" w:type="dxa"/>
            <w:vAlign w:val="center"/>
          </w:tcPr>
          <w:p>
            <w:pPr>
              <w:pStyle w:val="12"/>
            </w:pPr>
            <w:r>
              <w:t>提升、美化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口袋公园建成保持的时间</w:t>
            </w:r>
          </w:p>
        </w:tc>
        <w:tc>
          <w:tcPr>
            <w:tcW w:w="5386" w:type="dxa"/>
            <w:vAlign w:val="center"/>
          </w:tcPr>
          <w:p>
            <w:pPr>
              <w:pStyle w:val="12"/>
            </w:pPr>
            <w:r>
              <w:t>口袋公园建成保持的时间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市民对口袋公园建设的满意度</w:t>
            </w:r>
          </w:p>
        </w:tc>
        <w:tc>
          <w:tcPr>
            <w:tcW w:w="5386" w:type="dxa"/>
            <w:vAlign w:val="center"/>
          </w:tcPr>
          <w:p>
            <w:pPr>
              <w:pStyle w:val="12"/>
            </w:pPr>
            <w:r>
              <w:t>市民对口袋公园建设的满意度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4、2024年节日氛围营造工程绩效目标表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13011026P00156410616M</w:t>
            </w:r>
          </w:p>
        </w:tc>
        <w:tc>
          <w:tcPr>
            <w:tcW w:w="2835" w:type="dxa"/>
            <w:vAlign w:val="center"/>
          </w:tcPr>
          <w:p>
            <w:pPr>
              <w:pStyle w:val="10"/>
            </w:pPr>
            <w:r>
              <w:t>项目名称</w:t>
            </w:r>
          </w:p>
        </w:tc>
        <w:tc>
          <w:tcPr>
            <w:tcW w:w="6095" w:type="dxa"/>
            <w:gridSpan w:val="3"/>
            <w:vAlign w:val="center"/>
          </w:tcPr>
          <w:p>
            <w:pPr>
              <w:pStyle w:val="12"/>
            </w:pPr>
            <w:r>
              <w:t>2024年节日氛围营造工程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0.29</w:t>
            </w:r>
          </w:p>
        </w:tc>
        <w:tc>
          <w:tcPr>
            <w:tcW w:w="2835" w:type="dxa"/>
            <w:vAlign w:val="center"/>
          </w:tcPr>
          <w:p>
            <w:pPr>
              <w:pStyle w:val="10"/>
            </w:pPr>
            <w:r>
              <w:t>其中：财政    资金</w:t>
            </w:r>
          </w:p>
        </w:tc>
        <w:tc>
          <w:tcPr>
            <w:tcW w:w="2551" w:type="dxa"/>
            <w:vAlign w:val="center"/>
          </w:tcPr>
          <w:p>
            <w:pPr>
              <w:pStyle w:val="12"/>
            </w:pPr>
            <w:r>
              <w:t>0.29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资金用于2024年节日氛围营造工程支出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1.为了营造节日氛围，在重要节点布置大型造型灯2座，城区主要街道悬挂灯笼和网灯18624套。</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安装灯笼和网灯的数量</w:t>
            </w:r>
          </w:p>
        </w:tc>
        <w:tc>
          <w:tcPr>
            <w:tcW w:w="5386" w:type="dxa"/>
            <w:vAlign w:val="center"/>
          </w:tcPr>
          <w:p>
            <w:pPr>
              <w:pStyle w:val="12"/>
            </w:pPr>
            <w:r>
              <w:t>安装灯笼和网灯的数量</w:t>
            </w:r>
          </w:p>
        </w:tc>
        <w:tc>
          <w:tcPr>
            <w:tcW w:w="2268" w:type="dxa"/>
            <w:vAlign w:val="center"/>
          </w:tcPr>
          <w:p>
            <w:pPr>
              <w:pStyle w:val="12"/>
            </w:pPr>
            <w:r>
              <w:t>≤18624套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灯笼网灯安装验收合格率</w:t>
            </w:r>
          </w:p>
        </w:tc>
        <w:tc>
          <w:tcPr>
            <w:tcW w:w="5386" w:type="dxa"/>
            <w:vAlign w:val="center"/>
          </w:tcPr>
          <w:p>
            <w:pPr>
              <w:pStyle w:val="12"/>
            </w:pPr>
            <w:r>
              <w:t>已完成的验收合格的工程量占实际完成工程量的比率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灯笼网灯安装的完工率</w:t>
            </w:r>
          </w:p>
        </w:tc>
        <w:tc>
          <w:tcPr>
            <w:tcW w:w="5386" w:type="dxa"/>
            <w:vAlign w:val="center"/>
          </w:tcPr>
          <w:p>
            <w:pPr>
              <w:pStyle w:val="12"/>
            </w:pPr>
            <w:r>
              <w:t>已完成的工程量占计划完成的工程量的比率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节日氛围营造工程建安费</w:t>
            </w:r>
          </w:p>
        </w:tc>
        <w:tc>
          <w:tcPr>
            <w:tcW w:w="5386" w:type="dxa"/>
            <w:vAlign w:val="center"/>
          </w:tcPr>
          <w:p>
            <w:pPr>
              <w:pStyle w:val="12"/>
            </w:pPr>
            <w:r>
              <w:t>节日氛围营造工程建安费</w:t>
            </w:r>
          </w:p>
        </w:tc>
        <w:tc>
          <w:tcPr>
            <w:tcW w:w="2268" w:type="dxa"/>
            <w:vAlign w:val="center"/>
          </w:tcPr>
          <w:p>
            <w:pPr>
              <w:pStyle w:val="12"/>
            </w:pPr>
            <w:r>
              <w:t>≤154万元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营造和谐欢乐的节日氛围</w:t>
            </w:r>
          </w:p>
        </w:tc>
        <w:tc>
          <w:tcPr>
            <w:tcW w:w="5386" w:type="dxa"/>
            <w:vAlign w:val="center"/>
          </w:tcPr>
          <w:p>
            <w:pPr>
              <w:pStyle w:val="12"/>
            </w:pPr>
            <w:r>
              <w:t>为市民营造和谐欢乐的节日氛围</w:t>
            </w:r>
          </w:p>
        </w:tc>
        <w:tc>
          <w:tcPr>
            <w:tcW w:w="2268" w:type="dxa"/>
            <w:vAlign w:val="center"/>
          </w:tcPr>
          <w:p>
            <w:pPr>
              <w:pStyle w:val="12"/>
            </w:pPr>
            <w:r>
              <w:t>氛围营造</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灯笼网灯的使用期限</w:t>
            </w:r>
          </w:p>
        </w:tc>
        <w:tc>
          <w:tcPr>
            <w:tcW w:w="5386" w:type="dxa"/>
            <w:vAlign w:val="center"/>
          </w:tcPr>
          <w:p>
            <w:pPr>
              <w:pStyle w:val="12"/>
            </w:pPr>
            <w:r>
              <w:t>灯笼网灯的使用期限</w:t>
            </w:r>
          </w:p>
        </w:tc>
        <w:tc>
          <w:tcPr>
            <w:tcW w:w="2268" w:type="dxa"/>
            <w:vAlign w:val="center"/>
          </w:tcPr>
          <w:p>
            <w:pPr>
              <w:pStyle w:val="12"/>
            </w:pPr>
            <w:r>
              <w:t>≥2月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满意度问卷调查</w:t>
            </w:r>
          </w:p>
        </w:tc>
        <w:tc>
          <w:tcPr>
            <w:tcW w:w="5386" w:type="dxa"/>
            <w:vAlign w:val="center"/>
          </w:tcPr>
          <w:p>
            <w:pPr>
              <w:pStyle w:val="12"/>
            </w:pPr>
            <w:r>
              <w:t>市民对节日氛围营造的满意度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5、2025年口袋公园建设项目绩效目标表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13011026P001564106100</w:t>
            </w:r>
          </w:p>
        </w:tc>
        <w:tc>
          <w:tcPr>
            <w:tcW w:w="2835" w:type="dxa"/>
            <w:vAlign w:val="center"/>
          </w:tcPr>
          <w:p>
            <w:pPr>
              <w:pStyle w:val="10"/>
            </w:pPr>
            <w:r>
              <w:t>项目名称</w:t>
            </w:r>
          </w:p>
        </w:tc>
        <w:tc>
          <w:tcPr>
            <w:tcW w:w="6095" w:type="dxa"/>
            <w:gridSpan w:val="3"/>
            <w:vAlign w:val="center"/>
          </w:tcPr>
          <w:p>
            <w:pPr>
              <w:pStyle w:val="12"/>
            </w:pPr>
            <w:r>
              <w:t>2025年口袋公园建设项目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资金用于2025年口袋公园建设项目支出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1.完成面积约1900平方米的口袋公园建设，美化城市环境、提升城市品位。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完成口袋公园建设面积的数量</w:t>
            </w:r>
          </w:p>
        </w:tc>
        <w:tc>
          <w:tcPr>
            <w:tcW w:w="5386" w:type="dxa"/>
            <w:vAlign w:val="center"/>
          </w:tcPr>
          <w:p>
            <w:pPr>
              <w:pStyle w:val="12"/>
            </w:pPr>
            <w:r>
              <w:t>完成口袋公园建设面积的数量</w:t>
            </w:r>
          </w:p>
        </w:tc>
        <w:tc>
          <w:tcPr>
            <w:tcW w:w="2268" w:type="dxa"/>
            <w:vAlign w:val="center"/>
          </w:tcPr>
          <w:p>
            <w:pPr>
              <w:pStyle w:val="12"/>
            </w:pPr>
            <w:r>
              <w:t>≤1900平方米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口袋公园建设每平方米的建设成本</w:t>
            </w:r>
          </w:p>
        </w:tc>
        <w:tc>
          <w:tcPr>
            <w:tcW w:w="5386" w:type="dxa"/>
            <w:vAlign w:val="center"/>
          </w:tcPr>
          <w:p>
            <w:pPr>
              <w:pStyle w:val="12"/>
            </w:pPr>
            <w:r>
              <w:t>口袋公园建设每平方米的建设成本</w:t>
            </w:r>
          </w:p>
        </w:tc>
        <w:tc>
          <w:tcPr>
            <w:tcW w:w="2268" w:type="dxa"/>
            <w:vAlign w:val="center"/>
          </w:tcPr>
          <w:p>
            <w:pPr>
              <w:pStyle w:val="12"/>
            </w:pPr>
            <w:r>
              <w:t>≤384元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验收合格率</w:t>
            </w:r>
          </w:p>
        </w:tc>
        <w:tc>
          <w:tcPr>
            <w:tcW w:w="5386" w:type="dxa"/>
            <w:vAlign w:val="center"/>
          </w:tcPr>
          <w:p>
            <w:pPr>
              <w:pStyle w:val="12"/>
            </w:pPr>
            <w:r>
              <w:t>完成的验收合格的工程量占实际完成工程量的比率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改善生态环境、提升城市品位</w:t>
            </w:r>
          </w:p>
        </w:tc>
        <w:tc>
          <w:tcPr>
            <w:tcW w:w="5386" w:type="dxa"/>
            <w:vAlign w:val="center"/>
          </w:tcPr>
          <w:p>
            <w:pPr>
              <w:pStyle w:val="12"/>
            </w:pPr>
            <w:r>
              <w:t>改善生态环境、提升城市品位</w:t>
            </w:r>
          </w:p>
        </w:tc>
        <w:tc>
          <w:tcPr>
            <w:tcW w:w="2268" w:type="dxa"/>
            <w:vAlign w:val="center"/>
          </w:tcPr>
          <w:p>
            <w:pPr>
              <w:pStyle w:val="12"/>
            </w:pPr>
            <w:r>
              <w:t>改善环境、提升品位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口袋公园建成使用的时间</w:t>
            </w:r>
          </w:p>
        </w:tc>
        <w:tc>
          <w:tcPr>
            <w:tcW w:w="5386" w:type="dxa"/>
            <w:vAlign w:val="center"/>
          </w:tcPr>
          <w:p>
            <w:pPr>
              <w:pStyle w:val="12"/>
            </w:pPr>
            <w:r>
              <w:t>口袋公园建成使用的时间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市民对口袋公园建设的满意度</w:t>
            </w:r>
          </w:p>
        </w:tc>
        <w:tc>
          <w:tcPr>
            <w:tcW w:w="5386" w:type="dxa"/>
            <w:vAlign w:val="center"/>
          </w:tcPr>
          <w:p>
            <w:pPr>
              <w:pStyle w:val="12"/>
            </w:pPr>
            <w:r>
              <w:t>市民对口袋公园建设的满意程度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6、2026年节日氛围营造工程绩效目标表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13011026P00000110495Q</w:t>
            </w:r>
          </w:p>
        </w:tc>
        <w:tc>
          <w:tcPr>
            <w:tcW w:w="2835" w:type="dxa"/>
            <w:vAlign w:val="center"/>
          </w:tcPr>
          <w:p>
            <w:pPr>
              <w:pStyle w:val="10"/>
            </w:pPr>
            <w:r>
              <w:t>项目名称</w:t>
            </w:r>
          </w:p>
        </w:tc>
        <w:tc>
          <w:tcPr>
            <w:tcW w:w="6095" w:type="dxa"/>
            <w:gridSpan w:val="3"/>
            <w:vAlign w:val="center"/>
          </w:tcPr>
          <w:p>
            <w:pPr>
              <w:pStyle w:val="12"/>
            </w:pPr>
            <w:r>
              <w:t>2026年节日氛围营造工程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141.60</w:t>
            </w:r>
          </w:p>
        </w:tc>
        <w:tc>
          <w:tcPr>
            <w:tcW w:w="2835" w:type="dxa"/>
            <w:vAlign w:val="center"/>
          </w:tcPr>
          <w:p>
            <w:pPr>
              <w:pStyle w:val="10"/>
            </w:pPr>
            <w:r>
              <w:t>其中：财政    资金</w:t>
            </w:r>
          </w:p>
        </w:tc>
        <w:tc>
          <w:tcPr>
            <w:tcW w:w="2551" w:type="dxa"/>
            <w:vAlign w:val="center"/>
          </w:tcPr>
          <w:p>
            <w:pPr>
              <w:pStyle w:val="12"/>
            </w:pPr>
            <w:r>
              <w:t>141.60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资金用于2026年节日氛围营造工程支出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1.完成海山公园、石柏公园、城区主要街道灯带3650米，网灯8850平方米，直径20cm的PE灯笼390套，公园广场安装景观小品2个的安装，营造欢乐、祥和的节日氛围。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完成安装灯带的数量</w:t>
            </w:r>
          </w:p>
        </w:tc>
        <w:tc>
          <w:tcPr>
            <w:tcW w:w="5386" w:type="dxa"/>
            <w:vAlign w:val="center"/>
          </w:tcPr>
          <w:p>
            <w:pPr>
              <w:pStyle w:val="12"/>
            </w:pPr>
            <w:r>
              <w:t>完成安装灯带的数量</w:t>
            </w:r>
          </w:p>
        </w:tc>
        <w:tc>
          <w:tcPr>
            <w:tcW w:w="2268" w:type="dxa"/>
            <w:vAlign w:val="center"/>
          </w:tcPr>
          <w:p>
            <w:pPr>
              <w:pStyle w:val="12"/>
            </w:pPr>
            <w:r>
              <w:t>≤3650米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完成安装网灯的数量</w:t>
            </w:r>
          </w:p>
        </w:tc>
        <w:tc>
          <w:tcPr>
            <w:tcW w:w="5386" w:type="dxa"/>
            <w:vAlign w:val="center"/>
          </w:tcPr>
          <w:p>
            <w:pPr>
              <w:pStyle w:val="12"/>
            </w:pPr>
            <w:r>
              <w:t>完成安装网灯的数量</w:t>
            </w:r>
          </w:p>
        </w:tc>
        <w:tc>
          <w:tcPr>
            <w:tcW w:w="2268" w:type="dxa"/>
            <w:vAlign w:val="center"/>
          </w:tcPr>
          <w:p>
            <w:pPr>
              <w:pStyle w:val="12"/>
            </w:pPr>
            <w:r>
              <w:t>≤8850平方米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完成安装直径20cmPE灯笼的数量</w:t>
            </w:r>
          </w:p>
        </w:tc>
        <w:tc>
          <w:tcPr>
            <w:tcW w:w="5386" w:type="dxa"/>
            <w:vAlign w:val="center"/>
          </w:tcPr>
          <w:p>
            <w:pPr>
              <w:pStyle w:val="12"/>
            </w:pPr>
            <w:r>
              <w:t>完成安装直径20cmPE灯笼的数量</w:t>
            </w:r>
          </w:p>
        </w:tc>
        <w:tc>
          <w:tcPr>
            <w:tcW w:w="2268" w:type="dxa"/>
            <w:vAlign w:val="center"/>
          </w:tcPr>
          <w:p>
            <w:pPr>
              <w:pStyle w:val="12"/>
            </w:pPr>
            <w:r>
              <w:t>≤390套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完成景观小品安装的数量</w:t>
            </w:r>
          </w:p>
        </w:tc>
        <w:tc>
          <w:tcPr>
            <w:tcW w:w="5386" w:type="dxa"/>
            <w:vAlign w:val="center"/>
          </w:tcPr>
          <w:p>
            <w:pPr>
              <w:pStyle w:val="12"/>
            </w:pPr>
            <w:r>
              <w:t>完成景观小品安装的数量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工程按时完工率</w:t>
            </w:r>
          </w:p>
        </w:tc>
        <w:tc>
          <w:tcPr>
            <w:tcW w:w="5386" w:type="dxa"/>
            <w:vAlign w:val="center"/>
          </w:tcPr>
          <w:p>
            <w:pPr>
              <w:pStyle w:val="12"/>
            </w:pPr>
            <w:r>
              <w:t>按时完成的工程量占计划完成工程量的比例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每米灯带的价格</w:t>
            </w:r>
          </w:p>
        </w:tc>
        <w:tc>
          <w:tcPr>
            <w:tcW w:w="5386" w:type="dxa"/>
            <w:vAlign w:val="center"/>
          </w:tcPr>
          <w:p>
            <w:pPr>
              <w:pStyle w:val="12"/>
            </w:pPr>
            <w:r>
              <w:t>每米灯带的价格</w:t>
            </w:r>
          </w:p>
        </w:tc>
        <w:tc>
          <w:tcPr>
            <w:tcW w:w="2268" w:type="dxa"/>
            <w:vAlign w:val="center"/>
          </w:tcPr>
          <w:p>
            <w:pPr>
              <w:pStyle w:val="12"/>
            </w:pPr>
            <w:r>
              <w:t>≤9元/米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每平方米网灯的采购价格</w:t>
            </w:r>
          </w:p>
        </w:tc>
        <w:tc>
          <w:tcPr>
            <w:tcW w:w="5386" w:type="dxa"/>
            <w:vAlign w:val="center"/>
          </w:tcPr>
          <w:p>
            <w:pPr>
              <w:pStyle w:val="12"/>
            </w:pPr>
            <w:r>
              <w:t>每平方米网灯的采购价格</w:t>
            </w:r>
          </w:p>
        </w:tc>
        <w:tc>
          <w:tcPr>
            <w:tcW w:w="2268" w:type="dxa"/>
            <w:vAlign w:val="center"/>
          </w:tcPr>
          <w:p>
            <w:pPr>
              <w:pStyle w:val="12"/>
            </w:pPr>
            <w:r>
              <w:t>≤6元/平方米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每套灯笼的采购价格</w:t>
            </w:r>
          </w:p>
        </w:tc>
        <w:tc>
          <w:tcPr>
            <w:tcW w:w="5386" w:type="dxa"/>
            <w:vAlign w:val="center"/>
          </w:tcPr>
          <w:p>
            <w:pPr>
              <w:pStyle w:val="12"/>
            </w:pPr>
            <w:r>
              <w:t>每套灯笼的采购价格</w:t>
            </w:r>
          </w:p>
        </w:tc>
        <w:tc>
          <w:tcPr>
            <w:tcW w:w="2268" w:type="dxa"/>
            <w:vAlign w:val="center"/>
          </w:tcPr>
          <w:p>
            <w:pPr>
              <w:pStyle w:val="12"/>
            </w:pPr>
            <w:r>
              <w:t>≤6.4元/套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景观小品安装成本</w:t>
            </w:r>
          </w:p>
        </w:tc>
        <w:tc>
          <w:tcPr>
            <w:tcW w:w="5386" w:type="dxa"/>
            <w:vAlign w:val="center"/>
          </w:tcPr>
          <w:p>
            <w:pPr>
              <w:pStyle w:val="12"/>
            </w:pPr>
            <w:r>
              <w:t>景观小品安装成本</w:t>
            </w:r>
          </w:p>
        </w:tc>
        <w:tc>
          <w:tcPr>
            <w:tcW w:w="2268" w:type="dxa"/>
            <w:vAlign w:val="center"/>
          </w:tcPr>
          <w:p>
            <w:pPr>
              <w:pStyle w:val="12"/>
            </w:pPr>
            <w:r>
              <w:t>≤6.1万元/个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营造欢乐、祥和的节日氛围</w:t>
            </w:r>
          </w:p>
        </w:tc>
        <w:tc>
          <w:tcPr>
            <w:tcW w:w="5386" w:type="dxa"/>
            <w:vAlign w:val="center"/>
          </w:tcPr>
          <w:p>
            <w:pPr>
              <w:pStyle w:val="12"/>
            </w:pPr>
            <w:r>
              <w:t>营造欢乐、祥和的节日氛围</w:t>
            </w:r>
          </w:p>
        </w:tc>
        <w:tc>
          <w:tcPr>
            <w:tcW w:w="2268" w:type="dxa"/>
            <w:vAlign w:val="center"/>
          </w:tcPr>
          <w:p>
            <w:pPr>
              <w:pStyle w:val="12"/>
            </w:pPr>
            <w:r>
              <w:t>营造气氛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亮化使用的期限</w:t>
            </w:r>
          </w:p>
        </w:tc>
        <w:tc>
          <w:tcPr>
            <w:tcW w:w="5386" w:type="dxa"/>
            <w:vAlign w:val="center"/>
          </w:tcPr>
          <w:p>
            <w:pPr>
              <w:pStyle w:val="12"/>
            </w:pPr>
            <w:r>
              <w:t>亮化使用的期限</w:t>
            </w:r>
          </w:p>
        </w:tc>
        <w:tc>
          <w:tcPr>
            <w:tcW w:w="2268" w:type="dxa"/>
            <w:vAlign w:val="center"/>
          </w:tcPr>
          <w:p>
            <w:pPr>
              <w:pStyle w:val="12"/>
            </w:pPr>
            <w:r>
              <w:t>≥2个月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市民对节日亮化的满意度</w:t>
            </w:r>
          </w:p>
        </w:tc>
        <w:tc>
          <w:tcPr>
            <w:tcW w:w="5386" w:type="dxa"/>
            <w:vAlign w:val="center"/>
          </w:tcPr>
          <w:p>
            <w:pPr>
              <w:pStyle w:val="12"/>
            </w:pPr>
            <w:r>
              <w:t>市民对节日亮化的满意度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7、630台账绩效目标表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13011025P00000110478D</w:t>
            </w:r>
          </w:p>
        </w:tc>
        <w:tc>
          <w:tcPr>
            <w:tcW w:w="2835" w:type="dxa"/>
            <w:vAlign w:val="center"/>
          </w:tcPr>
          <w:p>
            <w:pPr>
              <w:pStyle w:val="10"/>
            </w:pPr>
            <w:r>
              <w:t>项目名称</w:t>
            </w:r>
          </w:p>
        </w:tc>
        <w:tc>
          <w:tcPr>
            <w:tcW w:w="6095" w:type="dxa"/>
            <w:gridSpan w:val="3"/>
            <w:vAlign w:val="center"/>
          </w:tcPr>
          <w:p>
            <w:pPr>
              <w:pStyle w:val="12"/>
            </w:pPr>
            <w:r>
              <w:t>630台账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8.16</w:t>
            </w:r>
          </w:p>
        </w:tc>
        <w:tc>
          <w:tcPr>
            <w:tcW w:w="2835" w:type="dxa"/>
            <w:vAlign w:val="center"/>
          </w:tcPr>
          <w:p>
            <w:pPr>
              <w:pStyle w:val="10"/>
            </w:pPr>
            <w:r>
              <w:t>其中：财政    资金</w:t>
            </w:r>
          </w:p>
        </w:tc>
        <w:tc>
          <w:tcPr>
            <w:tcW w:w="2551" w:type="dxa"/>
            <w:vAlign w:val="center"/>
          </w:tcPr>
          <w:p>
            <w:pPr>
              <w:pStyle w:val="12"/>
            </w:pPr>
            <w:r>
              <w:t>8.16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用于支付630台账工程欠款。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完成630台账132个项目欠款的支付工作。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完成630台账欠款支付项目的数量</w:t>
            </w:r>
          </w:p>
        </w:tc>
        <w:tc>
          <w:tcPr>
            <w:tcW w:w="5386" w:type="dxa"/>
            <w:vAlign w:val="center"/>
          </w:tcPr>
          <w:p>
            <w:pPr>
              <w:pStyle w:val="12"/>
            </w:pPr>
            <w:r>
              <w:t xml:space="preserve"> 完成630台账欠款支付项目的数量</w:t>
            </w:r>
          </w:p>
        </w:tc>
        <w:tc>
          <w:tcPr>
            <w:tcW w:w="2268" w:type="dxa"/>
            <w:vAlign w:val="center"/>
          </w:tcPr>
          <w:p>
            <w:pPr>
              <w:pStyle w:val="12"/>
            </w:pPr>
            <w:r>
              <w:t>≤132个</w:t>
            </w:r>
          </w:p>
        </w:tc>
        <w:tc>
          <w:tcPr>
            <w:tcW w:w="1276" w:type="dxa"/>
            <w:vAlign w:val="center"/>
          </w:tcPr>
          <w:p>
            <w:pPr>
              <w:pStyle w:val="12"/>
            </w:pPr>
            <w:r>
              <w:t>630台账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完成630台账工程欠款支付的金额</w:t>
            </w:r>
          </w:p>
        </w:tc>
        <w:tc>
          <w:tcPr>
            <w:tcW w:w="5386" w:type="dxa"/>
            <w:vAlign w:val="center"/>
          </w:tcPr>
          <w:p>
            <w:pPr>
              <w:pStyle w:val="12"/>
            </w:pPr>
            <w:r>
              <w:t xml:space="preserve"> 完成630台账工程欠款支付的金额</w:t>
            </w:r>
          </w:p>
        </w:tc>
        <w:tc>
          <w:tcPr>
            <w:tcW w:w="2268" w:type="dxa"/>
            <w:vAlign w:val="center"/>
          </w:tcPr>
          <w:p>
            <w:pPr>
              <w:pStyle w:val="12"/>
            </w:pPr>
            <w:r>
              <w:t>≤17208.88 万元</w:t>
            </w:r>
          </w:p>
        </w:tc>
        <w:tc>
          <w:tcPr>
            <w:tcW w:w="1276" w:type="dxa"/>
            <w:vAlign w:val="center"/>
          </w:tcPr>
          <w:p>
            <w:pPr>
              <w:pStyle w:val="12"/>
            </w:pPr>
            <w:r>
              <w:t>630台账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630台账工程欠款支付的按时完成率</w:t>
            </w:r>
          </w:p>
        </w:tc>
        <w:tc>
          <w:tcPr>
            <w:tcW w:w="5386" w:type="dxa"/>
            <w:vAlign w:val="center"/>
          </w:tcPr>
          <w:p>
            <w:pPr>
              <w:pStyle w:val="12"/>
            </w:pPr>
            <w:r>
              <w:t xml:space="preserve"> 按时完成工程欠款支付的数量占应付工程欠款数量的比率</w:t>
            </w:r>
          </w:p>
        </w:tc>
        <w:tc>
          <w:tcPr>
            <w:tcW w:w="2268" w:type="dxa"/>
            <w:vAlign w:val="center"/>
          </w:tcPr>
          <w:p>
            <w:pPr>
              <w:pStyle w:val="12"/>
            </w:pPr>
            <w:r>
              <w:t>≥20 %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630台账工程欠款偿还的完成率</w:t>
            </w:r>
          </w:p>
        </w:tc>
        <w:tc>
          <w:tcPr>
            <w:tcW w:w="5386" w:type="dxa"/>
            <w:vAlign w:val="center"/>
          </w:tcPr>
          <w:p>
            <w:pPr>
              <w:pStyle w:val="12"/>
            </w:pPr>
            <w:r>
              <w:t>已完成工程欠款偿还项目的数量占计划偿还工程欠款数量的比率</w:t>
            </w:r>
          </w:p>
        </w:tc>
        <w:tc>
          <w:tcPr>
            <w:tcW w:w="2268" w:type="dxa"/>
            <w:vAlign w:val="center"/>
          </w:tcPr>
          <w:p>
            <w:pPr>
              <w:pStyle w:val="12"/>
            </w:pPr>
            <w:r>
              <w:t>≥20 %</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630台账工程欠款偿还的期限</w:t>
            </w:r>
          </w:p>
        </w:tc>
        <w:tc>
          <w:tcPr>
            <w:tcW w:w="5386" w:type="dxa"/>
            <w:vAlign w:val="center"/>
          </w:tcPr>
          <w:p>
            <w:pPr>
              <w:pStyle w:val="12"/>
            </w:pPr>
            <w:r>
              <w:t xml:space="preserve"> 630台账工程欠款偿还的期限</w:t>
            </w:r>
          </w:p>
        </w:tc>
        <w:tc>
          <w:tcPr>
            <w:tcW w:w="2268" w:type="dxa"/>
            <w:vAlign w:val="center"/>
          </w:tcPr>
          <w:p>
            <w:pPr>
              <w:pStyle w:val="12"/>
            </w:pPr>
            <w:r>
              <w:t>≥3 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施工方对偿还工程欠款工作的满意度</w:t>
            </w:r>
          </w:p>
        </w:tc>
        <w:tc>
          <w:tcPr>
            <w:tcW w:w="5386" w:type="dxa"/>
            <w:vAlign w:val="center"/>
          </w:tcPr>
          <w:p>
            <w:pPr>
              <w:pStyle w:val="12"/>
            </w:pPr>
            <w:r>
              <w:t>施工方对偿还工程欠款工作的满意程度</w:t>
            </w:r>
          </w:p>
        </w:tc>
        <w:tc>
          <w:tcPr>
            <w:tcW w:w="2268" w:type="dxa"/>
            <w:vAlign w:val="center"/>
          </w:tcPr>
          <w:p>
            <w:pPr>
              <w:pStyle w:val="12"/>
            </w:pPr>
            <w:r>
              <w:t>≥80 %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8、北太平河浆砌等综合整治工程前期费用绩效目标表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13011026P00156410629C</w:t>
            </w:r>
          </w:p>
        </w:tc>
        <w:tc>
          <w:tcPr>
            <w:tcW w:w="2835" w:type="dxa"/>
            <w:vAlign w:val="center"/>
          </w:tcPr>
          <w:p>
            <w:pPr>
              <w:pStyle w:val="10"/>
            </w:pPr>
            <w:r>
              <w:t>项目名称</w:t>
            </w:r>
          </w:p>
        </w:tc>
        <w:tc>
          <w:tcPr>
            <w:tcW w:w="6095" w:type="dxa"/>
            <w:gridSpan w:val="3"/>
            <w:vAlign w:val="center"/>
          </w:tcPr>
          <w:p>
            <w:pPr>
              <w:pStyle w:val="12"/>
            </w:pPr>
            <w:r>
              <w:t>北太平河浆砌等综合整治工程前期费用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0.31</w:t>
            </w:r>
          </w:p>
        </w:tc>
        <w:tc>
          <w:tcPr>
            <w:tcW w:w="2835" w:type="dxa"/>
            <w:vAlign w:val="center"/>
          </w:tcPr>
          <w:p>
            <w:pPr>
              <w:pStyle w:val="10"/>
            </w:pPr>
            <w:r>
              <w:t>其中：财政    资金</w:t>
            </w:r>
          </w:p>
        </w:tc>
        <w:tc>
          <w:tcPr>
            <w:tcW w:w="2551" w:type="dxa"/>
            <w:vAlign w:val="center"/>
          </w:tcPr>
          <w:p>
            <w:pPr>
              <w:pStyle w:val="12"/>
            </w:pPr>
            <w:r>
              <w:t>0.31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资金用于北太平河浆砌等综合整治工程支出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1.完成了翠屏大街东侧至奇石街长约650米的地形图测绘、地质勘察、项目初步设计，为下一步项目顺利实施奠定了坚实的基础。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完成勘察初设的数量</w:t>
            </w:r>
          </w:p>
        </w:tc>
        <w:tc>
          <w:tcPr>
            <w:tcW w:w="5386" w:type="dxa"/>
            <w:vAlign w:val="center"/>
          </w:tcPr>
          <w:p>
            <w:pPr>
              <w:pStyle w:val="12"/>
            </w:pPr>
            <w:r>
              <w:t>完成地形测绘勘察初设的数量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工程按时完成的工程量占计划完成工程量的比例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完成勘察设计的成本</w:t>
            </w:r>
          </w:p>
        </w:tc>
        <w:tc>
          <w:tcPr>
            <w:tcW w:w="5386" w:type="dxa"/>
            <w:vAlign w:val="center"/>
          </w:tcPr>
          <w:p>
            <w:pPr>
              <w:pStyle w:val="12"/>
            </w:pPr>
            <w:r>
              <w:t>完成勘察及初步设计的成本</w:t>
            </w:r>
          </w:p>
        </w:tc>
        <w:tc>
          <w:tcPr>
            <w:tcW w:w="2268" w:type="dxa"/>
            <w:vAlign w:val="center"/>
          </w:tcPr>
          <w:p>
            <w:pPr>
              <w:pStyle w:val="12"/>
            </w:pPr>
            <w:r>
              <w:t>≤33.75万元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提高城市形象，保持生态环境持续向好</w:t>
            </w:r>
          </w:p>
        </w:tc>
        <w:tc>
          <w:tcPr>
            <w:tcW w:w="5386" w:type="dxa"/>
            <w:vAlign w:val="center"/>
          </w:tcPr>
          <w:p>
            <w:pPr>
              <w:pStyle w:val="12"/>
            </w:pPr>
            <w:r>
              <w:t>提高城市形象，保持生态环境持续向好</w:t>
            </w:r>
          </w:p>
        </w:tc>
        <w:tc>
          <w:tcPr>
            <w:tcW w:w="2268" w:type="dxa"/>
            <w:vAlign w:val="center"/>
          </w:tcPr>
          <w:p>
            <w:pPr>
              <w:pStyle w:val="12"/>
            </w:pPr>
            <w:r>
              <w:t>提高城市形象，保持生态环境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前期勘察设计成果使用期限</w:t>
            </w:r>
          </w:p>
        </w:tc>
        <w:tc>
          <w:tcPr>
            <w:tcW w:w="5386" w:type="dxa"/>
            <w:vAlign w:val="center"/>
          </w:tcPr>
          <w:p>
            <w:pPr>
              <w:pStyle w:val="12"/>
            </w:pPr>
            <w:r>
              <w:t>前期勘察设计成果使用期限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群众对前期工作的满意度</w:t>
            </w:r>
          </w:p>
        </w:tc>
        <w:tc>
          <w:tcPr>
            <w:tcW w:w="5386" w:type="dxa"/>
            <w:vAlign w:val="center"/>
          </w:tcPr>
          <w:p>
            <w:pPr>
              <w:pStyle w:val="12"/>
            </w:pPr>
            <w:r>
              <w:t>群众对前期工作的满意度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9、北外环供热管网泵站建设绩效目标表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13011026P001564106127</w:t>
            </w:r>
          </w:p>
        </w:tc>
        <w:tc>
          <w:tcPr>
            <w:tcW w:w="2835" w:type="dxa"/>
            <w:vAlign w:val="center"/>
          </w:tcPr>
          <w:p>
            <w:pPr>
              <w:pStyle w:val="10"/>
            </w:pPr>
            <w:r>
              <w:t>项目名称</w:t>
            </w:r>
          </w:p>
        </w:tc>
        <w:tc>
          <w:tcPr>
            <w:tcW w:w="6095" w:type="dxa"/>
            <w:gridSpan w:val="3"/>
            <w:vAlign w:val="center"/>
          </w:tcPr>
          <w:p>
            <w:pPr>
              <w:pStyle w:val="12"/>
            </w:pPr>
            <w:r>
              <w:t>北外环供热管网泵站建设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0.88</w:t>
            </w:r>
          </w:p>
        </w:tc>
        <w:tc>
          <w:tcPr>
            <w:tcW w:w="2835" w:type="dxa"/>
            <w:vAlign w:val="center"/>
          </w:tcPr>
          <w:p>
            <w:pPr>
              <w:pStyle w:val="10"/>
            </w:pPr>
            <w:r>
              <w:t>其中：财政    资金</w:t>
            </w:r>
          </w:p>
        </w:tc>
        <w:tc>
          <w:tcPr>
            <w:tcW w:w="2551" w:type="dxa"/>
            <w:vAlign w:val="center"/>
          </w:tcPr>
          <w:p>
            <w:pPr>
              <w:pStyle w:val="12"/>
            </w:pPr>
            <w:r>
              <w:t>0.88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资金用于北外环供热管网泵站建设支出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1.完成北外环供热管网建设泵站的建设及供热管网的铺设，确保居民正常供暖。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水泵的单价</w:t>
            </w:r>
          </w:p>
        </w:tc>
        <w:tc>
          <w:tcPr>
            <w:tcW w:w="5386" w:type="dxa"/>
            <w:vAlign w:val="center"/>
          </w:tcPr>
          <w:p>
            <w:pPr>
              <w:pStyle w:val="12"/>
            </w:pPr>
            <w:r>
              <w:t>水泵的单价</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完成DN800供热管网铺的数量</w:t>
            </w:r>
          </w:p>
        </w:tc>
        <w:tc>
          <w:tcPr>
            <w:tcW w:w="5386" w:type="dxa"/>
            <w:vAlign w:val="center"/>
          </w:tcPr>
          <w:p>
            <w:pPr>
              <w:pStyle w:val="12"/>
            </w:pPr>
            <w:r>
              <w:t>完成DN800供热管网铺的数量</w:t>
            </w:r>
          </w:p>
        </w:tc>
        <w:tc>
          <w:tcPr>
            <w:tcW w:w="2268" w:type="dxa"/>
            <w:vAlign w:val="center"/>
          </w:tcPr>
          <w:p>
            <w:pPr>
              <w:pStyle w:val="12"/>
            </w:pPr>
            <w:r>
              <w:t>≤300米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验收合格的工程量占实际完成工程量的比例</w:t>
            </w:r>
          </w:p>
        </w:tc>
        <w:tc>
          <w:tcPr>
            <w:tcW w:w="2268" w:type="dxa"/>
            <w:vAlign w:val="center"/>
          </w:tcPr>
          <w:p>
            <w:pPr>
              <w:pStyle w:val="12"/>
            </w:pPr>
            <w:r>
              <w:t>100百分数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管网泵站建设完成及时率</w:t>
            </w:r>
          </w:p>
        </w:tc>
        <w:tc>
          <w:tcPr>
            <w:tcW w:w="5386" w:type="dxa"/>
            <w:vAlign w:val="center"/>
          </w:tcPr>
          <w:p>
            <w:pPr>
              <w:pStyle w:val="12"/>
            </w:pPr>
            <w:r>
              <w:t>及时完成的工程量占计划完成工程量的比例</w:t>
            </w:r>
          </w:p>
        </w:tc>
        <w:tc>
          <w:tcPr>
            <w:tcW w:w="2268" w:type="dxa"/>
            <w:vAlign w:val="center"/>
          </w:tcPr>
          <w:p>
            <w:pPr>
              <w:pStyle w:val="12"/>
            </w:pPr>
            <w:r>
              <w:t>100百分数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保障冬季正常供暖，提高供暖质量</w:t>
            </w:r>
          </w:p>
        </w:tc>
        <w:tc>
          <w:tcPr>
            <w:tcW w:w="5386" w:type="dxa"/>
            <w:vAlign w:val="center"/>
          </w:tcPr>
          <w:p>
            <w:pPr>
              <w:pStyle w:val="12"/>
            </w:pPr>
            <w:r>
              <w:t>保障冬季正常供暖，提高供暖质量</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北外环供热管网建设泵站建成保持的时间</w:t>
            </w:r>
          </w:p>
        </w:tc>
        <w:tc>
          <w:tcPr>
            <w:tcW w:w="5386" w:type="dxa"/>
            <w:vAlign w:val="center"/>
          </w:tcPr>
          <w:p>
            <w:pPr>
              <w:pStyle w:val="12"/>
            </w:pPr>
            <w:r>
              <w:t>北外环供热管网建设泵站建成保持的时间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用热户对供热的满意程度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10、城区北部拓展区域设计费绩效目标表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13011026P001564106081</w:t>
            </w:r>
          </w:p>
        </w:tc>
        <w:tc>
          <w:tcPr>
            <w:tcW w:w="2835" w:type="dxa"/>
            <w:vAlign w:val="center"/>
          </w:tcPr>
          <w:p>
            <w:pPr>
              <w:pStyle w:val="10"/>
            </w:pPr>
            <w:r>
              <w:t>项目名称</w:t>
            </w:r>
          </w:p>
        </w:tc>
        <w:tc>
          <w:tcPr>
            <w:tcW w:w="6095" w:type="dxa"/>
            <w:gridSpan w:val="3"/>
            <w:vAlign w:val="center"/>
          </w:tcPr>
          <w:p>
            <w:pPr>
              <w:pStyle w:val="12"/>
            </w:pPr>
            <w:r>
              <w:t>城区北部拓展区域设计费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资金用于城区北部拓展区域设计费支出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1.完成城区北部拓展区域占地168.45公顷的设计，加快北部区域的发展。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完成设计的面积数量</w:t>
            </w:r>
          </w:p>
        </w:tc>
        <w:tc>
          <w:tcPr>
            <w:tcW w:w="5386" w:type="dxa"/>
            <w:vAlign w:val="center"/>
          </w:tcPr>
          <w:p>
            <w:pPr>
              <w:pStyle w:val="12"/>
            </w:pPr>
            <w:r>
              <w:t>完成设计的面积数量</w:t>
            </w:r>
          </w:p>
        </w:tc>
        <w:tc>
          <w:tcPr>
            <w:tcW w:w="2268" w:type="dxa"/>
            <w:vAlign w:val="center"/>
          </w:tcPr>
          <w:p>
            <w:pPr>
              <w:pStyle w:val="12"/>
            </w:pPr>
            <w:r>
              <w:t>≤168.45公顷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北部拓展区域设计的按时完成率</w:t>
            </w:r>
          </w:p>
        </w:tc>
        <w:tc>
          <w:tcPr>
            <w:tcW w:w="5386" w:type="dxa"/>
            <w:vAlign w:val="center"/>
          </w:tcPr>
          <w:p>
            <w:pPr>
              <w:pStyle w:val="12"/>
            </w:pPr>
            <w:r>
              <w:t>设计按时完成的工作量占计划完成工作量的比率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城区北部拓展区域设计的成本</w:t>
            </w:r>
          </w:p>
        </w:tc>
        <w:tc>
          <w:tcPr>
            <w:tcW w:w="5386" w:type="dxa"/>
            <w:vAlign w:val="center"/>
          </w:tcPr>
          <w:p>
            <w:pPr>
              <w:pStyle w:val="12"/>
            </w:pPr>
            <w:r>
              <w:t>城区北部拓展区域设计的成本</w:t>
            </w:r>
          </w:p>
        </w:tc>
        <w:tc>
          <w:tcPr>
            <w:tcW w:w="2268" w:type="dxa"/>
            <w:vAlign w:val="center"/>
          </w:tcPr>
          <w:p>
            <w:pPr>
              <w:pStyle w:val="12"/>
            </w:pPr>
            <w:r>
              <w:t>≤342.06万元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设计的验收合格率</w:t>
            </w:r>
          </w:p>
        </w:tc>
        <w:tc>
          <w:tcPr>
            <w:tcW w:w="5386" w:type="dxa"/>
            <w:vAlign w:val="center"/>
          </w:tcPr>
          <w:p>
            <w:pPr>
              <w:pStyle w:val="12"/>
            </w:pPr>
            <w:r>
              <w:t>已完成的验收合格的设计占实际完成的比例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城区北部拓展区域设计持续的时间</w:t>
            </w:r>
          </w:p>
        </w:tc>
        <w:tc>
          <w:tcPr>
            <w:tcW w:w="5386" w:type="dxa"/>
            <w:vAlign w:val="center"/>
          </w:tcPr>
          <w:p>
            <w:pPr>
              <w:pStyle w:val="12"/>
            </w:pPr>
            <w:r>
              <w:t>城区北部拓展区域设计持续的时间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群众对北部拓展区域设计的满意度</w:t>
            </w:r>
          </w:p>
        </w:tc>
        <w:tc>
          <w:tcPr>
            <w:tcW w:w="5386" w:type="dxa"/>
            <w:vAlign w:val="center"/>
          </w:tcPr>
          <w:p>
            <w:pPr>
              <w:pStyle w:val="12"/>
            </w:pPr>
            <w:r>
              <w:t>群众对北部拓展区域设计的满意程度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11、城市道路占用挖掘费绩效目标表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13011026P00156410606R</w:t>
            </w:r>
          </w:p>
        </w:tc>
        <w:tc>
          <w:tcPr>
            <w:tcW w:w="2835" w:type="dxa"/>
            <w:vAlign w:val="center"/>
          </w:tcPr>
          <w:p>
            <w:pPr>
              <w:pStyle w:val="10"/>
            </w:pPr>
            <w:r>
              <w:t>项目名称</w:t>
            </w:r>
          </w:p>
        </w:tc>
        <w:tc>
          <w:tcPr>
            <w:tcW w:w="6095" w:type="dxa"/>
            <w:gridSpan w:val="3"/>
            <w:vAlign w:val="center"/>
          </w:tcPr>
          <w:p>
            <w:pPr>
              <w:pStyle w:val="12"/>
            </w:pPr>
            <w:r>
              <w:t>城市道路占用挖掘费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资金用于城市道路占用挖掘支出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1.完成1060平方米的挖掘道路及便道的回填恢复，有利市民出行，提升城市形象。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完成挖掘道路恢复的面积数量</w:t>
            </w:r>
          </w:p>
        </w:tc>
        <w:tc>
          <w:tcPr>
            <w:tcW w:w="5386" w:type="dxa"/>
            <w:vAlign w:val="center"/>
          </w:tcPr>
          <w:p>
            <w:pPr>
              <w:pStyle w:val="12"/>
            </w:pPr>
            <w:r>
              <w:t>完成挖掘道路恢复面积的数量</w:t>
            </w:r>
          </w:p>
        </w:tc>
        <w:tc>
          <w:tcPr>
            <w:tcW w:w="2268" w:type="dxa"/>
            <w:vAlign w:val="center"/>
          </w:tcPr>
          <w:p>
            <w:pPr>
              <w:pStyle w:val="12"/>
            </w:pPr>
            <w:r>
              <w:t>≥1060平方米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完成道路恢复面积占计划完成面积的比率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按时完成得工作量占计划完成工作量的比率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挖掘道路恢复每平方米的成本</w:t>
            </w:r>
          </w:p>
        </w:tc>
        <w:tc>
          <w:tcPr>
            <w:tcW w:w="5386" w:type="dxa"/>
            <w:vAlign w:val="center"/>
          </w:tcPr>
          <w:p>
            <w:pPr>
              <w:pStyle w:val="12"/>
            </w:pPr>
            <w:r>
              <w:t>挖掘道路恢复每平方米的成本</w:t>
            </w:r>
          </w:p>
        </w:tc>
        <w:tc>
          <w:tcPr>
            <w:tcW w:w="2268" w:type="dxa"/>
            <w:vAlign w:val="center"/>
          </w:tcPr>
          <w:p>
            <w:pPr>
              <w:pStyle w:val="12"/>
            </w:pPr>
            <w:r>
              <w:t>≤285元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恢复后的道路及便道的使用年限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方便市民出行，提升城市形象。</w:t>
            </w:r>
          </w:p>
        </w:tc>
        <w:tc>
          <w:tcPr>
            <w:tcW w:w="5386" w:type="dxa"/>
            <w:vAlign w:val="center"/>
          </w:tcPr>
          <w:p>
            <w:pPr>
              <w:pStyle w:val="12"/>
            </w:pPr>
            <w:r>
              <w:t>有利市民出行，提升城市形象</w:t>
            </w:r>
          </w:p>
        </w:tc>
        <w:tc>
          <w:tcPr>
            <w:tcW w:w="2268" w:type="dxa"/>
            <w:vAlign w:val="center"/>
          </w:tcPr>
          <w:p>
            <w:pPr>
              <w:pStyle w:val="12"/>
            </w:pPr>
            <w:r>
              <w:t>有利、提升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群众对挖掘道路及便道恢复的满意程度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12、城市维护费绩效目标表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13011026P001556101899</w:t>
            </w:r>
          </w:p>
        </w:tc>
        <w:tc>
          <w:tcPr>
            <w:tcW w:w="2835" w:type="dxa"/>
            <w:vAlign w:val="center"/>
          </w:tcPr>
          <w:p>
            <w:pPr>
              <w:pStyle w:val="10"/>
            </w:pPr>
            <w:r>
              <w:t>项目名称</w:t>
            </w:r>
          </w:p>
        </w:tc>
        <w:tc>
          <w:tcPr>
            <w:tcW w:w="6095" w:type="dxa"/>
            <w:gridSpan w:val="3"/>
            <w:vAlign w:val="center"/>
          </w:tcPr>
          <w:p>
            <w:pPr>
              <w:pStyle w:val="12"/>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494.00</w:t>
            </w:r>
          </w:p>
        </w:tc>
        <w:tc>
          <w:tcPr>
            <w:tcW w:w="2835" w:type="dxa"/>
            <w:vAlign w:val="center"/>
          </w:tcPr>
          <w:p>
            <w:pPr>
              <w:pStyle w:val="10"/>
            </w:pPr>
            <w:r>
              <w:t>其中：财政    资金</w:t>
            </w:r>
          </w:p>
        </w:tc>
        <w:tc>
          <w:tcPr>
            <w:tcW w:w="2551" w:type="dxa"/>
            <w:vAlign w:val="center"/>
          </w:tcPr>
          <w:p>
            <w:pPr>
              <w:pStyle w:val="12"/>
            </w:pPr>
            <w:r>
              <w:t>494.00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资金用于2026年城市维护支出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1.完成绿化面积102.19万平方米、道路109.1万平方米、雨污水管道120.33千米、路灯5742盏等的日常管护，美化环境，提升城市品味。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完成绿化管护面积</w:t>
            </w:r>
          </w:p>
        </w:tc>
        <w:tc>
          <w:tcPr>
            <w:tcW w:w="5386" w:type="dxa"/>
            <w:vAlign w:val="center"/>
          </w:tcPr>
          <w:p>
            <w:pPr>
              <w:pStyle w:val="12"/>
            </w:pPr>
            <w:r>
              <w:t>完成绿化管护面积</w:t>
            </w:r>
          </w:p>
        </w:tc>
        <w:tc>
          <w:tcPr>
            <w:tcW w:w="2268" w:type="dxa"/>
            <w:vAlign w:val="center"/>
          </w:tcPr>
          <w:p>
            <w:pPr>
              <w:pStyle w:val="12"/>
            </w:pPr>
            <w:r>
              <w:t>≥102.19万平方米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完成道路管护面积</w:t>
            </w:r>
          </w:p>
        </w:tc>
        <w:tc>
          <w:tcPr>
            <w:tcW w:w="5386" w:type="dxa"/>
            <w:vAlign w:val="center"/>
          </w:tcPr>
          <w:p>
            <w:pPr>
              <w:pStyle w:val="12"/>
            </w:pPr>
            <w:r>
              <w:t>完成道路管护面积</w:t>
            </w:r>
          </w:p>
        </w:tc>
        <w:tc>
          <w:tcPr>
            <w:tcW w:w="2268" w:type="dxa"/>
            <w:vAlign w:val="center"/>
          </w:tcPr>
          <w:p>
            <w:pPr>
              <w:pStyle w:val="12"/>
            </w:pPr>
            <w:r>
              <w:t>≥109.1万平方米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完成雨污水管道养护长度</w:t>
            </w:r>
          </w:p>
        </w:tc>
        <w:tc>
          <w:tcPr>
            <w:tcW w:w="5386" w:type="dxa"/>
            <w:vAlign w:val="center"/>
          </w:tcPr>
          <w:p>
            <w:pPr>
              <w:pStyle w:val="12"/>
            </w:pPr>
            <w:r>
              <w:t>完成雨污水管道养护长度</w:t>
            </w:r>
          </w:p>
        </w:tc>
        <w:tc>
          <w:tcPr>
            <w:tcW w:w="2268" w:type="dxa"/>
            <w:vAlign w:val="center"/>
          </w:tcPr>
          <w:p>
            <w:pPr>
              <w:pStyle w:val="12"/>
            </w:pPr>
            <w:r>
              <w:t>≥120.33千米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城区路灯管护数量</w:t>
            </w:r>
          </w:p>
        </w:tc>
        <w:tc>
          <w:tcPr>
            <w:tcW w:w="5386" w:type="dxa"/>
            <w:vAlign w:val="center"/>
          </w:tcPr>
          <w:p>
            <w:pPr>
              <w:pStyle w:val="12"/>
            </w:pPr>
            <w:r>
              <w:t>城区路灯管护数量</w:t>
            </w:r>
          </w:p>
        </w:tc>
        <w:tc>
          <w:tcPr>
            <w:tcW w:w="2268" w:type="dxa"/>
            <w:vAlign w:val="center"/>
          </w:tcPr>
          <w:p>
            <w:pPr>
              <w:pStyle w:val="12"/>
            </w:pPr>
            <w:r>
              <w:t>≥5742盏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管护的验收合格率</w:t>
            </w:r>
          </w:p>
        </w:tc>
        <w:tc>
          <w:tcPr>
            <w:tcW w:w="5386" w:type="dxa"/>
            <w:vAlign w:val="center"/>
          </w:tcPr>
          <w:p>
            <w:pPr>
              <w:pStyle w:val="12"/>
            </w:pPr>
            <w:r>
              <w:t>已完成的合格的管护工作量占实际完成管护工作的比率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绿地管护标准</w:t>
            </w:r>
          </w:p>
        </w:tc>
        <w:tc>
          <w:tcPr>
            <w:tcW w:w="5386" w:type="dxa"/>
            <w:vAlign w:val="center"/>
          </w:tcPr>
          <w:p>
            <w:pPr>
              <w:pStyle w:val="12"/>
            </w:pPr>
            <w:r>
              <w:t>每平方米绿地的管护标准</w:t>
            </w:r>
          </w:p>
        </w:tc>
        <w:tc>
          <w:tcPr>
            <w:tcW w:w="2268" w:type="dxa"/>
            <w:vAlign w:val="center"/>
          </w:tcPr>
          <w:p>
            <w:pPr>
              <w:pStyle w:val="12"/>
            </w:pPr>
            <w:r>
              <w:t>≤7元/平方米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道路管护标准</w:t>
            </w:r>
          </w:p>
        </w:tc>
        <w:tc>
          <w:tcPr>
            <w:tcW w:w="5386" w:type="dxa"/>
            <w:vAlign w:val="center"/>
          </w:tcPr>
          <w:p>
            <w:pPr>
              <w:pStyle w:val="12"/>
            </w:pPr>
            <w:r>
              <w:t>每平方米道路管护标准</w:t>
            </w:r>
          </w:p>
        </w:tc>
        <w:tc>
          <w:tcPr>
            <w:tcW w:w="2268" w:type="dxa"/>
            <w:vAlign w:val="center"/>
          </w:tcPr>
          <w:p>
            <w:pPr>
              <w:pStyle w:val="12"/>
            </w:pPr>
            <w:r>
              <w:t>≤5.5元/平方米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雨污水管道养护标准</w:t>
            </w:r>
          </w:p>
        </w:tc>
        <w:tc>
          <w:tcPr>
            <w:tcW w:w="5386" w:type="dxa"/>
            <w:vAlign w:val="center"/>
          </w:tcPr>
          <w:p>
            <w:pPr>
              <w:pStyle w:val="12"/>
            </w:pPr>
            <w:r>
              <w:t>每千米雨污水管道养护标准</w:t>
            </w:r>
          </w:p>
        </w:tc>
        <w:tc>
          <w:tcPr>
            <w:tcW w:w="2268" w:type="dxa"/>
            <w:vAlign w:val="center"/>
          </w:tcPr>
          <w:p>
            <w:pPr>
              <w:pStyle w:val="12"/>
            </w:pPr>
            <w:r>
              <w:t>≤41824元/千米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路灯养护标准</w:t>
            </w:r>
          </w:p>
        </w:tc>
        <w:tc>
          <w:tcPr>
            <w:tcW w:w="5386" w:type="dxa"/>
            <w:vAlign w:val="center"/>
          </w:tcPr>
          <w:p>
            <w:pPr>
              <w:pStyle w:val="12"/>
            </w:pPr>
            <w:r>
              <w:t>每盏路灯养护标准</w:t>
            </w:r>
          </w:p>
        </w:tc>
        <w:tc>
          <w:tcPr>
            <w:tcW w:w="2268" w:type="dxa"/>
            <w:vAlign w:val="center"/>
          </w:tcPr>
          <w:p>
            <w:pPr>
              <w:pStyle w:val="12"/>
            </w:pPr>
            <w:r>
              <w:t>≤54元/盏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管护的按时完成率</w:t>
            </w:r>
          </w:p>
        </w:tc>
        <w:tc>
          <w:tcPr>
            <w:tcW w:w="5386" w:type="dxa"/>
            <w:vAlign w:val="center"/>
          </w:tcPr>
          <w:p>
            <w:pPr>
              <w:pStyle w:val="12"/>
            </w:pPr>
            <w:r>
              <w:t>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提升城市品位，改善城市环境</w:t>
            </w:r>
          </w:p>
        </w:tc>
        <w:tc>
          <w:tcPr>
            <w:tcW w:w="5386" w:type="dxa"/>
            <w:vAlign w:val="center"/>
          </w:tcPr>
          <w:p>
            <w:pPr>
              <w:pStyle w:val="12"/>
            </w:pPr>
            <w:r>
              <w:t>提升城市品位，改善城市环境</w:t>
            </w:r>
          </w:p>
        </w:tc>
        <w:tc>
          <w:tcPr>
            <w:tcW w:w="2268" w:type="dxa"/>
            <w:vAlign w:val="center"/>
          </w:tcPr>
          <w:p>
            <w:pPr>
              <w:pStyle w:val="12"/>
            </w:pPr>
            <w:r>
              <w:t>提升品味、改善环境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城区绿化保持的时间</w:t>
            </w:r>
          </w:p>
        </w:tc>
        <w:tc>
          <w:tcPr>
            <w:tcW w:w="5386" w:type="dxa"/>
            <w:vAlign w:val="center"/>
          </w:tcPr>
          <w:p>
            <w:pPr>
              <w:pStyle w:val="12"/>
            </w:pPr>
            <w:r>
              <w:t>城区绿化保持的时间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13、城市维护费绩效目标表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13011026P001564105944</w:t>
            </w:r>
          </w:p>
        </w:tc>
        <w:tc>
          <w:tcPr>
            <w:tcW w:w="2835" w:type="dxa"/>
            <w:vAlign w:val="center"/>
          </w:tcPr>
          <w:p>
            <w:pPr>
              <w:pStyle w:val="10"/>
            </w:pPr>
            <w:r>
              <w:t>项目名称</w:t>
            </w:r>
          </w:p>
        </w:tc>
        <w:tc>
          <w:tcPr>
            <w:tcW w:w="6095" w:type="dxa"/>
            <w:gridSpan w:val="3"/>
            <w:vAlign w:val="center"/>
          </w:tcPr>
          <w:p>
            <w:pPr>
              <w:pStyle w:val="12"/>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资金用于城市维护费支出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1.完成绿化面积102.19万平方米、道路109.1万平方米、雨污水管道120.33千米、路灯5742盏等的日常管护，美化环境，提升城市品味。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完成绿化管护面积</w:t>
            </w:r>
          </w:p>
        </w:tc>
        <w:tc>
          <w:tcPr>
            <w:tcW w:w="5386" w:type="dxa"/>
            <w:vAlign w:val="center"/>
          </w:tcPr>
          <w:p>
            <w:pPr>
              <w:pStyle w:val="12"/>
            </w:pPr>
            <w:r>
              <w:t>完成绿化管护面积</w:t>
            </w:r>
          </w:p>
        </w:tc>
        <w:tc>
          <w:tcPr>
            <w:tcW w:w="2268" w:type="dxa"/>
            <w:vAlign w:val="center"/>
          </w:tcPr>
          <w:p>
            <w:pPr>
              <w:pStyle w:val="12"/>
            </w:pPr>
            <w:r>
              <w:t>≤102.19万平方米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完成道路管护面积</w:t>
            </w:r>
          </w:p>
        </w:tc>
        <w:tc>
          <w:tcPr>
            <w:tcW w:w="5386" w:type="dxa"/>
            <w:vAlign w:val="center"/>
          </w:tcPr>
          <w:p>
            <w:pPr>
              <w:pStyle w:val="12"/>
            </w:pPr>
            <w:r>
              <w:t>完成道路管护面积</w:t>
            </w:r>
          </w:p>
        </w:tc>
        <w:tc>
          <w:tcPr>
            <w:tcW w:w="2268" w:type="dxa"/>
            <w:vAlign w:val="center"/>
          </w:tcPr>
          <w:p>
            <w:pPr>
              <w:pStyle w:val="12"/>
            </w:pPr>
            <w:r>
              <w:t>≤109.1万平方米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完成雨污水管道养护长度</w:t>
            </w:r>
          </w:p>
        </w:tc>
        <w:tc>
          <w:tcPr>
            <w:tcW w:w="5386" w:type="dxa"/>
            <w:vAlign w:val="center"/>
          </w:tcPr>
          <w:p>
            <w:pPr>
              <w:pStyle w:val="12"/>
            </w:pPr>
            <w:r>
              <w:t>完成雨污水管道养护长度</w:t>
            </w:r>
          </w:p>
        </w:tc>
        <w:tc>
          <w:tcPr>
            <w:tcW w:w="2268" w:type="dxa"/>
            <w:vAlign w:val="center"/>
          </w:tcPr>
          <w:p>
            <w:pPr>
              <w:pStyle w:val="12"/>
            </w:pPr>
            <w:r>
              <w:t>≤120.33千米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城区路灯管护数量</w:t>
            </w:r>
          </w:p>
        </w:tc>
        <w:tc>
          <w:tcPr>
            <w:tcW w:w="5386" w:type="dxa"/>
            <w:vAlign w:val="center"/>
          </w:tcPr>
          <w:p>
            <w:pPr>
              <w:pStyle w:val="12"/>
            </w:pPr>
            <w:r>
              <w:t>城区路灯管护数量</w:t>
            </w:r>
          </w:p>
        </w:tc>
        <w:tc>
          <w:tcPr>
            <w:tcW w:w="2268" w:type="dxa"/>
            <w:vAlign w:val="center"/>
          </w:tcPr>
          <w:p>
            <w:pPr>
              <w:pStyle w:val="12"/>
            </w:pPr>
            <w:r>
              <w:t>≤5742盏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管护的验收合格率</w:t>
            </w:r>
          </w:p>
        </w:tc>
        <w:tc>
          <w:tcPr>
            <w:tcW w:w="5386" w:type="dxa"/>
            <w:vAlign w:val="center"/>
          </w:tcPr>
          <w:p>
            <w:pPr>
              <w:pStyle w:val="12"/>
            </w:pPr>
            <w:r>
              <w:t>已完成的合格的管护工作量占实际完成管护工作的比率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绿地管护标准</w:t>
            </w:r>
          </w:p>
        </w:tc>
        <w:tc>
          <w:tcPr>
            <w:tcW w:w="5386" w:type="dxa"/>
            <w:vAlign w:val="center"/>
          </w:tcPr>
          <w:p>
            <w:pPr>
              <w:pStyle w:val="12"/>
            </w:pPr>
            <w:r>
              <w:t>每平方米绿地的管护标准</w:t>
            </w:r>
          </w:p>
        </w:tc>
        <w:tc>
          <w:tcPr>
            <w:tcW w:w="2268" w:type="dxa"/>
            <w:vAlign w:val="center"/>
          </w:tcPr>
          <w:p>
            <w:pPr>
              <w:pStyle w:val="12"/>
            </w:pPr>
            <w:r>
              <w:t>≤7元/平方米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道路管护标准</w:t>
            </w:r>
          </w:p>
        </w:tc>
        <w:tc>
          <w:tcPr>
            <w:tcW w:w="5386" w:type="dxa"/>
            <w:vAlign w:val="center"/>
          </w:tcPr>
          <w:p>
            <w:pPr>
              <w:pStyle w:val="12"/>
            </w:pPr>
            <w:r>
              <w:t>每平方米道路管护标准</w:t>
            </w:r>
          </w:p>
        </w:tc>
        <w:tc>
          <w:tcPr>
            <w:tcW w:w="2268" w:type="dxa"/>
            <w:vAlign w:val="center"/>
          </w:tcPr>
          <w:p>
            <w:pPr>
              <w:pStyle w:val="12"/>
            </w:pPr>
            <w:r>
              <w:t>≤5.5元/平方米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雨污水管道养护标准</w:t>
            </w:r>
          </w:p>
        </w:tc>
        <w:tc>
          <w:tcPr>
            <w:tcW w:w="5386" w:type="dxa"/>
            <w:vAlign w:val="center"/>
          </w:tcPr>
          <w:p>
            <w:pPr>
              <w:pStyle w:val="12"/>
            </w:pPr>
            <w:r>
              <w:t>每千米雨污水管道养护标准</w:t>
            </w:r>
          </w:p>
        </w:tc>
        <w:tc>
          <w:tcPr>
            <w:tcW w:w="2268" w:type="dxa"/>
            <w:vAlign w:val="center"/>
          </w:tcPr>
          <w:p>
            <w:pPr>
              <w:pStyle w:val="12"/>
            </w:pPr>
            <w:r>
              <w:t>≤41824元/千米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路灯养护标准</w:t>
            </w:r>
          </w:p>
        </w:tc>
        <w:tc>
          <w:tcPr>
            <w:tcW w:w="5386" w:type="dxa"/>
            <w:vAlign w:val="center"/>
          </w:tcPr>
          <w:p>
            <w:pPr>
              <w:pStyle w:val="12"/>
            </w:pPr>
            <w:r>
              <w:t>每盏路灯养护标准</w:t>
            </w:r>
          </w:p>
        </w:tc>
        <w:tc>
          <w:tcPr>
            <w:tcW w:w="2268" w:type="dxa"/>
            <w:vAlign w:val="center"/>
          </w:tcPr>
          <w:p>
            <w:pPr>
              <w:pStyle w:val="12"/>
            </w:pPr>
            <w:r>
              <w:t>≤54元/盏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管护的按时完成率</w:t>
            </w:r>
          </w:p>
        </w:tc>
        <w:tc>
          <w:tcPr>
            <w:tcW w:w="5386" w:type="dxa"/>
            <w:vAlign w:val="center"/>
          </w:tcPr>
          <w:p>
            <w:pPr>
              <w:pStyle w:val="12"/>
            </w:pPr>
            <w:r>
              <w:t>按时完成的工作量占计划完成工作量的比率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提升城市品位，改善城市环境</w:t>
            </w:r>
          </w:p>
        </w:tc>
        <w:tc>
          <w:tcPr>
            <w:tcW w:w="5386" w:type="dxa"/>
            <w:vAlign w:val="center"/>
          </w:tcPr>
          <w:p>
            <w:pPr>
              <w:pStyle w:val="12"/>
            </w:pPr>
            <w:r>
              <w:t>提升城市品位，改善城市环境</w:t>
            </w:r>
          </w:p>
        </w:tc>
        <w:tc>
          <w:tcPr>
            <w:tcW w:w="2268" w:type="dxa"/>
            <w:vAlign w:val="center"/>
          </w:tcPr>
          <w:p>
            <w:pPr>
              <w:pStyle w:val="12"/>
            </w:pPr>
            <w:r>
              <w:t>提升品味、改善环境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城区绿化保持的时间</w:t>
            </w:r>
          </w:p>
        </w:tc>
        <w:tc>
          <w:tcPr>
            <w:tcW w:w="5386" w:type="dxa"/>
            <w:vAlign w:val="center"/>
          </w:tcPr>
          <w:p>
            <w:pPr>
              <w:pStyle w:val="12"/>
            </w:pPr>
            <w:r>
              <w:t>城区绿化保持的时间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14、防汛资金绩效目标表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13011026P00156410598J</w:t>
            </w:r>
          </w:p>
        </w:tc>
        <w:tc>
          <w:tcPr>
            <w:tcW w:w="2835" w:type="dxa"/>
            <w:vAlign w:val="center"/>
          </w:tcPr>
          <w:p>
            <w:pPr>
              <w:pStyle w:val="10"/>
            </w:pPr>
            <w:r>
              <w:t>项目名称</w:t>
            </w:r>
          </w:p>
        </w:tc>
        <w:tc>
          <w:tcPr>
            <w:tcW w:w="6095" w:type="dxa"/>
            <w:gridSpan w:val="3"/>
            <w:vAlign w:val="center"/>
          </w:tcPr>
          <w:p>
            <w:pPr>
              <w:pStyle w:val="12"/>
            </w:pPr>
            <w:r>
              <w:t>防汛资金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资金用于防汛经费支出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1.完成防汛物资的采购及设备的维修维护，确保安全度汛。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完成大链条油锯采购的数量</w:t>
            </w:r>
          </w:p>
        </w:tc>
        <w:tc>
          <w:tcPr>
            <w:tcW w:w="5386" w:type="dxa"/>
            <w:vAlign w:val="center"/>
          </w:tcPr>
          <w:p>
            <w:pPr>
              <w:pStyle w:val="12"/>
            </w:pPr>
            <w:r>
              <w:t>完成大链条油锯采购的数量</w:t>
            </w:r>
          </w:p>
        </w:tc>
        <w:tc>
          <w:tcPr>
            <w:tcW w:w="2268" w:type="dxa"/>
            <w:vAlign w:val="center"/>
          </w:tcPr>
          <w:p>
            <w:pPr>
              <w:pStyle w:val="12"/>
            </w:pPr>
            <w:r>
              <w:t>≥5套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完成小链条油锯采购的数量</w:t>
            </w:r>
          </w:p>
        </w:tc>
        <w:tc>
          <w:tcPr>
            <w:tcW w:w="5386" w:type="dxa"/>
            <w:vAlign w:val="center"/>
          </w:tcPr>
          <w:p>
            <w:pPr>
              <w:pStyle w:val="12"/>
            </w:pPr>
            <w:r>
              <w:t>完成小链条油锯采购的数量</w:t>
            </w:r>
          </w:p>
        </w:tc>
        <w:tc>
          <w:tcPr>
            <w:tcW w:w="2268" w:type="dxa"/>
            <w:vAlign w:val="center"/>
          </w:tcPr>
          <w:p>
            <w:pPr>
              <w:pStyle w:val="12"/>
            </w:pPr>
            <w:r>
              <w:t>≥5套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完成锂电池锯采购的数量</w:t>
            </w:r>
          </w:p>
        </w:tc>
        <w:tc>
          <w:tcPr>
            <w:tcW w:w="5386" w:type="dxa"/>
            <w:vAlign w:val="center"/>
          </w:tcPr>
          <w:p>
            <w:pPr>
              <w:pStyle w:val="12"/>
            </w:pPr>
            <w:r>
              <w:t>完成锂电池锯采购的数量</w:t>
            </w:r>
          </w:p>
        </w:tc>
        <w:tc>
          <w:tcPr>
            <w:tcW w:w="2268" w:type="dxa"/>
            <w:vAlign w:val="center"/>
          </w:tcPr>
          <w:p>
            <w:pPr>
              <w:pStyle w:val="12"/>
            </w:pPr>
            <w:r>
              <w:t>≥5套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完成救生绳采购的数量</w:t>
            </w:r>
          </w:p>
        </w:tc>
        <w:tc>
          <w:tcPr>
            <w:tcW w:w="5386" w:type="dxa"/>
            <w:vAlign w:val="center"/>
          </w:tcPr>
          <w:p>
            <w:pPr>
              <w:pStyle w:val="12"/>
            </w:pPr>
            <w:r>
              <w:t>完成救生绳采购的数量</w:t>
            </w:r>
          </w:p>
        </w:tc>
        <w:tc>
          <w:tcPr>
            <w:tcW w:w="2268" w:type="dxa"/>
            <w:vAlign w:val="center"/>
          </w:tcPr>
          <w:p>
            <w:pPr>
              <w:pStyle w:val="12"/>
            </w:pPr>
            <w:r>
              <w:t>≥15条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完成防汛沙采购的数量</w:t>
            </w:r>
          </w:p>
        </w:tc>
        <w:tc>
          <w:tcPr>
            <w:tcW w:w="5386" w:type="dxa"/>
            <w:vAlign w:val="center"/>
          </w:tcPr>
          <w:p>
            <w:pPr>
              <w:pStyle w:val="12"/>
            </w:pPr>
            <w:r>
              <w:t>完成防汛沙采购的数量</w:t>
            </w:r>
          </w:p>
        </w:tc>
        <w:tc>
          <w:tcPr>
            <w:tcW w:w="2268" w:type="dxa"/>
            <w:vAlign w:val="center"/>
          </w:tcPr>
          <w:p>
            <w:pPr>
              <w:pStyle w:val="12"/>
            </w:pPr>
            <w:r>
              <w:t>≥50吨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完成高枝电动剪采购的数量</w:t>
            </w:r>
          </w:p>
        </w:tc>
        <w:tc>
          <w:tcPr>
            <w:tcW w:w="5386" w:type="dxa"/>
            <w:vAlign w:val="center"/>
          </w:tcPr>
          <w:p>
            <w:pPr>
              <w:pStyle w:val="12"/>
            </w:pPr>
            <w:r>
              <w:t>完成高枝电动剪采购的数量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防汛物资采购的计划完成率</w:t>
            </w:r>
          </w:p>
        </w:tc>
        <w:tc>
          <w:tcPr>
            <w:tcW w:w="5386" w:type="dxa"/>
            <w:vAlign w:val="center"/>
          </w:tcPr>
          <w:p>
            <w:pPr>
              <w:pStyle w:val="12"/>
            </w:pPr>
            <w:r>
              <w:t>实际完成物资采购的数量占计划完成采购数量的比率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防汛物资采购的及时性</w:t>
            </w:r>
          </w:p>
        </w:tc>
        <w:tc>
          <w:tcPr>
            <w:tcW w:w="5386" w:type="dxa"/>
            <w:vAlign w:val="center"/>
          </w:tcPr>
          <w:p>
            <w:pPr>
              <w:pStyle w:val="12"/>
            </w:pPr>
            <w:r>
              <w:t>防汛物资采购的及时性</w:t>
            </w:r>
          </w:p>
        </w:tc>
        <w:tc>
          <w:tcPr>
            <w:tcW w:w="2268" w:type="dxa"/>
            <w:vAlign w:val="center"/>
          </w:tcPr>
          <w:p>
            <w:pPr>
              <w:pStyle w:val="12"/>
            </w:pPr>
            <w:r>
              <w:t>及时采购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全年防汛经费支付成本</w:t>
            </w:r>
          </w:p>
        </w:tc>
        <w:tc>
          <w:tcPr>
            <w:tcW w:w="5386" w:type="dxa"/>
            <w:vAlign w:val="center"/>
          </w:tcPr>
          <w:p>
            <w:pPr>
              <w:pStyle w:val="12"/>
            </w:pPr>
            <w:r>
              <w:t>全年防汛经费支付成本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确保安全度汛</w:t>
            </w:r>
          </w:p>
        </w:tc>
        <w:tc>
          <w:tcPr>
            <w:tcW w:w="5386" w:type="dxa"/>
            <w:vAlign w:val="center"/>
          </w:tcPr>
          <w:p>
            <w:pPr>
              <w:pStyle w:val="12"/>
            </w:pPr>
            <w:r>
              <w:t>确保安全度汛</w:t>
            </w:r>
          </w:p>
        </w:tc>
        <w:tc>
          <w:tcPr>
            <w:tcW w:w="2268" w:type="dxa"/>
            <w:vAlign w:val="center"/>
          </w:tcPr>
          <w:p>
            <w:pPr>
              <w:pStyle w:val="12"/>
            </w:pPr>
            <w:r>
              <w:t>确保安全度汛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防汛物资确保安全度汛的期限</w:t>
            </w:r>
          </w:p>
        </w:tc>
        <w:tc>
          <w:tcPr>
            <w:tcW w:w="5386" w:type="dxa"/>
            <w:vAlign w:val="center"/>
          </w:tcPr>
          <w:p>
            <w:pPr>
              <w:pStyle w:val="12"/>
            </w:pPr>
            <w:r>
              <w:t>防汛物资确保安全度汛的期限</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市民对防汛的满意度</w:t>
            </w:r>
          </w:p>
        </w:tc>
        <w:tc>
          <w:tcPr>
            <w:tcW w:w="5386" w:type="dxa"/>
            <w:vAlign w:val="center"/>
          </w:tcPr>
          <w:p>
            <w:pPr>
              <w:pStyle w:val="12"/>
            </w:pPr>
            <w:r>
              <w:t>市民对防汛的满意度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15、供热补贴绩效目标表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13011026P00156410618W</w:t>
            </w:r>
          </w:p>
        </w:tc>
        <w:tc>
          <w:tcPr>
            <w:tcW w:w="2835" w:type="dxa"/>
            <w:vAlign w:val="center"/>
          </w:tcPr>
          <w:p>
            <w:pPr>
              <w:pStyle w:val="10"/>
            </w:pPr>
            <w:r>
              <w:t>项目名称</w:t>
            </w:r>
          </w:p>
        </w:tc>
        <w:tc>
          <w:tcPr>
            <w:tcW w:w="6095" w:type="dxa"/>
            <w:gridSpan w:val="3"/>
            <w:vAlign w:val="center"/>
          </w:tcPr>
          <w:p>
            <w:pPr>
              <w:pStyle w:val="12"/>
            </w:pPr>
            <w:r>
              <w:t>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4300.00</w:t>
            </w:r>
          </w:p>
        </w:tc>
        <w:tc>
          <w:tcPr>
            <w:tcW w:w="2835" w:type="dxa"/>
            <w:vAlign w:val="center"/>
          </w:tcPr>
          <w:p>
            <w:pPr>
              <w:pStyle w:val="10"/>
            </w:pPr>
            <w:r>
              <w:t>其中：财政    资金</w:t>
            </w:r>
          </w:p>
        </w:tc>
        <w:tc>
          <w:tcPr>
            <w:tcW w:w="2551" w:type="dxa"/>
            <w:vAlign w:val="center"/>
          </w:tcPr>
          <w:p>
            <w:pPr>
              <w:pStyle w:val="12"/>
            </w:pPr>
            <w:r>
              <w:t>4300.00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资金用于供热补贴支出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1.完成寺家庄区域29.48万平方米正常供热，完成主城区628.49万平方米的供热，</w:t>
            </w:r>
            <w:r>
              <w:tab/>
            </w:r>
            <w:r>
              <w:tab/>
            </w:r>
            <w:r>
              <w:tab/>
            </w:r>
          </w:p>
          <w:p>
            <w:pPr>
              <w:pStyle w:val="12"/>
            </w:pPr>
            <w:r>
              <w:t>确保居民冬季正常取暖</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完成寺家庄区域居民供热面积的数量</w:t>
            </w:r>
          </w:p>
        </w:tc>
        <w:tc>
          <w:tcPr>
            <w:tcW w:w="5386" w:type="dxa"/>
            <w:vAlign w:val="center"/>
          </w:tcPr>
          <w:p>
            <w:pPr>
              <w:pStyle w:val="12"/>
            </w:pPr>
            <w:r>
              <w:t>完成寺家庄区域居民供热面积的数量</w:t>
            </w:r>
          </w:p>
        </w:tc>
        <w:tc>
          <w:tcPr>
            <w:tcW w:w="2268" w:type="dxa"/>
            <w:vAlign w:val="center"/>
          </w:tcPr>
          <w:p>
            <w:pPr>
              <w:pStyle w:val="12"/>
            </w:pPr>
            <w:r>
              <w:t>≤29.48万平方米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完成主城区居民供热面积的数量</w:t>
            </w:r>
          </w:p>
        </w:tc>
        <w:tc>
          <w:tcPr>
            <w:tcW w:w="5386" w:type="dxa"/>
            <w:vAlign w:val="center"/>
          </w:tcPr>
          <w:p>
            <w:pPr>
              <w:pStyle w:val="12"/>
            </w:pPr>
            <w:r>
              <w:t>完成主城区居民供热面积的数量</w:t>
            </w:r>
          </w:p>
        </w:tc>
        <w:tc>
          <w:tcPr>
            <w:tcW w:w="2268" w:type="dxa"/>
            <w:vAlign w:val="center"/>
          </w:tcPr>
          <w:p>
            <w:pPr>
              <w:pStyle w:val="12"/>
            </w:pPr>
            <w:r>
              <w:t>≤628.49万平方米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每平方米的补贴成本</w:t>
            </w:r>
          </w:p>
        </w:tc>
        <w:tc>
          <w:tcPr>
            <w:tcW w:w="5386" w:type="dxa"/>
            <w:vAlign w:val="center"/>
          </w:tcPr>
          <w:p>
            <w:pPr>
              <w:pStyle w:val="12"/>
            </w:pPr>
            <w:r>
              <w:t>每平方米的补贴成本</w:t>
            </w:r>
          </w:p>
        </w:tc>
        <w:tc>
          <w:tcPr>
            <w:tcW w:w="2268" w:type="dxa"/>
            <w:vAlign w:val="center"/>
          </w:tcPr>
          <w:p>
            <w:pPr>
              <w:pStyle w:val="12"/>
            </w:pPr>
            <w:r>
              <w:t>≤7.2元/平方米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供热按时完成率</w:t>
            </w:r>
          </w:p>
        </w:tc>
        <w:tc>
          <w:tcPr>
            <w:tcW w:w="5386" w:type="dxa"/>
            <w:vAlign w:val="center"/>
          </w:tcPr>
          <w:p>
            <w:pPr>
              <w:pStyle w:val="12"/>
            </w:pPr>
            <w:r>
              <w:t>实际供热面积占计划供热面积的比率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确保正常供暖</w:t>
            </w:r>
          </w:p>
        </w:tc>
        <w:tc>
          <w:tcPr>
            <w:tcW w:w="5386" w:type="dxa"/>
            <w:vAlign w:val="center"/>
          </w:tcPr>
          <w:p>
            <w:pPr>
              <w:pStyle w:val="12"/>
            </w:pPr>
            <w:r>
              <w:t>确保正常供暖</w:t>
            </w:r>
          </w:p>
        </w:tc>
        <w:tc>
          <w:tcPr>
            <w:tcW w:w="2268" w:type="dxa"/>
            <w:vAlign w:val="center"/>
          </w:tcPr>
          <w:p>
            <w:pPr>
              <w:pStyle w:val="12"/>
            </w:pPr>
            <w:r>
              <w:t>确保正常供暖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居民用热户对供热的满意度</w:t>
            </w:r>
          </w:p>
        </w:tc>
        <w:tc>
          <w:tcPr>
            <w:tcW w:w="5386" w:type="dxa"/>
            <w:vAlign w:val="center"/>
          </w:tcPr>
          <w:p>
            <w:pPr>
              <w:pStyle w:val="12"/>
            </w:pPr>
            <w:r>
              <w:t>居民用热户对供热的满意度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16、供热清洁能源补贴、供热延期及空置房补贴绩效目标表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13011026P001564106179</w:t>
            </w:r>
          </w:p>
        </w:tc>
        <w:tc>
          <w:tcPr>
            <w:tcW w:w="2835" w:type="dxa"/>
            <w:vAlign w:val="center"/>
          </w:tcPr>
          <w:p>
            <w:pPr>
              <w:pStyle w:val="10"/>
            </w:pPr>
            <w:r>
              <w:t>项目名称</w:t>
            </w:r>
          </w:p>
        </w:tc>
        <w:tc>
          <w:tcPr>
            <w:tcW w:w="6095" w:type="dxa"/>
            <w:gridSpan w:val="3"/>
            <w:vAlign w:val="center"/>
          </w:tcPr>
          <w:p>
            <w:pPr>
              <w:pStyle w:val="12"/>
            </w:pPr>
            <w:r>
              <w:t>供热清洁能源补贴、供热延期及空置房补贴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资金用于供热清洁能源、供热延期及空置房补贴支出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1.完成燃气锅炉供热98252.53平方米，空气源热泵和地源热泵供热9738户的供热，确保居民冬季正常供热。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完成燃气锅炉供热的面积数量</w:t>
            </w:r>
          </w:p>
        </w:tc>
        <w:tc>
          <w:tcPr>
            <w:tcW w:w="5386" w:type="dxa"/>
            <w:vAlign w:val="center"/>
          </w:tcPr>
          <w:p>
            <w:pPr>
              <w:pStyle w:val="12"/>
            </w:pPr>
            <w:r>
              <w:t>完成燃气锅炉供热的面积数量</w:t>
            </w:r>
          </w:p>
        </w:tc>
        <w:tc>
          <w:tcPr>
            <w:tcW w:w="2268" w:type="dxa"/>
            <w:vAlign w:val="center"/>
          </w:tcPr>
          <w:p>
            <w:pPr>
              <w:pStyle w:val="12"/>
            </w:pPr>
            <w:r>
              <w:t>≤98252.53平方米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完成空气源热泵和地源热泵供热的户数</w:t>
            </w:r>
          </w:p>
        </w:tc>
        <w:tc>
          <w:tcPr>
            <w:tcW w:w="5386" w:type="dxa"/>
            <w:vAlign w:val="center"/>
          </w:tcPr>
          <w:p>
            <w:pPr>
              <w:pStyle w:val="12"/>
            </w:pPr>
            <w:r>
              <w:t>完成空气源热泵和地源热泵供热的户数</w:t>
            </w:r>
          </w:p>
        </w:tc>
        <w:tc>
          <w:tcPr>
            <w:tcW w:w="2268" w:type="dxa"/>
            <w:vAlign w:val="center"/>
          </w:tcPr>
          <w:p>
            <w:pPr>
              <w:pStyle w:val="12"/>
            </w:pPr>
            <w:r>
              <w:t>≤9738户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完成空置房补贴的面积</w:t>
            </w:r>
          </w:p>
        </w:tc>
        <w:tc>
          <w:tcPr>
            <w:tcW w:w="5386" w:type="dxa"/>
            <w:vAlign w:val="center"/>
          </w:tcPr>
          <w:p>
            <w:pPr>
              <w:pStyle w:val="12"/>
            </w:pPr>
            <w:r>
              <w:t>完成空置房补贴的面积</w:t>
            </w:r>
          </w:p>
        </w:tc>
        <w:tc>
          <w:tcPr>
            <w:tcW w:w="2268" w:type="dxa"/>
            <w:vAlign w:val="center"/>
          </w:tcPr>
          <w:p>
            <w:pPr>
              <w:pStyle w:val="12"/>
            </w:pPr>
            <w:r>
              <w:t>≤271.07平方米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空置房补贴每平方米标准</w:t>
            </w:r>
          </w:p>
        </w:tc>
        <w:tc>
          <w:tcPr>
            <w:tcW w:w="5386" w:type="dxa"/>
            <w:vAlign w:val="center"/>
          </w:tcPr>
          <w:p>
            <w:pPr>
              <w:pStyle w:val="12"/>
            </w:pPr>
            <w:r>
              <w:t>空置房补贴每平方米标准</w:t>
            </w:r>
          </w:p>
        </w:tc>
        <w:tc>
          <w:tcPr>
            <w:tcW w:w="2268" w:type="dxa"/>
            <w:vAlign w:val="center"/>
          </w:tcPr>
          <w:p>
            <w:pPr>
              <w:pStyle w:val="12"/>
            </w:pPr>
            <w:r>
              <w:t>≤3.49元/平方米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完成延期供热补贴面积的数量</w:t>
            </w:r>
          </w:p>
        </w:tc>
        <w:tc>
          <w:tcPr>
            <w:tcW w:w="5386" w:type="dxa"/>
            <w:vAlign w:val="center"/>
          </w:tcPr>
          <w:p>
            <w:pPr>
              <w:pStyle w:val="12"/>
            </w:pPr>
            <w:r>
              <w:t>完成延期供热补贴面积的数量</w:t>
            </w:r>
          </w:p>
        </w:tc>
        <w:tc>
          <w:tcPr>
            <w:tcW w:w="2268" w:type="dxa"/>
            <w:vAlign w:val="center"/>
          </w:tcPr>
          <w:p>
            <w:pPr>
              <w:pStyle w:val="12"/>
            </w:pPr>
            <w:r>
              <w:t>≤1069平方米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供热延期补贴每平方米的标准</w:t>
            </w:r>
          </w:p>
        </w:tc>
        <w:tc>
          <w:tcPr>
            <w:tcW w:w="5386" w:type="dxa"/>
            <w:vAlign w:val="center"/>
          </w:tcPr>
          <w:p>
            <w:pPr>
              <w:pStyle w:val="12"/>
            </w:pPr>
            <w:r>
              <w:t>供热延期补贴每平方米的标准</w:t>
            </w:r>
          </w:p>
        </w:tc>
        <w:tc>
          <w:tcPr>
            <w:tcW w:w="2268" w:type="dxa"/>
            <w:vAlign w:val="center"/>
          </w:tcPr>
          <w:p>
            <w:pPr>
              <w:pStyle w:val="12"/>
            </w:pPr>
            <w:r>
              <w:t>≤1.43元/平方米</w:t>
            </w:r>
          </w:p>
        </w:tc>
        <w:tc>
          <w:tcPr>
            <w:tcW w:w="1276" w:type="dxa"/>
            <w:vAlign w:val="center"/>
          </w:tcPr>
          <w:p>
            <w:pPr>
              <w:pStyle w:val="12"/>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节能建筑每平方米补贴标准</w:t>
            </w:r>
          </w:p>
        </w:tc>
        <w:tc>
          <w:tcPr>
            <w:tcW w:w="5386" w:type="dxa"/>
            <w:vAlign w:val="center"/>
          </w:tcPr>
          <w:p>
            <w:pPr>
              <w:pStyle w:val="12"/>
            </w:pPr>
            <w:r>
              <w:t>节能建筑每平方米补贴标准</w:t>
            </w:r>
          </w:p>
        </w:tc>
        <w:tc>
          <w:tcPr>
            <w:tcW w:w="2268" w:type="dxa"/>
            <w:vAlign w:val="center"/>
          </w:tcPr>
          <w:p>
            <w:pPr>
              <w:pStyle w:val="12"/>
            </w:pPr>
            <w:r>
              <w:t>5.7元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非节能建筑每平方米补贴标准</w:t>
            </w:r>
          </w:p>
        </w:tc>
        <w:tc>
          <w:tcPr>
            <w:tcW w:w="5386" w:type="dxa"/>
            <w:vAlign w:val="center"/>
          </w:tcPr>
          <w:p>
            <w:pPr>
              <w:pStyle w:val="12"/>
            </w:pPr>
            <w:r>
              <w:t>非节能建筑每平方米补贴标准</w:t>
            </w:r>
          </w:p>
        </w:tc>
        <w:tc>
          <w:tcPr>
            <w:tcW w:w="2268" w:type="dxa"/>
            <w:vAlign w:val="center"/>
          </w:tcPr>
          <w:p>
            <w:pPr>
              <w:pStyle w:val="12"/>
            </w:pPr>
            <w:r>
              <w:t>9.2元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空气源热泵每户补贴标准</w:t>
            </w:r>
          </w:p>
        </w:tc>
        <w:tc>
          <w:tcPr>
            <w:tcW w:w="5386" w:type="dxa"/>
            <w:vAlign w:val="center"/>
          </w:tcPr>
          <w:p>
            <w:pPr>
              <w:pStyle w:val="12"/>
            </w:pPr>
            <w:r>
              <w:t>空气源热泵每户补贴标准</w:t>
            </w:r>
          </w:p>
        </w:tc>
        <w:tc>
          <w:tcPr>
            <w:tcW w:w="2268" w:type="dxa"/>
            <w:vAlign w:val="center"/>
          </w:tcPr>
          <w:p>
            <w:pPr>
              <w:pStyle w:val="12"/>
            </w:pPr>
            <w:r>
              <w:t>300元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供热的完成率</w:t>
            </w:r>
          </w:p>
        </w:tc>
        <w:tc>
          <w:tcPr>
            <w:tcW w:w="5386" w:type="dxa"/>
            <w:vAlign w:val="center"/>
          </w:tcPr>
          <w:p>
            <w:pPr>
              <w:pStyle w:val="12"/>
            </w:pPr>
            <w:r>
              <w:t>完成的供热面积占计划供热面积的比率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供热的达标率</w:t>
            </w:r>
          </w:p>
        </w:tc>
        <w:tc>
          <w:tcPr>
            <w:tcW w:w="5386" w:type="dxa"/>
            <w:vAlign w:val="center"/>
          </w:tcPr>
          <w:p>
            <w:pPr>
              <w:pStyle w:val="12"/>
            </w:pPr>
            <w:r>
              <w:t>供热达标的面积占实际供热面积的比率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确保正常供热的年限</w:t>
            </w:r>
          </w:p>
        </w:tc>
        <w:tc>
          <w:tcPr>
            <w:tcW w:w="5386" w:type="dxa"/>
            <w:vAlign w:val="center"/>
          </w:tcPr>
          <w:p>
            <w:pPr>
              <w:pStyle w:val="12"/>
            </w:pPr>
            <w:r>
              <w:t>确保正常供热的年限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满足供热需求、减少污染排放</w:t>
            </w:r>
          </w:p>
        </w:tc>
        <w:tc>
          <w:tcPr>
            <w:tcW w:w="5386" w:type="dxa"/>
            <w:vAlign w:val="center"/>
          </w:tcPr>
          <w:p>
            <w:pPr>
              <w:pStyle w:val="12"/>
            </w:pPr>
            <w:r>
              <w:t>满足供热需求、减少污染排放</w:t>
            </w:r>
          </w:p>
        </w:tc>
        <w:tc>
          <w:tcPr>
            <w:tcW w:w="2268" w:type="dxa"/>
            <w:vAlign w:val="center"/>
          </w:tcPr>
          <w:p>
            <w:pPr>
              <w:pStyle w:val="12"/>
            </w:pPr>
            <w:r>
              <w:t>满足、减少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居民对供热的满意度</w:t>
            </w:r>
          </w:p>
        </w:tc>
        <w:tc>
          <w:tcPr>
            <w:tcW w:w="5386" w:type="dxa"/>
            <w:vAlign w:val="center"/>
          </w:tcPr>
          <w:p>
            <w:pPr>
              <w:pStyle w:val="12"/>
            </w:pPr>
            <w:r>
              <w:t>居民对供热的满意程度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17、观景大街道路雨季水毁维修项目绩效目标表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13011026P00156410609L</w:t>
            </w:r>
          </w:p>
        </w:tc>
        <w:tc>
          <w:tcPr>
            <w:tcW w:w="2835" w:type="dxa"/>
            <w:vAlign w:val="center"/>
          </w:tcPr>
          <w:p>
            <w:pPr>
              <w:pStyle w:val="10"/>
            </w:pPr>
            <w:r>
              <w:t>项目名称</w:t>
            </w:r>
          </w:p>
        </w:tc>
        <w:tc>
          <w:tcPr>
            <w:tcW w:w="6095" w:type="dxa"/>
            <w:gridSpan w:val="3"/>
            <w:vAlign w:val="center"/>
          </w:tcPr>
          <w:p>
            <w:pPr>
              <w:pStyle w:val="12"/>
            </w:pPr>
            <w:r>
              <w:t>观景大街道路雨季水毁维修项目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    资金</w:t>
            </w:r>
          </w:p>
        </w:tc>
        <w:tc>
          <w:tcPr>
            <w:tcW w:w="2551" w:type="dxa"/>
            <w:vAlign w:val="center"/>
          </w:tcPr>
          <w:p>
            <w:pPr>
              <w:pStyle w:val="12"/>
            </w:pPr>
            <w:r>
              <w:t>0.43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资金用于观景大街道路雨季水毁维修项目支出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1.完成115平方米路面的维修，297立方米的浆砌片石护坡，改善城市基础设施，确保道路行车安全。</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完成沥青路面维修面积的数量</w:t>
            </w:r>
          </w:p>
        </w:tc>
        <w:tc>
          <w:tcPr>
            <w:tcW w:w="5386" w:type="dxa"/>
            <w:vAlign w:val="center"/>
          </w:tcPr>
          <w:p>
            <w:pPr>
              <w:pStyle w:val="12"/>
            </w:pPr>
            <w:r>
              <w:t xml:space="preserve"> 完成沥青路面维修面积的数量</w:t>
            </w:r>
          </w:p>
        </w:tc>
        <w:tc>
          <w:tcPr>
            <w:tcW w:w="2268" w:type="dxa"/>
            <w:vAlign w:val="center"/>
          </w:tcPr>
          <w:p>
            <w:pPr>
              <w:pStyle w:val="12"/>
            </w:pPr>
            <w:r>
              <w:t>≥115平方米</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完成浆砌片石护坡的数量</w:t>
            </w:r>
          </w:p>
        </w:tc>
        <w:tc>
          <w:tcPr>
            <w:tcW w:w="5386" w:type="dxa"/>
            <w:vAlign w:val="center"/>
          </w:tcPr>
          <w:p>
            <w:pPr>
              <w:pStyle w:val="12"/>
            </w:pPr>
            <w:r>
              <w:t xml:space="preserve"> 完成浆砌片石护坡的数量</w:t>
            </w:r>
          </w:p>
        </w:tc>
        <w:tc>
          <w:tcPr>
            <w:tcW w:w="2268" w:type="dxa"/>
            <w:vAlign w:val="center"/>
          </w:tcPr>
          <w:p>
            <w:pPr>
              <w:pStyle w:val="12"/>
            </w:pPr>
            <w:r>
              <w:t>≥297立方米</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 xml:space="preserve"> 验收合格的工程量占实际完成工程量的比率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完工及时率</w:t>
            </w:r>
          </w:p>
        </w:tc>
        <w:tc>
          <w:tcPr>
            <w:tcW w:w="5386" w:type="dxa"/>
            <w:vAlign w:val="center"/>
          </w:tcPr>
          <w:p>
            <w:pPr>
              <w:pStyle w:val="12"/>
            </w:pPr>
            <w:r>
              <w:t xml:space="preserve"> 实际完成的工程量占计划完成工程量的比率</w:t>
            </w:r>
          </w:p>
        </w:tc>
        <w:tc>
          <w:tcPr>
            <w:tcW w:w="2268" w:type="dxa"/>
            <w:vAlign w:val="center"/>
          </w:tcPr>
          <w:p>
            <w:pPr>
              <w:pStyle w:val="12"/>
            </w:pPr>
            <w:r>
              <w:t>100 %</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完成工程的成本</w:t>
            </w:r>
          </w:p>
        </w:tc>
        <w:tc>
          <w:tcPr>
            <w:tcW w:w="5386" w:type="dxa"/>
            <w:vAlign w:val="center"/>
          </w:tcPr>
          <w:p>
            <w:pPr>
              <w:pStyle w:val="12"/>
            </w:pPr>
            <w:r>
              <w:t>完成工程的成本</w:t>
            </w:r>
          </w:p>
        </w:tc>
        <w:tc>
          <w:tcPr>
            <w:tcW w:w="2268" w:type="dxa"/>
            <w:vAlign w:val="center"/>
          </w:tcPr>
          <w:p>
            <w:pPr>
              <w:pStyle w:val="12"/>
            </w:pPr>
            <w:r>
              <w:t>≤20.3万元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完成道路维修的及时社会影响力</w:t>
            </w:r>
          </w:p>
        </w:tc>
        <w:tc>
          <w:tcPr>
            <w:tcW w:w="5386" w:type="dxa"/>
            <w:vAlign w:val="center"/>
          </w:tcPr>
          <w:p>
            <w:pPr>
              <w:pStyle w:val="12"/>
            </w:pPr>
            <w:r>
              <w:t>完成道路维修的及时社会影响力</w:t>
            </w:r>
          </w:p>
        </w:tc>
        <w:tc>
          <w:tcPr>
            <w:tcW w:w="2268" w:type="dxa"/>
            <w:vAlign w:val="center"/>
          </w:tcPr>
          <w:p>
            <w:pPr>
              <w:pStyle w:val="12"/>
            </w:pPr>
            <w:r>
              <w:t>提升社会影响力</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水毁维修使用的时间</w:t>
            </w:r>
          </w:p>
        </w:tc>
        <w:tc>
          <w:tcPr>
            <w:tcW w:w="5386" w:type="dxa"/>
            <w:vAlign w:val="center"/>
          </w:tcPr>
          <w:p>
            <w:pPr>
              <w:pStyle w:val="12"/>
            </w:pPr>
            <w:r>
              <w:t xml:space="preserve"> 水毁维修使用的时间</w:t>
            </w:r>
          </w:p>
        </w:tc>
        <w:tc>
          <w:tcPr>
            <w:tcW w:w="2268" w:type="dxa"/>
            <w:vAlign w:val="center"/>
          </w:tcPr>
          <w:p>
            <w:pPr>
              <w:pStyle w:val="12"/>
            </w:pPr>
            <w:r>
              <w:t>≥10 年</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市民对水毁维修的满意度</w:t>
            </w:r>
          </w:p>
        </w:tc>
        <w:tc>
          <w:tcPr>
            <w:tcW w:w="5386" w:type="dxa"/>
            <w:vAlign w:val="center"/>
          </w:tcPr>
          <w:p>
            <w:pPr>
              <w:pStyle w:val="12"/>
            </w:pPr>
            <w:r>
              <w:t xml:space="preserve"> 市民对水毁维修的满意程度</w:t>
            </w:r>
          </w:p>
        </w:tc>
        <w:tc>
          <w:tcPr>
            <w:tcW w:w="2268" w:type="dxa"/>
            <w:vAlign w:val="center"/>
          </w:tcPr>
          <w:p>
            <w:pPr>
              <w:pStyle w:val="12"/>
            </w:pPr>
            <w:r>
              <w:t>≥95 %</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18、海山公园提升改造、南二环西延亮化等项目绩效目标表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13011026P00156410619G</w:t>
            </w:r>
          </w:p>
        </w:tc>
        <w:tc>
          <w:tcPr>
            <w:tcW w:w="2835" w:type="dxa"/>
            <w:vAlign w:val="center"/>
          </w:tcPr>
          <w:p>
            <w:pPr>
              <w:pStyle w:val="10"/>
            </w:pPr>
            <w:r>
              <w:t>项目名称</w:t>
            </w:r>
          </w:p>
        </w:tc>
        <w:tc>
          <w:tcPr>
            <w:tcW w:w="6095" w:type="dxa"/>
            <w:gridSpan w:val="3"/>
            <w:vAlign w:val="center"/>
          </w:tcPr>
          <w:p>
            <w:pPr>
              <w:pStyle w:val="12"/>
            </w:pPr>
            <w:r>
              <w:t>海山公园提升改造、南二环西延亮化等项目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26.10</w:t>
            </w:r>
          </w:p>
        </w:tc>
        <w:tc>
          <w:tcPr>
            <w:tcW w:w="2835" w:type="dxa"/>
            <w:vAlign w:val="center"/>
          </w:tcPr>
          <w:p>
            <w:pPr>
              <w:pStyle w:val="10"/>
            </w:pPr>
            <w:r>
              <w:t>其中：财政    资金</w:t>
            </w:r>
          </w:p>
        </w:tc>
        <w:tc>
          <w:tcPr>
            <w:tcW w:w="2551" w:type="dxa"/>
            <w:vAlign w:val="center"/>
          </w:tcPr>
          <w:p>
            <w:pPr>
              <w:pStyle w:val="12"/>
            </w:pPr>
            <w:r>
              <w:t>26.10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资金用于海山公园提升改造、南二环西延亮化等旧欠项目的支出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1.完成海山公园提升改造、南二环西延亮化等50个项目资金的支付，美化环境、提升城市品味。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完成项目建设的数量</w:t>
            </w:r>
          </w:p>
        </w:tc>
        <w:tc>
          <w:tcPr>
            <w:tcW w:w="5386" w:type="dxa"/>
            <w:vAlign w:val="center"/>
          </w:tcPr>
          <w:p>
            <w:pPr>
              <w:pStyle w:val="12"/>
            </w:pPr>
            <w:r>
              <w:t>完成项目建设的数量</w:t>
            </w:r>
          </w:p>
        </w:tc>
        <w:tc>
          <w:tcPr>
            <w:tcW w:w="2268" w:type="dxa"/>
            <w:vAlign w:val="center"/>
          </w:tcPr>
          <w:p>
            <w:pPr>
              <w:pStyle w:val="12"/>
            </w:pPr>
            <w:r>
              <w:t>≤68个</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验收合格率</w:t>
            </w:r>
          </w:p>
        </w:tc>
        <w:tc>
          <w:tcPr>
            <w:tcW w:w="5386" w:type="dxa"/>
            <w:vAlign w:val="center"/>
          </w:tcPr>
          <w:p>
            <w:pPr>
              <w:pStyle w:val="12"/>
            </w:pPr>
            <w:r>
              <w:t xml:space="preserve"> 验收合格的工程量占实际完成工程量的比率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按时完成率</w:t>
            </w:r>
          </w:p>
        </w:tc>
        <w:tc>
          <w:tcPr>
            <w:tcW w:w="5386" w:type="dxa"/>
            <w:vAlign w:val="center"/>
          </w:tcPr>
          <w:p>
            <w:pPr>
              <w:pStyle w:val="12"/>
            </w:pPr>
            <w:r>
              <w:t xml:space="preserve"> 实际完成的工程量占计划完成工程量的比率</w:t>
            </w:r>
          </w:p>
        </w:tc>
        <w:tc>
          <w:tcPr>
            <w:tcW w:w="2268" w:type="dxa"/>
            <w:vAlign w:val="center"/>
          </w:tcPr>
          <w:p>
            <w:pPr>
              <w:pStyle w:val="12"/>
            </w:pPr>
            <w:r>
              <w:t>100%</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项目支付的金额</w:t>
            </w:r>
          </w:p>
        </w:tc>
        <w:tc>
          <w:tcPr>
            <w:tcW w:w="5386" w:type="dxa"/>
            <w:vAlign w:val="center"/>
          </w:tcPr>
          <w:p>
            <w:pPr>
              <w:pStyle w:val="12"/>
            </w:pPr>
            <w:r>
              <w:t xml:space="preserve"> 项目支付的金额</w:t>
            </w:r>
          </w:p>
        </w:tc>
        <w:tc>
          <w:tcPr>
            <w:tcW w:w="2268" w:type="dxa"/>
            <w:vAlign w:val="center"/>
          </w:tcPr>
          <w:p>
            <w:pPr>
              <w:pStyle w:val="12"/>
            </w:pPr>
            <w:r>
              <w:t>≤26.1万元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建设保持的时间</w:t>
            </w:r>
          </w:p>
        </w:tc>
        <w:tc>
          <w:tcPr>
            <w:tcW w:w="5386" w:type="dxa"/>
            <w:vAlign w:val="center"/>
          </w:tcPr>
          <w:p>
            <w:pPr>
              <w:pStyle w:val="12"/>
            </w:pPr>
            <w:r>
              <w:t>建设保持的时间</w:t>
            </w:r>
          </w:p>
          <w:p>
            <w:pPr>
              <w:pStyle w:val="12"/>
            </w:pPr>
          </w:p>
        </w:tc>
        <w:tc>
          <w:tcPr>
            <w:tcW w:w="2268" w:type="dxa"/>
            <w:vAlign w:val="center"/>
          </w:tcPr>
          <w:p>
            <w:pPr>
              <w:pStyle w:val="12"/>
            </w:pPr>
            <w:r>
              <w:t>≥2个月</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提升城市品位，美化环境</w:t>
            </w:r>
          </w:p>
        </w:tc>
        <w:tc>
          <w:tcPr>
            <w:tcW w:w="5386" w:type="dxa"/>
            <w:vAlign w:val="center"/>
          </w:tcPr>
          <w:p>
            <w:pPr>
              <w:pStyle w:val="12"/>
            </w:pPr>
            <w:r>
              <w:t xml:space="preserve"> 提升城市品位，美化环境</w:t>
            </w:r>
          </w:p>
        </w:tc>
        <w:tc>
          <w:tcPr>
            <w:tcW w:w="2268" w:type="dxa"/>
            <w:vAlign w:val="center"/>
          </w:tcPr>
          <w:p>
            <w:pPr>
              <w:pStyle w:val="12"/>
            </w:pPr>
            <w:r>
              <w:t>提升品位、美化环境</w:t>
            </w:r>
          </w:p>
        </w:tc>
        <w:tc>
          <w:tcPr>
            <w:tcW w:w="1276"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市民对项目建设满意度</w:t>
            </w:r>
          </w:p>
        </w:tc>
        <w:tc>
          <w:tcPr>
            <w:tcW w:w="5386" w:type="dxa"/>
            <w:vAlign w:val="center"/>
          </w:tcPr>
          <w:p>
            <w:pPr>
              <w:pStyle w:val="12"/>
            </w:pPr>
            <w:r>
              <w:t>市民对项目建设满意度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19、环城绿道征地补偿费用绩效目标表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13011026P00156410603Y</w:t>
            </w:r>
          </w:p>
        </w:tc>
        <w:tc>
          <w:tcPr>
            <w:tcW w:w="2835" w:type="dxa"/>
            <w:vAlign w:val="center"/>
          </w:tcPr>
          <w:p>
            <w:pPr>
              <w:pStyle w:val="10"/>
            </w:pPr>
            <w:r>
              <w:t>项目名称</w:t>
            </w:r>
          </w:p>
        </w:tc>
        <w:tc>
          <w:tcPr>
            <w:tcW w:w="6095" w:type="dxa"/>
            <w:gridSpan w:val="3"/>
            <w:vAlign w:val="center"/>
          </w:tcPr>
          <w:p>
            <w:pPr>
              <w:pStyle w:val="12"/>
            </w:pPr>
            <w:r>
              <w:t>环城绿道征地补偿费用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资金用于环城绿道征地补偿费支出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1.完成227.9749亩土地的征迁工作，确保环城绿道项目顺利实施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完成征地的亩数</w:t>
            </w:r>
          </w:p>
        </w:tc>
        <w:tc>
          <w:tcPr>
            <w:tcW w:w="5386" w:type="dxa"/>
            <w:vAlign w:val="center"/>
          </w:tcPr>
          <w:p>
            <w:pPr>
              <w:pStyle w:val="12"/>
            </w:pPr>
            <w:r>
              <w:t>完成征地的亩数</w:t>
            </w:r>
          </w:p>
        </w:tc>
        <w:tc>
          <w:tcPr>
            <w:tcW w:w="2268" w:type="dxa"/>
            <w:vAlign w:val="center"/>
          </w:tcPr>
          <w:p>
            <w:pPr>
              <w:pStyle w:val="12"/>
            </w:pPr>
            <w:r>
              <w:t>≤227.97亩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征地费发放达标率</w:t>
            </w:r>
          </w:p>
        </w:tc>
        <w:tc>
          <w:tcPr>
            <w:tcW w:w="5386" w:type="dxa"/>
            <w:vAlign w:val="center"/>
          </w:tcPr>
          <w:p>
            <w:pPr>
              <w:pStyle w:val="12"/>
            </w:pPr>
            <w:r>
              <w:t>实际发放的征地费标准占应发放征地费标准的比率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征地工作的按时完成率</w:t>
            </w:r>
          </w:p>
        </w:tc>
        <w:tc>
          <w:tcPr>
            <w:tcW w:w="5386" w:type="dxa"/>
            <w:vAlign w:val="center"/>
          </w:tcPr>
          <w:p>
            <w:pPr>
              <w:pStyle w:val="12"/>
            </w:pPr>
            <w:r>
              <w:t>按照时间节点完成的征地亩数占计划完成的征地亩数的比率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每亩征地费的标准</w:t>
            </w:r>
          </w:p>
        </w:tc>
        <w:tc>
          <w:tcPr>
            <w:tcW w:w="5386" w:type="dxa"/>
            <w:vAlign w:val="center"/>
          </w:tcPr>
          <w:p>
            <w:pPr>
              <w:pStyle w:val="12"/>
            </w:pPr>
            <w:r>
              <w:t>每亩征地费的标准</w:t>
            </w:r>
          </w:p>
        </w:tc>
        <w:tc>
          <w:tcPr>
            <w:tcW w:w="2268" w:type="dxa"/>
            <w:vAlign w:val="center"/>
          </w:tcPr>
          <w:p>
            <w:pPr>
              <w:pStyle w:val="12"/>
            </w:pPr>
            <w:r>
              <w:t>≤12.8万元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改善环境、美化城市</w:t>
            </w:r>
          </w:p>
        </w:tc>
        <w:tc>
          <w:tcPr>
            <w:tcW w:w="5386" w:type="dxa"/>
            <w:vAlign w:val="center"/>
          </w:tcPr>
          <w:p>
            <w:pPr>
              <w:pStyle w:val="12"/>
            </w:pPr>
            <w:r>
              <w:t>改善环境、美化城市</w:t>
            </w:r>
          </w:p>
        </w:tc>
        <w:tc>
          <w:tcPr>
            <w:tcW w:w="2268" w:type="dxa"/>
            <w:vAlign w:val="center"/>
          </w:tcPr>
          <w:p>
            <w:pPr>
              <w:pStyle w:val="12"/>
            </w:pPr>
            <w:r>
              <w:t>改善环境、美化城市</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环城绿道使用的期限</w:t>
            </w:r>
          </w:p>
        </w:tc>
        <w:tc>
          <w:tcPr>
            <w:tcW w:w="5386" w:type="dxa"/>
            <w:vAlign w:val="center"/>
          </w:tcPr>
          <w:p>
            <w:pPr>
              <w:pStyle w:val="12"/>
            </w:pPr>
            <w:r>
              <w:t>环城绿道使用期限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市民对环城绿道建设的满意度</w:t>
            </w:r>
          </w:p>
        </w:tc>
        <w:tc>
          <w:tcPr>
            <w:tcW w:w="5386" w:type="dxa"/>
            <w:vAlign w:val="center"/>
          </w:tcPr>
          <w:p>
            <w:pPr>
              <w:pStyle w:val="12"/>
            </w:pPr>
            <w:r>
              <w:t>市民对环城绿道建设的满意度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20、井新街路灯电费绩效目标表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13011026P00156410620U</w:t>
            </w:r>
          </w:p>
        </w:tc>
        <w:tc>
          <w:tcPr>
            <w:tcW w:w="2835" w:type="dxa"/>
            <w:vAlign w:val="center"/>
          </w:tcPr>
          <w:p>
            <w:pPr>
              <w:pStyle w:val="10"/>
            </w:pPr>
            <w:r>
              <w:t>项目名称</w:t>
            </w:r>
          </w:p>
        </w:tc>
        <w:tc>
          <w:tcPr>
            <w:tcW w:w="6095" w:type="dxa"/>
            <w:gridSpan w:val="3"/>
            <w:vAlign w:val="center"/>
          </w:tcPr>
          <w:p>
            <w:pPr>
              <w:pStyle w:val="12"/>
            </w:pPr>
            <w:r>
              <w:t>井新街路灯电费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w:t>
            </w:r>
          </w:p>
        </w:tc>
        <w:tc>
          <w:tcPr>
            <w:tcW w:w="2835" w:type="dxa"/>
            <w:vAlign w:val="center"/>
          </w:tcPr>
          <w:p>
            <w:pPr>
              <w:pStyle w:val="10"/>
            </w:pPr>
            <w:r>
              <w:t>其中：财政    资金</w:t>
            </w:r>
          </w:p>
        </w:tc>
        <w:tc>
          <w:tcPr>
            <w:tcW w:w="2551" w:type="dxa"/>
            <w:vAlign w:val="center"/>
          </w:tcPr>
          <w:p>
            <w:pPr>
              <w:pStyle w:val="12"/>
            </w:pPr>
            <w:r>
              <w:t>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资金用于井新街路灯电费支出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1.确保井新街路灯正常运行，充分发挥民生保障作用。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年消费电量</w:t>
            </w:r>
          </w:p>
        </w:tc>
        <w:tc>
          <w:tcPr>
            <w:tcW w:w="5386" w:type="dxa"/>
            <w:vAlign w:val="center"/>
          </w:tcPr>
          <w:p>
            <w:pPr>
              <w:pStyle w:val="12"/>
            </w:pPr>
            <w:r>
              <w:t>年消费电量</w:t>
            </w:r>
          </w:p>
        </w:tc>
        <w:tc>
          <w:tcPr>
            <w:tcW w:w="2268" w:type="dxa"/>
            <w:vAlign w:val="center"/>
          </w:tcPr>
          <w:p>
            <w:pPr>
              <w:pStyle w:val="12"/>
            </w:pPr>
            <w:r>
              <w:t>≤29911.75度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电费单价</w:t>
            </w:r>
          </w:p>
        </w:tc>
        <w:tc>
          <w:tcPr>
            <w:tcW w:w="5386" w:type="dxa"/>
            <w:vAlign w:val="center"/>
          </w:tcPr>
          <w:p>
            <w:pPr>
              <w:pStyle w:val="12"/>
            </w:pPr>
            <w:r>
              <w:t>电费单价</w:t>
            </w:r>
          </w:p>
        </w:tc>
        <w:tc>
          <w:tcPr>
            <w:tcW w:w="2268" w:type="dxa"/>
            <w:vAlign w:val="center"/>
          </w:tcPr>
          <w:p>
            <w:pPr>
              <w:pStyle w:val="12"/>
            </w:pPr>
            <w:r>
              <w:t>≤0.72元/度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灯头维护数量</w:t>
            </w:r>
          </w:p>
        </w:tc>
        <w:tc>
          <w:tcPr>
            <w:tcW w:w="5386" w:type="dxa"/>
            <w:vAlign w:val="center"/>
          </w:tcPr>
          <w:p>
            <w:pPr>
              <w:pStyle w:val="12"/>
            </w:pPr>
            <w:r>
              <w:t>灯头维护数量</w:t>
            </w:r>
          </w:p>
        </w:tc>
        <w:tc>
          <w:tcPr>
            <w:tcW w:w="2268" w:type="dxa"/>
            <w:vAlign w:val="center"/>
          </w:tcPr>
          <w:p>
            <w:pPr>
              <w:pStyle w:val="12"/>
            </w:pPr>
            <w:r>
              <w:t>42个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灯头维护单价</w:t>
            </w:r>
          </w:p>
        </w:tc>
        <w:tc>
          <w:tcPr>
            <w:tcW w:w="5386" w:type="dxa"/>
            <w:vAlign w:val="center"/>
          </w:tcPr>
          <w:p>
            <w:pPr>
              <w:pStyle w:val="12"/>
            </w:pPr>
            <w:r>
              <w:t>灯头维护单价</w:t>
            </w:r>
          </w:p>
        </w:tc>
        <w:tc>
          <w:tcPr>
            <w:tcW w:w="2268" w:type="dxa"/>
            <w:vAlign w:val="center"/>
          </w:tcPr>
          <w:p>
            <w:pPr>
              <w:pStyle w:val="12"/>
            </w:pPr>
            <w:r>
              <w:t>100元/个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路灯正常亮灯率</w:t>
            </w:r>
          </w:p>
        </w:tc>
        <w:tc>
          <w:tcPr>
            <w:tcW w:w="5386" w:type="dxa"/>
            <w:vAlign w:val="center"/>
          </w:tcPr>
          <w:p>
            <w:pPr>
              <w:pStyle w:val="12"/>
            </w:pPr>
            <w:r>
              <w:t>路灯正常亮灯的数量占总路灯数量的比率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电费及时支付率</w:t>
            </w:r>
          </w:p>
        </w:tc>
        <w:tc>
          <w:tcPr>
            <w:tcW w:w="5386" w:type="dxa"/>
            <w:vAlign w:val="center"/>
          </w:tcPr>
          <w:p>
            <w:pPr>
              <w:pStyle w:val="12"/>
            </w:pPr>
            <w:r>
              <w:t>路灯电费及时支付的次数占总次数的比率</w:t>
            </w:r>
          </w:p>
        </w:tc>
        <w:tc>
          <w:tcPr>
            <w:tcW w:w="2268" w:type="dxa"/>
            <w:vAlign w:val="center"/>
          </w:tcPr>
          <w:p>
            <w:pPr>
              <w:pStyle w:val="12"/>
            </w:pPr>
            <w:r>
              <w:t>100%</w:t>
            </w:r>
          </w:p>
        </w:tc>
        <w:tc>
          <w:tcPr>
            <w:tcW w:w="1276" w:type="dxa"/>
            <w:vAlign w:val="center"/>
          </w:tcPr>
          <w:p>
            <w:pPr>
              <w:pStyle w:val="12"/>
            </w:pPr>
            <w:r>
              <w:t>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确保路灯正常运行，充分发挥民生保障作用</w:t>
            </w:r>
          </w:p>
        </w:tc>
        <w:tc>
          <w:tcPr>
            <w:tcW w:w="5386" w:type="dxa"/>
            <w:vAlign w:val="center"/>
          </w:tcPr>
          <w:p>
            <w:pPr>
              <w:pStyle w:val="12"/>
            </w:pPr>
            <w:r>
              <w:t>确保井新街路灯正常运行，充分发挥民生保障作用。</w:t>
            </w:r>
          </w:p>
        </w:tc>
        <w:tc>
          <w:tcPr>
            <w:tcW w:w="2268" w:type="dxa"/>
            <w:vAlign w:val="center"/>
          </w:tcPr>
          <w:p>
            <w:pPr>
              <w:pStyle w:val="12"/>
            </w:pPr>
            <w:r>
              <w:t>确保井新街路灯正常运行，充分发挥民生保障作用。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井新街路灯正常运行年限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市民对井新街路灯亮灯满意度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21、口袋公园日常管护费绩效目标表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13011026P00156410604J</w:t>
            </w:r>
          </w:p>
        </w:tc>
        <w:tc>
          <w:tcPr>
            <w:tcW w:w="2835" w:type="dxa"/>
            <w:vAlign w:val="center"/>
          </w:tcPr>
          <w:p>
            <w:pPr>
              <w:pStyle w:val="10"/>
            </w:pPr>
            <w:r>
              <w:t>项目名称</w:t>
            </w:r>
          </w:p>
        </w:tc>
        <w:tc>
          <w:tcPr>
            <w:tcW w:w="6095" w:type="dxa"/>
            <w:gridSpan w:val="3"/>
            <w:vAlign w:val="center"/>
          </w:tcPr>
          <w:p>
            <w:pPr>
              <w:pStyle w:val="12"/>
            </w:pPr>
            <w:r>
              <w:t>口袋公园日常管护费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7.03</w:t>
            </w:r>
          </w:p>
        </w:tc>
        <w:tc>
          <w:tcPr>
            <w:tcW w:w="2835" w:type="dxa"/>
            <w:vAlign w:val="center"/>
          </w:tcPr>
          <w:p>
            <w:pPr>
              <w:pStyle w:val="10"/>
            </w:pPr>
            <w:r>
              <w:t>其中：财政    资金</w:t>
            </w:r>
          </w:p>
        </w:tc>
        <w:tc>
          <w:tcPr>
            <w:tcW w:w="2551" w:type="dxa"/>
            <w:vAlign w:val="center"/>
          </w:tcPr>
          <w:p>
            <w:pPr>
              <w:pStyle w:val="12"/>
            </w:pPr>
            <w:r>
              <w:t>7.03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资金用于口袋公园日常管护支出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1.完成5个口袋公园，面积为10040平方米的日常管护，为市民提供优美、舒适的休闲娱乐场所，美化环境，提升城市品位。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口袋公园管护面积的数量</w:t>
            </w:r>
          </w:p>
        </w:tc>
        <w:tc>
          <w:tcPr>
            <w:tcW w:w="5386" w:type="dxa"/>
            <w:vAlign w:val="center"/>
          </w:tcPr>
          <w:p>
            <w:pPr>
              <w:pStyle w:val="12"/>
            </w:pPr>
            <w:r>
              <w:t>口袋公园管护面积的数量</w:t>
            </w:r>
          </w:p>
        </w:tc>
        <w:tc>
          <w:tcPr>
            <w:tcW w:w="2268" w:type="dxa"/>
            <w:vAlign w:val="center"/>
          </w:tcPr>
          <w:p>
            <w:pPr>
              <w:pStyle w:val="12"/>
            </w:pPr>
            <w:r>
              <w:t>≤10040平方米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管护口袋公园的数量</w:t>
            </w:r>
          </w:p>
        </w:tc>
        <w:tc>
          <w:tcPr>
            <w:tcW w:w="5386" w:type="dxa"/>
            <w:vAlign w:val="center"/>
          </w:tcPr>
          <w:p>
            <w:pPr>
              <w:pStyle w:val="12"/>
            </w:pPr>
            <w:r>
              <w:t>管护口袋公园的数量</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每平方米管护标准</w:t>
            </w:r>
          </w:p>
        </w:tc>
        <w:tc>
          <w:tcPr>
            <w:tcW w:w="5386" w:type="dxa"/>
            <w:vAlign w:val="center"/>
          </w:tcPr>
          <w:p>
            <w:pPr>
              <w:pStyle w:val="12"/>
            </w:pPr>
            <w:r>
              <w:t>每平方米管护标准</w:t>
            </w:r>
          </w:p>
        </w:tc>
        <w:tc>
          <w:tcPr>
            <w:tcW w:w="2268" w:type="dxa"/>
            <w:vAlign w:val="center"/>
          </w:tcPr>
          <w:p>
            <w:pPr>
              <w:pStyle w:val="12"/>
            </w:pPr>
            <w:r>
              <w:t>≤7元/平方米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管护工作按时完成率</w:t>
            </w:r>
          </w:p>
        </w:tc>
        <w:tc>
          <w:tcPr>
            <w:tcW w:w="5386" w:type="dxa"/>
            <w:vAlign w:val="center"/>
          </w:tcPr>
          <w:p>
            <w:pPr>
              <w:pStyle w:val="12"/>
            </w:pPr>
            <w:r>
              <w:t>按时完成管护的工作量占计划完成工作量的比率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口袋公园管护的验收合格率</w:t>
            </w:r>
          </w:p>
        </w:tc>
        <w:tc>
          <w:tcPr>
            <w:tcW w:w="5386" w:type="dxa"/>
            <w:vAlign w:val="center"/>
          </w:tcPr>
          <w:p>
            <w:pPr>
              <w:pStyle w:val="12"/>
            </w:pPr>
            <w:r>
              <w:t>验收合格的工作量占实际完成工作量的比率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口袋公园使用的期限</w:t>
            </w:r>
          </w:p>
        </w:tc>
        <w:tc>
          <w:tcPr>
            <w:tcW w:w="5386" w:type="dxa"/>
            <w:vAlign w:val="center"/>
          </w:tcPr>
          <w:p>
            <w:pPr>
              <w:pStyle w:val="12"/>
            </w:pPr>
            <w:r>
              <w:t>口袋公园使用的期限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市民对口袋公园日常管护的满意度</w:t>
            </w:r>
          </w:p>
        </w:tc>
        <w:tc>
          <w:tcPr>
            <w:tcW w:w="5386" w:type="dxa"/>
            <w:vAlign w:val="center"/>
          </w:tcPr>
          <w:p>
            <w:pPr>
              <w:pStyle w:val="12"/>
            </w:pPr>
            <w:r>
              <w:t>市民对口袋公园日常管护的满意程度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22、老旧小区供热改造奖补资金绩效目标表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13011026P00156410613T</w:t>
            </w:r>
          </w:p>
        </w:tc>
        <w:tc>
          <w:tcPr>
            <w:tcW w:w="2835" w:type="dxa"/>
            <w:vAlign w:val="center"/>
          </w:tcPr>
          <w:p>
            <w:pPr>
              <w:pStyle w:val="10"/>
            </w:pPr>
            <w:r>
              <w:t>项目名称</w:t>
            </w:r>
          </w:p>
        </w:tc>
        <w:tc>
          <w:tcPr>
            <w:tcW w:w="6095" w:type="dxa"/>
            <w:gridSpan w:val="3"/>
            <w:vAlign w:val="center"/>
          </w:tcPr>
          <w:p>
            <w:pPr>
              <w:pStyle w:val="12"/>
            </w:pPr>
            <w:r>
              <w:t>老旧小区供热改造奖补资金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资金用于老旧小区供热改造奖补资金支出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1.2018-2020年度完成供热面积为840.44万平方米、供热管网324.998公里，涉及131个老旧小区供热改造，确保冬季正常供热。</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完成供热改造面积的数量</w:t>
            </w:r>
          </w:p>
        </w:tc>
        <w:tc>
          <w:tcPr>
            <w:tcW w:w="5386" w:type="dxa"/>
            <w:vAlign w:val="center"/>
          </w:tcPr>
          <w:p>
            <w:pPr>
              <w:pStyle w:val="12"/>
            </w:pPr>
            <w:r>
              <w:t>完成供热改造面积的数量</w:t>
            </w:r>
          </w:p>
        </w:tc>
        <w:tc>
          <w:tcPr>
            <w:tcW w:w="2268" w:type="dxa"/>
            <w:vAlign w:val="center"/>
          </w:tcPr>
          <w:p>
            <w:pPr>
              <w:pStyle w:val="12"/>
            </w:pPr>
            <w:r>
              <w:t>≤840.44万平方米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完成供热管网改造的数量</w:t>
            </w:r>
          </w:p>
        </w:tc>
        <w:tc>
          <w:tcPr>
            <w:tcW w:w="5386" w:type="dxa"/>
            <w:vAlign w:val="center"/>
          </w:tcPr>
          <w:p>
            <w:pPr>
              <w:pStyle w:val="12"/>
            </w:pPr>
            <w:r>
              <w:t>完成供热管网改造的数量</w:t>
            </w:r>
          </w:p>
        </w:tc>
        <w:tc>
          <w:tcPr>
            <w:tcW w:w="2268" w:type="dxa"/>
            <w:vAlign w:val="center"/>
          </w:tcPr>
          <w:p>
            <w:pPr>
              <w:pStyle w:val="12"/>
            </w:pPr>
            <w:r>
              <w:t>≤324.99公里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完成供热改造小区的数量</w:t>
            </w:r>
          </w:p>
        </w:tc>
        <w:tc>
          <w:tcPr>
            <w:tcW w:w="5386" w:type="dxa"/>
            <w:vAlign w:val="center"/>
          </w:tcPr>
          <w:p>
            <w:pPr>
              <w:pStyle w:val="12"/>
            </w:pPr>
            <w:r>
              <w:t>完成供热改造小区的数量</w:t>
            </w:r>
          </w:p>
        </w:tc>
        <w:tc>
          <w:tcPr>
            <w:tcW w:w="2268" w:type="dxa"/>
            <w:vAlign w:val="center"/>
          </w:tcPr>
          <w:p>
            <w:pPr>
              <w:pStyle w:val="12"/>
            </w:pPr>
            <w:r>
              <w:t>≤131个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每平方米供热改造的成本</w:t>
            </w:r>
          </w:p>
        </w:tc>
        <w:tc>
          <w:tcPr>
            <w:tcW w:w="5386" w:type="dxa"/>
            <w:vAlign w:val="center"/>
          </w:tcPr>
          <w:p>
            <w:pPr>
              <w:pStyle w:val="12"/>
            </w:pPr>
            <w:r>
              <w:t>每平方米供热改造的成本</w:t>
            </w:r>
          </w:p>
        </w:tc>
        <w:tc>
          <w:tcPr>
            <w:tcW w:w="2268" w:type="dxa"/>
            <w:vAlign w:val="center"/>
          </w:tcPr>
          <w:p>
            <w:pPr>
              <w:pStyle w:val="12"/>
            </w:pPr>
            <w:r>
              <w:t>≤28元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每米供热管网改造的成本</w:t>
            </w:r>
          </w:p>
        </w:tc>
        <w:tc>
          <w:tcPr>
            <w:tcW w:w="5386" w:type="dxa"/>
            <w:vAlign w:val="center"/>
          </w:tcPr>
          <w:p>
            <w:pPr>
              <w:pStyle w:val="12"/>
            </w:pPr>
            <w:r>
              <w:t>每米供热管网改造的成本</w:t>
            </w:r>
          </w:p>
        </w:tc>
        <w:tc>
          <w:tcPr>
            <w:tcW w:w="2268" w:type="dxa"/>
            <w:vAlign w:val="center"/>
          </w:tcPr>
          <w:p>
            <w:pPr>
              <w:pStyle w:val="12"/>
            </w:pPr>
            <w:r>
              <w:t>≤71元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供热改造验收合格率</w:t>
            </w:r>
          </w:p>
        </w:tc>
        <w:tc>
          <w:tcPr>
            <w:tcW w:w="5386" w:type="dxa"/>
            <w:vAlign w:val="center"/>
          </w:tcPr>
          <w:p>
            <w:pPr>
              <w:pStyle w:val="12"/>
            </w:pPr>
            <w:r>
              <w:t>验收合格的工程量占实际完成工程量的比率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供热改造按时完成率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老旧小区供热改造使用的时间</w:t>
            </w:r>
          </w:p>
        </w:tc>
        <w:tc>
          <w:tcPr>
            <w:tcW w:w="5386" w:type="dxa"/>
            <w:vAlign w:val="center"/>
          </w:tcPr>
          <w:p>
            <w:pPr>
              <w:pStyle w:val="12"/>
            </w:pPr>
            <w:r>
              <w:t>老旧小区供热改造使用的时间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改善老旧小区供热设施，提高老旧小区供热质量</w:t>
            </w:r>
          </w:p>
        </w:tc>
        <w:tc>
          <w:tcPr>
            <w:tcW w:w="5386" w:type="dxa"/>
            <w:vAlign w:val="center"/>
          </w:tcPr>
          <w:p>
            <w:pPr>
              <w:pStyle w:val="12"/>
            </w:pPr>
            <w:r>
              <w:t>改善老旧小区供热设施，提高老旧小区供热质量</w:t>
            </w:r>
          </w:p>
        </w:tc>
        <w:tc>
          <w:tcPr>
            <w:tcW w:w="2268" w:type="dxa"/>
            <w:vAlign w:val="center"/>
          </w:tcPr>
          <w:p>
            <w:pPr>
              <w:pStyle w:val="12"/>
            </w:pPr>
            <w:r>
              <w:t>改善、提高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居民对供热改造的满意度</w:t>
            </w:r>
          </w:p>
        </w:tc>
        <w:tc>
          <w:tcPr>
            <w:tcW w:w="5386" w:type="dxa"/>
            <w:vAlign w:val="center"/>
          </w:tcPr>
          <w:p>
            <w:pPr>
              <w:pStyle w:val="12"/>
            </w:pPr>
            <w:r>
              <w:t>居民对供热改造的满意程度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23、路灯灯杆公共资源有偿使用绩效目标表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13011026P00155610188M</w:t>
            </w:r>
          </w:p>
        </w:tc>
        <w:tc>
          <w:tcPr>
            <w:tcW w:w="2835" w:type="dxa"/>
            <w:vAlign w:val="center"/>
          </w:tcPr>
          <w:p>
            <w:pPr>
              <w:pStyle w:val="10"/>
            </w:pPr>
            <w:r>
              <w:t>项目名称</w:t>
            </w:r>
          </w:p>
        </w:tc>
        <w:tc>
          <w:tcPr>
            <w:tcW w:w="6095" w:type="dxa"/>
            <w:gridSpan w:val="3"/>
            <w:vAlign w:val="center"/>
          </w:tcPr>
          <w:p>
            <w:pPr>
              <w:pStyle w:val="12"/>
            </w:pPr>
            <w:r>
              <w:t>路灯灯杆公共资源有偿使用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资金用于转让路灯灯杆公共资源有偿使用手续费的支出。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1.完成2095根路杆灯公共资源经营权的转让工作，盘活国有存量资产，提高资产利用效率。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完成转让路灯杆使用权的数量</w:t>
            </w:r>
          </w:p>
        </w:tc>
        <w:tc>
          <w:tcPr>
            <w:tcW w:w="5386" w:type="dxa"/>
            <w:vAlign w:val="center"/>
          </w:tcPr>
          <w:p>
            <w:pPr>
              <w:pStyle w:val="12"/>
            </w:pPr>
            <w:r>
              <w:t>完成转让路灯杆使用权的数量</w:t>
            </w:r>
          </w:p>
        </w:tc>
        <w:tc>
          <w:tcPr>
            <w:tcW w:w="2268" w:type="dxa"/>
            <w:vAlign w:val="center"/>
          </w:tcPr>
          <w:p>
            <w:pPr>
              <w:pStyle w:val="12"/>
            </w:pPr>
            <w:r>
              <w:t>2095根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高质量完成路灯杆使用权的转让工作</w:t>
            </w:r>
          </w:p>
        </w:tc>
        <w:tc>
          <w:tcPr>
            <w:tcW w:w="5386" w:type="dxa"/>
            <w:vAlign w:val="center"/>
          </w:tcPr>
          <w:p>
            <w:pPr>
              <w:pStyle w:val="12"/>
            </w:pPr>
            <w:r>
              <w:t>高质量完成路灯杆使用权的转让工作</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转让完成及时率</w:t>
            </w:r>
          </w:p>
        </w:tc>
        <w:tc>
          <w:tcPr>
            <w:tcW w:w="5386" w:type="dxa"/>
            <w:vAlign w:val="center"/>
          </w:tcPr>
          <w:p>
            <w:pPr>
              <w:pStyle w:val="12"/>
            </w:pPr>
            <w:r>
              <w:t>按时完成转让的数量占计划完成转让数量的比率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路灯灯杆经营权年使用费</w:t>
            </w:r>
          </w:p>
        </w:tc>
        <w:tc>
          <w:tcPr>
            <w:tcW w:w="5386" w:type="dxa"/>
            <w:vAlign w:val="center"/>
          </w:tcPr>
          <w:p>
            <w:pPr>
              <w:pStyle w:val="12"/>
            </w:pPr>
            <w:r>
              <w:t>路灯灯杆经营权年使用费</w:t>
            </w:r>
          </w:p>
        </w:tc>
        <w:tc>
          <w:tcPr>
            <w:tcW w:w="2268" w:type="dxa"/>
            <w:vAlign w:val="center"/>
          </w:tcPr>
          <w:p>
            <w:pPr>
              <w:pStyle w:val="12"/>
            </w:pPr>
            <w:r>
              <w:t>≤454万元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加强资源有效利用，盘活国有存量资产</w:t>
            </w:r>
          </w:p>
        </w:tc>
        <w:tc>
          <w:tcPr>
            <w:tcW w:w="5386" w:type="dxa"/>
            <w:vAlign w:val="center"/>
          </w:tcPr>
          <w:p>
            <w:pPr>
              <w:pStyle w:val="12"/>
            </w:pPr>
            <w:r>
              <w:t>加强资源有效利用，盘活国有存量资产</w:t>
            </w:r>
          </w:p>
        </w:tc>
        <w:tc>
          <w:tcPr>
            <w:tcW w:w="2268" w:type="dxa"/>
            <w:vAlign w:val="center"/>
          </w:tcPr>
          <w:p>
            <w:pPr>
              <w:pStyle w:val="12"/>
            </w:pPr>
            <w:r>
              <w:t>加强资源有效利用，盘活国有存量资产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路灯杆使用权的转让期限</w:t>
            </w:r>
          </w:p>
        </w:tc>
        <w:tc>
          <w:tcPr>
            <w:tcW w:w="5386" w:type="dxa"/>
            <w:vAlign w:val="center"/>
          </w:tcPr>
          <w:p>
            <w:pPr>
              <w:pStyle w:val="12"/>
            </w:pPr>
            <w:r>
              <w:t>路灯杆使用权的转让期限</w:t>
            </w:r>
          </w:p>
        </w:tc>
        <w:tc>
          <w:tcPr>
            <w:tcW w:w="2268" w:type="dxa"/>
            <w:vAlign w:val="center"/>
          </w:tcPr>
          <w:p>
            <w:pPr>
              <w:pStyle w:val="12"/>
            </w:pPr>
            <w:r>
              <w:t>20年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使用和服务对象的满意度</w:t>
            </w:r>
          </w:p>
        </w:tc>
        <w:tc>
          <w:tcPr>
            <w:tcW w:w="5386" w:type="dxa"/>
            <w:vAlign w:val="center"/>
          </w:tcPr>
          <w:p>
            <w:pPr>
              <w:pStyle w:val="12"/>
            </w:pPr>
            <w:r>
              <w:t>使用和服务对象的满意度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24、绿化及建设租地费绩效目标表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13011026P00156410597Y</w:t>
            </w:r>
          </w:p>
        </w:tc>
        <w:tc>
          <w:tcPr>
            <w:tcW w:w="2835" w:type="dxa"/>
            <w:vAlign w:val="center"/>
          </w:tcPr>
          <w:p>
            <w:pPr>
              <w:pStyle w:val="10"/>
            </w:pPr>
            <w:r>
              <w:t>项目名称</w:t>
            </w:r>
          </w:p>
        </w:tc>
        <w:tc>
          <w:tcPr>
            <w:tcW w:w="6095" w:type="dxa"/>
            <w:gridSpan w:val="3"/>
            <w:vAlign w:val="center"/>
          </w:tcPr>
          <w:p>
            <w:pPr>
              <w:pStyle w:val="12"/>
            </w:pPr>
            <w:r>
              <w:t>绿化及建设租地费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237.89</w:t>
            </w:r>
          </w:p>
        </w:tc>
        <w:tc>
          <w:tcPr>
            <w:tcW w:w="2835" w:type="dxa"/>
            <w:vAlign w:val="center"/>
          </w:tcPr>
          <w:p>
            <w:pPr>
              <w:pStyle w:val="10"/>
            </w:pPr>
            <w:r>
              <w:t>其中：财政    资金</w:t>
            </w:r>
          </w:p>
        </w:tc>
        <w:tc>
          <w:tcPr>
            <w:tcW w:w="2551" w:type="dxa"/>
            <w:vAlign w:val="center"/>
          </w:tcPr>
          <w:p>
            <w:pPr>
              <w:pStyle w:val="12"/>
            </w:pPr>
            <w:r>
              <w:t>237.89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资金用于绿化租地及建设租地费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1.完成度绿化及建设租地工作，确保绿地完好，提升城市品位。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绿化租地面积的数量</w:t>
            </w:r>
          </w:p>
        </w:tc>
        <w:tc>
          <w:tcPr>
            <w:tcW w:w="5386" w:type="dxa"/>
            <w:vAlign w:val="center"/>
          </w:tcPr>
          <w:p>
            <w:pPr>
              <w:pStyle w:val="12"/>
            </w:pPr>
            <w:r>
              <w:t>绿化租地面积的数量</w:t>
            </w:r>
          </w:p>
        </w:tc>
        <w:tc>
          <w:tcPr>
            <w:tcW w:w="2268" w:type="dxa"/>
            <w:vAlign w:val="center"/>
          </w:tcPr>
          <w:p>
            <w:pPr>
              <w:pStyle w:val="12"/>
            </w:pPr>
            <w:r>
              <w:t>≤1871.07亩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绿化租地费的补贴标准</w:t>
            </w:r>
          </w:p>
        </w:tc>
        <w:tc>
          <w:tcPr>
            <w:tcW w:w="5386" w:type="dxa"/>
            <w:vAlign w:val="center"/>
          </w:tcPr>
          <w:p>
            <w:pPr>
              <w:pStyle w:val="12"/>
            </w:pPr>
            <w:r>
              <w:t>绿化租地费每亩的补贴标准</w:t>
            </w:r>
          </w:p>
        </w:tc>
        <w:tc>
          <w:tcPr>
            <w:tcW w:w="2268" w:type="dxa"/>
            <w:vAlign w:val="center"/>
          </w:tcPr>
          <w:p>
            <w:pPr>
              <w:pStyle w:val="12"/>
            </w:pPr>
            <w:r>
              <w:t>≤1440元/亩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绿化租地费的及时支付</w:t>
            </w:r>
          </w:p>
        </w:tc>
        <w:tc>
          <w:tcPr>
            <w:tcW w:w="5386" w:type="dxa"/>
            <w:vAlign w:val="center"/>
          </w:tcPr>
          <w:p>
            <w:pPr>
              <w:pStyle w:val="12"/>
            </w:pPr>
            <w:r>
              <w:t>每年租地费用支付按合同约定期限</w:t>
            </w:r>
          </w:p>
        </w:tc>
        <w:tc>
          <w:tcPr>
            <w:tcW w:w="2268" w:type="dxa"/>
            <w:vAlign w:val="center"/>
          </w:tcPr>
          <w:p>
            <w:pPr>
              <w:pStyle w:val="12"/>
            </w:pPr>
            <w:r>
              <w:t>合同约定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完成租地面积的绿化建设完成率</w:t>
            </w:r>
          </w:p>
        </w:tc>
        <w:tc>
          <w:tcPr>
            <w:tcW w:w="5386" w:type="dxa"/>
            <w:vAlign w:val="center"/>
          </w:tcPr>
          <w:p>
            <w:pPr>
              <w:pStyle w:val="12"/>
            </w:pPr>
            <w:r>
              <w:t>实际完成的绿化建设面积占租地面积的比率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绿化建设使用的年限</w:t>
            </w:r>
          </w:p>
        </w:tc>
        <w:tc>
          <w:tcPr>
            <w:tcW w:w="5386" w:type="dxa"/>
            <w:vAlign w:val="center"/>
          </w:tcPr>
          <w:p>
            <w:pPr>
              <w:pStyle w:val="12"/>
            </w:pPr>
            <w:r>
              <w:t>绿化建设使用的年限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市民对绿化建设的满意度</w:t>
            </w:r>
          </w:p>
        </w:tc>
        <w:tc>
          <w:tcPr>
            <w:tcW w:w="5386" w:type="dxa"/>
            <w:vAlign w:val="center"/>
          </w:tcPr>
          <w:p>
            <w:pPr>
              <w:pStyle w:val="12"/>
            </w:pPr>
            <w:r>
              <w:t>市民对绿化建设的满意度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25、绿化租地费相关税费绩效目标表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13011026P00156410595P</w:t>
            </w:r>
          </w:p>
        </w:tc>
        <w:tc>
          <w:tcPr>
            <w:tcW w:w="2835" w:type="dxa"/>
            <w:vAlign w:val="center"/>
          </w:tcPr>
          <w:p>
            <w:pPr>
              <w:pStyle w:val="10"/>
            </w:pPr>
            <w:r>
              <w:t>项目名称</w:t>
            </w:r>
          </w:p>
        </w:tc>
        <w:tc>
          <w:tcPr>
            <w:tcW w:w="6095" w:type="dxa"/>
            <w:gridSpan w:val="3"/>
            <w:vAlign w:val="center"/>
          </w:tcPr>
          <w:p>
            <w:pPr>
              <w:pStyle w:val="12"/>
            </w:pPr>
            <w:r>
              <w:t>绿化租地费相关税费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资金用于绿化租地费相关税费支出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1.完成3102.68亩绿化及建设租地，每亩租地费税金4.07万元，确保城区绿化的正常管护，改善城区环境，美化城市。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完成绿化租地面积的数量</w:t>
            </w:r>
          </w:p>
        </w:tc>
        <w:tc>
          <w:tcPr>
            <w:tcW w:w="5386" w:type="dxa"/>
            <w:vAlign w:val="center"/>
          </w:tcPr>
          <w:p>
            <w:pPr>
              <w:pStyle w:val="12"/>
            </w:pPr>
            <w:r>
              <w:t>完成绿化租地面积的数量</w:t>
            </w:r>
          </w:p>
        </w:tc>
        <w:tc>
          <w:tcPr>
            <w:tcW w:w="2268" w:type="dxa"/>
            <w:vAlign w:val="center"/>
          </w:tcPr>
          <w:p>
            <w:pPr>
              <w:pStyle w:val="12"/>
            </w:pPr>
            <w:r>
              <w:t>≥41.73亩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2026年财政安排</w:t>
            </w:r>
          </w:p>
        </w:tc>
        <w:tc>
          <w:tcPr>
            <w:tcW w:w="5386" w:type="dxa"/>
            <w:vAlign w:val="center"/>
          </w:tcPr>
          <w:p>
            <w:pPr>
              <w:pStyle w:val="12"/>
            </w:pPr>
            <w:r>
              <w:t>每亩租地费应缴纳税金</w:t>
            </w:r>
          </w:p>
        </w:tc>
        <w:tc>
          <w:tcPr>
            <w:tcW w:w="2268" w:type="dxa"/>
            <w:vAlign w:val="center"/>
          </w:tcPr>
          <w:p>
            <w:pPr>
              <w:pStyle w:val="12"/>
            </w:pPr>
            <w:r>
              <w:t>≤0.15万元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税金支付的完成率</w:t>
            </w:r>
          </w:p>
        </w:tc>
        <w:tc>
          <w:tcPr>
            <w:tcW w:w="5386" w:type="dxa"/>
            <w:vAlign w:val="center"/>
          </w:tcPr>
          <w:p>
            <w:pPr>
              <w:pStyle w:val="12"/>
            </w:pPr>
            <w:r>
              <w:t>实际支付的税金占应支付税金的比例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城区绿化持续的时间</w:t>
            </w:r>
          </w:p>
        </w:tc>
        <w:tc>
          <w:tcPr>
            <w:tcW w:w="5386" w:type="dxa"/>
            <w:vAlign w:val="center"/>
          </w:tcPr>
          <w:p>
            <w:pPr>
              <w:pStyle w:val="12"/>
            </w:pPr>
            <w:r>
              <w:t>确保城区绿化持续15年</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群众对绿化的满意度</w:t>
            </w:r>
          </w:p>
        </w:tc>
        <w:tc>
          <w:tcPr>
            <w:tcW w:w="5386" w:type="dxa"/>
            <w:vAlign w:val="center"/>
          </w:tcPr>
          <w:p>
            <w:pPr>
              <w:pStyle w:val="12"/>
            </w:pPr>
            <w:r>
              <w:t>群众对绿化的满意程度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26、山前大道两侧绿化租地费绩效目标表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13011026P00156410596B</w:t>
            </w:r>
          </w:p>
        </w:tc>
        <w:tc>
          <w:tcPr>
            <w:tcW w:w="2835" w:type="dxa"/>
            <w:vAlign w:val="center"/>
          </w:tcPr>
          <w:p>
            <w:pPr>
              <w:pStyle w:val="10"/>
            </w:pPr>
            <w:r>
              <w:t>项目名称</w:t>
            </w:r>
          </w:p>
        </w:tc>
        <w:tc>
          <w:tcPr>
            <w:tcW w:w="6095" w:type="dxa"/>
            <w:gridSpan w:val="3"/>
            <w:vAlign w:val="center"/>
          </w:tcPr>
          <w:p>
            <w:pPr>
              <w:pStyle w:val="12"/>
            </w:pPr>
            <w:r>
              <w:t>山前大道两侧绿化租地费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412.70</w:t>
            </w:r>
          </w:p>
        </w:tc>
        <w:tc>
          <w:tcPr>
            <w:tcW w:w="2835" w:type="dxa"/>
            <w:vAlign w:val="center"/>
          </w:tcPr>
          <w:p>
            <w:pPr>
              <w:pStyle w:val="10"/>
            </w:pPr>
            <w:r>
              <w:t>其中：财政    资金</w:t>
            </w:r>
          </w:p>
        </w:tc>
        <w:tc>
          <w:tcPr>
            <w:tcW w:w="2551" w:type="dxa"/>
            <w:vAlign w:val="center"/>
          </w:tcPr>
          <w:p>
            <w:pPr>
              <w:pStyle w:val="12"/>
            </w:pPr>
            <w:r>
              <w:t>412.70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资金用于山前大道两侧绿化租地支出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1.完成山前大道两侧绿地面积4100.6亩的租用，美化环境提升城市品味。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绿化租地面积的数量</w:t>
            </w:r>
          </w:p>
        </w:tc>
        <w:tc>
          <w:tcPr>
            <w:tcW w:w="5386" w:type="dxa"/>
            <w:vAlign w:val="center"/>
          </w:tcPr>
          <w:p>
            <w:pPr>
              <w:pStyle w:val="12"/>
            </w:pPr>
            <w:r>
              <w:t>完成绿化租地的数量</w:t>
            </w:r>
          </w:p>
        </w:tc>
        <w:tc>
          <w:tcPr>
            <w:tcW w:w="2268" w:type="dxa"/>
            <w:vAlign w:val="center"/>
          </w:tcPr>
          <w:p>
            <w:pPr>
              <w:pStyle w:val="12"/>
            </w:pPr>
            <w:r>
              <w:t>≤4100.6亩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租地补偿费发放标准达标率</w:t>
            </w:r>
          </w:p>
        </w:tc>
        <w:tc>
          <w:tcPr>
            <w:tcW w:w="5386" w:type="dxa"/>
            <w:vAlign w:val="center"/>
          </w:tcPr>
          <w:p>
            <w:pPr>
              <w:pStyle w:val="12"/>
            </w:pPr>
            <w:r>
              <w:t>补偿费发放标准达标率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租地费支付的期限</w:t>
            </w:r>
          </w:p>
        </w:tc>
        <w:tc>
          <w:tcPr>
            <w:tcW w:w="5386" w:type="dxa"/>
            <w:vAlign w:val="center"/>
          </w:tcPr>
          <w:p>
            <w:pPr>
              <w:pStyle w:val="12"/>
            </w:pPr>
            <w:r>
              <w:t>每年租地费用支付按合同约定期限</w:t>
            </w:r>
          </w:p>
        </w:tc>
        <w:tc>
          <w:tcPr>
            <w:tcW w:w="2268" w:type="dxa"/>
            <w:vAlign w:val="center"/>
          </w:tcPr>
          <w:p>
            <w:pPr>
              <w:pStyle w:val="12"/>
            </w:pPr>
            <w:r>
              <w:t>合同约定的期限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绿化租地费的补贴标准</w:t>
            </w:r>
          </w:p>
        </w:tc>
        <w:tc>
          <w:tcPr>
            <w:tcW w:w="5386" w:type="dxa"/>
            <w:vAlign w:val="center"/>
          </w:tcPr>
          <w:p>
            <w:pPr>
              <w:pStyle w:val="12"/>
            </w:pPr>
            <w:r>
              <w:t>绿化租地费每亩的补贴标准</w:t>
            </w:r>
          </w:p>
        </w:tc>
        <w:tc>
          <w:tcPr>
            <w:tcW w:w="2268" w:type="dxa"/>
            <w:vAlign w:val="center"/>
          </w:tcPr>
          <w:p>
            <w:pPr>
              <w:pStyle w:val="12"/>
            </w:pPr>
            <w:r>
              <w:t>1440元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山前大道绿化建设持续的时间</w:t>
            </w:r>
          </w:p>
        </w:tc>
        <w:tc>
          <w:tcPr>
            <w:tcW w:w="5386" w:type="dxa"/>
            <w:vAlign w:val="center"/>
          </w:tcPr>
          <w:p>
            <w:pPr>
              <w:pStyle w:val="12"/>
            </w:pPr>
            <w:r>
              <w:t>山前大道绿化建设持续的时间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完成租地面积的绿化建设完成率</w:t>
            </w:r>
          </w:p>
        </w:tc>
        <w:tc>
          <w:tcPr>
            <w:tcW w:w="5386" w:type="dxa"/>
            <w:vAlign w:val="center"/>
          </w:tcPr>
          <w:p>
            <w:pPr>
              <w:pStyle w:val="12"/>
            </w:pPr>
            <w:r>
              <w:t>实际完成的绿化建设面积占租地面积的比率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市民对山前大道绿化建设的满意度</w:t>
            </w:r>
          </w:p>
        </w:tc>
        <w:tc>
          <w:tcPr>
            <w:tcW w:w="5386" w:type="dxa"/>
            <w:vAlign w:val="center"/>
          </w:tcPr>
          <w:p>
            <w:pPr>
              <w:pStyle w:val="12"/>
            </w:pPr>
            <w:r>
              <w:t>市民对山前大道绿化建设的满意程度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27、市政基础设施改造提升工程（2021Z）绩效目标表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13011026P00162110048J</w:t>
            </w:r>
          </w:p>
        </w:tc>
        <w:tc>
          <w:tcPr>
            <w:tcW w:w="2835" w:type="dxa"/>
            <w:vAlign w:val="center"/>
          </w:tcPr>
          <w:p>
            <w:pPr>
              <w:pStyle w:val="10"/>
            </w:pPr>
            <w:r>
              <w:t>项目名称</w:t>
            </w:r>
          </w:p>
        </w:tc>
        <w:tc>
          <w:tcPr>
            <w:tcW w:w="6095" w:type="dxa"/>
            <w:gridSpan w:val="3"/>
            <w:vAlign w:val="center"/>
          </w:tcPr>
          <w:p>
            <w:pPr>
              <w:pStyle w:val="12"/>
            </w:pPr>
            <w:r>
              <w:t>市政基础设施改造提升工程（2021Z）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187.52</w:t>
            </w:r>
          </w:p>
        </w:tc>
        <w:tc>
          <w:tcPr>
            <w:tcW w:w="2835" w:type="dxa"/>
            <w:vAlign w:val="center"/>
          </w:tcPr>
          <w:p>
            <w:pPr>
              <w:pStyle w:val="10"/>
            </w:pPr>
            <w:r>
              <w:t>其中：财政    资金</w:t>
            </w:r>
          </w:p>
        </w:tc>
        <w:tc>
          <w:tcPr>
            <w:tcW w:w="2551" w:type="dxa"/>
            <w:vAlign w:val="center"/>
          </w:tcPr>
          <w:p>
            <w:pPr>
              <w:pStyle w:val="12"/>
            </w:pPr>
            <w:r>
              <w:t>187.52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资金用于支付市政基础设施改造提升工程支出。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1.完成2.8万平方米的路面维修及1400米的雨水管道的安装，方便市民出行，改善交通条件。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完成路面改造面积的数量</w:t>
            </w:r>
          </w:p>
        </w:tc>
        <w:tc>
          <w:tcPr>
            <w:tcW w:w="5386" w:type="dxa"/>
            <w:vAlign w:val="center"/>
          </w:tcPr>
          <w:p>
            <w:pPr>
              <w:pStyle w:val="12"/>
            </w:pPr>
            <w:r>
              <w:t>完成路面改造面积的数量</w:t>
            </w:r>
          </w:p>
        </w:tc>
        <w:tc>
          <w:tcPr>
            <w:tcW w:w="2268" w:type="dxa"/>
            <w:vAlign w:val="center"/>
          </w:tcPr>
          <w:p>
            <w:pPr>
              <w:pStyle w:val="12"/>
            </w:pPr>
            <w:r>
              <w:t>≥2.8万平方米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完成雨水管道铺设的数量</w:t>
            </w:r>
          </w:p>
        </w:tc>
        <w:tc>
          <w:tcPr>
            <w:tcW w:w="5386" w:type="dxa"/>
            <w:vAlign w:val="center"/>
          </w:tcPr>
          <w:p>
            <w:pPr>
              <w:pStyle w:val="12"/>
            </w:pPr>
            <w:r>
              <w:t>完成雨水管道铺设安装长度的数量</w:t>
            </w:r>
          </w:p>
        </w:tc>
        <w:tc>
          <w:tcPr>
            <w:tcW w:w="2268" w:type="dxa"/>
            <w:vAlign w:val="center"/>
          </w:tcPr>
          <w:p>
            <w:pPr>
              <w:pStyle w:val="12"/>
            </w:pPr>
            <w:r>
              <w:t>≥1400米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工程建设总成本</w:t>
            </w:r>
          </w:p>
        </w:tc>
        <w:tc>
          <w:tcPr>
            <w:tcW w:w="5386" w:type="dxa"/>
            <w:vAlign w:val="center"/>
          </w:tcPr>
          <w:p>
            <w:pPr>
              <w:pStyle w:val="12"/>
            </w:pPr>
            <w:r>
              <w:t>总工程的建设、改造和修缮成本等</w:t>
            </w:r>
          </w:p>
        </w:tc>
        <w:tc>
          <w:tcPr>
            <w:tcW w:w="2268" w:type="dxa"/>
            <w:vAlign w:val="center"/>
          </w:tcPr>
          <w:p>
            <w:pPr>
              <w:pStyle w:val="12"/>
            </w:pPr>
            <w:r>
              <w:t>≤1260万元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方便市民出行，改善交通条件</w:t>
            </w:r>
          </w:p>
        </w:tc>
        <w:tc>
          <w:tcPr>
            <w:tcW w:w="5386" w:type="dxa"/>
            <w:vAlign w:val="center"/>
          </w:tcPr>
          <w:p>
            <w:pPr>
              <w:pStyle w:val="12"/>
            </w:pPr>
            <w:r>
              <w:t>方便市民出行，改善交通条件</w:t>
            </w:r>
          </w:p>
        </w:tc>
        <w:tc>
          <w:tcPr>
            <w:tcW w:w="2268" w:type="dxa"/>
            <w:vAlign w:val="center"/>
          </w:tcPr>
          <w:p>
            <w:pPr>
              <w:pStyle w:val="12"/>
            </w:pPr>
            <w:r>
              <w:t>方便出行 改善条件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维修改造后使用的年限</w:t>
            </w:r>
          </w:p>
        </w:tc>
        <w:tc>
          <w:tcPr>
            <w:tcW w:w="5386" w:type="dxa"/>
            <w:vAlign w:val="center"/>
          </w:tcPr>
          <w:p>
            <w:pPr>
              <w:pStyle w:val="12"/>
            </w:pPr>
            <w:r>
              <w:t>维修改造后使用的年限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市民对维修改造的满意度</w:t>
            </w:r>
          </w:p>
        </w:tc>
        <w:tc>
          <w:tcPr>
            <w:tcW w:w="5386" w:type="dxa"/>
            <w:vAlign w:val="center"/>
          </w:tcPr>
          <w:p>
            <w:pPr>
              <w:pStyle w:val="12"/>
            </w:pPr>
            <w:r>
              <w:t>市民对维修改造的满意度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28、市政设施改造提升工程绩效目标表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13011026P00156410640K</w:t>
            </w:r>
          </w:p>
        </w:tc>
        <w:tc>
          <w:tcPr>
            <w:tcW w:w="2835" w:type="dxa"/>
            <w:vAlign w:val="center"/>
          </w:tcPr>
          <w:p>
            <w:pPr>
              <w:pStyle w:val="10"/>
            </w:pPr>
            <w:r>
              <w:t>项目名称</w:t>
            </w:r>
          </w:p>
        </w:tc>
        <w:tc>
          <w:tcPr>
            <w:tcW w:w="6095" w:type="dxa"/>
            <w:gridSpan w:val="3"/>
            <w:vAlign w:val="center"/>
          </w:tcPr>
          <w:p>
            <w:pPr>
              <w:pStyle w:val="12"/>
            </w:pPr>
            <w:r>
              <w:t>市政设施改造提升工程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0.96</w:t>
            </w:r>
          </w:p>
        </w:tc>
        <w:tc>
          <w:tcPr>
            <w:tcW w:w="2835" w:type="dxa"/>
            <w:vAlign w:val="center"/>
          </w:tcPr>
          <w:p>
            <w:pPr>
              <w:pStyle w:val="10"/>
            </w:pPr>
            <w:r>
              <w:t>其中：财政    资金</w:t>
            </w:r>
          </w:p>
        </w:tc>
        <w:tc>
          <w:tcPr>
            <w:tcW w:w="2551" w:type="dxa"/>
            <w:vAlign w:val="center"/>
          </w:tcPr>
          <w:p>
            <w:pPr>
              <w:pStyle w:val="12"/>
            </w:pPr>
            <w:r>
              <w:t>0.96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资金用于市政基础设施改造提升工程支出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1.完成2.8万平方米的路面维修及1400米的雨水管道的安装，方便市民出行，改善交通条件。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完成路面改造面积的数量</w:t>
            </w:r>
          </w:p>
        </w:tc>
        <w:tc>
          <w:tcPr>
            <w:tcW w:w="5386" w:type="dxa"/>
            <w:vAlign w:val="center"/>
          </w:tcPr>
          <w:p>
            <w:pPr>
              <w:pStyle w:val="12"/>
            </w:pPr>
            <w:r>
              <w:t>完成路面改造面积的数量</w:t>
            </w:r>
          </w:p>
        </w:tc>
        <w:tc>
          <w:tcPr>
            <w:tcW w:w="2268" w:type="dxa"/>
            <w:vAlign w:val="center"/>
          </w:tcPr>
          <w:p>
            <w:pPr>
              <w:pStyle w:val="12"/>
            </w:pPr>
            <w:r>
              <w:t>≥2.8万平方米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完成雨水管道铺设的数量</w:t>
            </w:r>
          </w:p>
        </w:tc>
        <w:tc>
          <w:tcPr>
            <w:tcW w:w="5386" w:type="dxa"/>
            <w:vAlign w:val="center"/>
          </w:tcPr>
          <w:p>
            <w:pPr>
              <w:pStyle w:val="12"/>
            </w:pPr>
            <w:r>
              <w:t>完成雨水管道铺设安装长度的数量</w:t>
            </w:r>
          </w:p>
        </w:tc>
        <w:tc>
          <w:tcPr>
            <w:tcW w:w="2268" w:type="dxa"/>
            <w:vAlign w:val="center"/>
          </w:tcPr>
          <w:p>
            <w:pPr>
              <w:pStyle w:val="12"/>
            </w:pPr>
            <w:r>
              <w:t>≥1400米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实际完成的工程量占计划完成工程量的比率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工程建设总成本</w:t>
            </w:r>
          </w:p>
        </w:tc>
        <w:tc>
          <w:tcPr>
            <w:tcW w:w="5386" w:type="dxa"/>
            <w:vAlign w:val="center"/>
          </w:tcPr>
          <w:p>
            <w:pPr>
              <w:pStyle w:val="12"/>
            </w:pPr>
            <w:r>
              <w:t>总工程的建设、改造和修缮成本等</w:t>
            </w:r>
          </w:p>
        </w:tc>
        <w:tc>
          <w:tcPr>
            <w:tcW w:w="2268" w:type="dxa"/>
            <w:vAlign w:val="center"/>
          </w:tcPr>
          <w:p>
            <w:pPr>
              <w:pStyle w:val="12"/>
            </w:pPr>
            <w:r>
              <w:t>≤1260万元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方便市民出行，改善交通条件</w:t>
            </w:r>
          </w:p>
        </w:tc>
        <w:tc>
          <w:tcPr>
            <w:tcW w:w="5386" w:type="dxa"/>
            <w:vAlign w:val="center"/>
          </w:tcPr>
          <w:p>
            <w:pPr>
              <w:pStyle w:val="12"/>
            </w:pPr>
            <w:r>
              <w:t>方便市民出行，改善交通条件</w:t>
            </w:r>
          </w:p>
        </w:tc>
        <w:tc>
          <w:tcPr>
            <w:tcW w:w="2268" w:type="dxa"/>
            <w:vAlign w:val="center"/>
          </w:tcPr>
          <w:p>
            <w:pPr>
              <w:pStyle w:val="12"/>
            </w:pPr>
            <w:r>
              <w:t>方便出行 改善条件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维修改造后使用的年限</w:t>
            </w:r>
          </w:p>
        </w:tc>
        <w:tc>
          <w:tcPr>
            <w:tcW w:w="5386" w:type="dxa"/>
            <w:vAlign w:val="center"/>
          </w:tcPr>
          <w:p>
            <w:pPr>
              <w:pStyle w:val="12"/>
            </w:pPr>
            <w:r>
              <w:t>维修改造后使用的年限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市民对维修改造的满意度</w:t>
            </w:r>
          </w:p>
        </w:tc>
        <w:tc>
          <w:tcPr>
            <w:tcW w:w="5386" w:type="dxa"/>
            <w:vAlign w:val="center"/>
          </w:tcPr>
          <w:p>
            <w:pPr>
              <w:pStyle w:val="12"/>
            </w:pPr>
            <w:r>
              <w:t>市民对维修改造的满意度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29、寺家庄供热应急接管资金绩效目标表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13011026P00156410628Q</w:t>
            </w:r>
          </w:p>
        </w:tc>
        <w:tc>
          <w:tcPr>
            <w:tcW w:w="2835" w:type="dxa"/>
            <w:vAlign w:val="center"/>
          </w:tcPr>
          <w:p>
            <w:pPr>
              <w:pStyle w:val="10"/>
            </w:pPr>
            <w:r>
              <w:t>项目名称</w:t>
            </w:r>
          </w:p>
        </w:tc>
        <w:tc>
          <w:tcPr>
            <w:tcW w:w="6095" w:type="dxa"/>
            <w:gridSpan w:val="3"/>
            <w:vAlign w:val="center"/>
          </w:tcPr>
          <w:p>
            <w:pPr>
              <w:pStyle w:val="12"/>
            </w:pPr>
            <w:r>
              <w:t>寺家庄供热应急接管资金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资金用于寺家庄供热应急接管支出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1.完成寺家庄区域18万</w:t>
            </w:r>
            <w:r>
              <w:rPr>
                <w:rFonts w:hint="eastAsia"/>
                <w:lang w:eastAsia="zh-CN"/>
              </w:rPr>
              <w:t>平方米</w:t>
            </w:r>
            <w:r>
              <w:t>正常供热，确保居民冬季正常取暖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完成居民供热面积的数量</w:t>
            </w:r>
          </w:p>
        </w:tc>
        <w:tc>
          <w:tcPr>
            <w:tcW w:w="5386" w:type="dxa"/>
            <w:vAlign w:val="center"/>
          </w:tcPr>
          <w:p>
            <w:pPr>
              <w:pStyle w:val="12"/>
            </w:pPr>
            <w:r>
              <w:t>完成居民供热面积数量</w:t>
            </w:r>
          </w:p>
        </w:tc>
        <w:tc>
          <w:tcPr>
            <w:tcW w:w="2268" w:type="dxa"/>
            <w:vAlign w:val="center"/>
          </w:tcPr>
          <w:p>
            <w:pPr>
              <w:pStyle w:val="12"/>
            </w:pPr>
            <w:r>
              <w:t>≤18万平方米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每平方米的补贴成本</w:t>
            </w:r>
          </w:p>
        </w:tc>
        <w:tc>
          <w:tcPr>
            <w:tcW w:w="5386" w:type="dxa"/>
            <w:vAlign w:val="center"/>
          </w:tcPr>
          <w:p>
            <w:pPr>
              <w:pStyle w:val="12"/>
            </w:pPr>
            <w:r>
              <w:t>每平方米的补贴成本</w:t>
            </w:r>
          </w:p>
        </w:tc>
        <w:tc>
          <w:tcPr>
            <w:tcW w:w="2268" w:type="dxa"/>
            <w:vAlign w:val="center"/>
          </w:tcPr>
          <w:p>
            <w:pPr>
              <w:pStyle w:val="12"/>
            </w:pPr>
            <w:r>
              <w:t>≤7.86元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供热完成及时率</w:t>
            </w:r>
          </w:p>
        </w:tc>
        <w:tc>
          <w:tcPr>
            <w:tcW w:w="5386" w:type="dxa"/>
            <w:vAlign w:val="center"/>
          </w:tcPr>
          <w:p>
            <w:pPr>
              <w:pStyle w:val="12"/>
            </w:pPr>
            <w:r>
              <w:t>及时完成供热面积占供热面积的比率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供热达标率</w:t>
            </w:r>
          </w:p>
        </w:tc>
        <w:tc>
          <w:tcPr>
            <w:tcW w:w="5386" w:type="dxa"/>
            <w:vAlign w:val="center"/>
          </w:tcPr>
          <w:p>
            <w:pPr>
              <w:pStyle w:val="12"/>
            </w:pPr>
            <w:r>
              <w:t>供热达标率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供热持续影响的时间</w:t>
            </w:r>
          </w:p>
        </w:tc>
        <w:tc>
          <w:tcPr>
            <w:tcW w:w="5386" w:type="dxa"/>
            <w:vAlign w:val="center"/>
          </w:tcPr>
          <w:p>
            <w:pPr>
              <w:pStyle w:val="12"/>
            </w:pPr>
            <w:r>
              <w:t>供热持续影响的时间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确保居民冬季正常取暖</w:t>
            </w:r>
          </w:p>
        </w:tc>
        <w:tc>
          <w:tcPr>
            <w:tcW w:w="5386" w:type="dxa"/>
            <w:vAlign w:val="center"/>
          </w:tcPr>
          <w:p>
            <w:pPr>
              <w:pStyle w:val="12"/>
            </w:pPr>
            <w:r>
              <w:t>确保居民冬季正常取暖</w:t>
            </w:r>
          </w:p>
        </w:tc>
        <w:tc>
          <w:tcPr>
            <w:tcW w:w="2268" w:type="dxa"/>
            <w:vAlign w:val="center"/>
          </w:tcPr>
          <w:p>
            <w:pPr>
              <w:pStyle w:val="12"/>
            </w:pPr>
            <w:r>
              <w:t>确保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居民用热户对供热的满意度</w:t>
            </w:r>
          </w:p>
        </w:tc>
        <w:tc>
          <w:tcPr>
            <w:tcW w:w="5386" w:type="dxa"/>
            <w:vAlign w:val="center"/>
          </w:tcPr>
          <w:p>
            <w:pPr>
              <w:pStyle w:val="12"/>
            </w:pPr>
            <w:r>
              <w:t>居民用热户对供热的满意度</w:t>
            </w:r>
          </w:p>
        </w:tc>
        <w:tc>
          <w:tcPr>
            <w:tcW w:w="2268" w:type="dxa"/>
            <w:vAlign w:val="center"/>
          </w:tcPr>
          <w:p>
            <w:pPr>
              <w:pStyle w:val="12"/>
            </w:pPr>
            <w:r>
              <w:t>≥96%</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30、玉石西路（翠屏大街至石井桥） 雨污水改造工程绩效目标表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13011026P001564106417</w:t>
            </w:r>
          </w:p>
        </w:tc>
        <w:tc>
          <w:tcPr>
            <w:tcW w:w="2835" w:type="dxa"/>
            <w:vAlign w:val="center"/>
          </w:tcPr>
          <w:p>
            <w:pPr>
              <w:pStyle w:val="10"/>
            </w:pPr>
            <w:r>
              <w:t>项目名称</w:t>
            </w:r>
          </w:p>
        </w:tc>
        <w:tc>
          <w:tcPr>
            <w:tcW w:w="6095" w:type="dxa"/>
            <w:gridSpan w:val="3"/>
            <w:vAlign w:val="center"/>
          </w:tcPr>
          <w:p>
            <w:pPr>
              <w:pStyle w:val="12"/>
            </w:pPr>
            <w:r>
              <w:t>玉石西路（翠屏大街至石井桥） 雨污水改造工程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4.04</w:t>
            </w:r>
          </w:p>
        </w:tc>
        <w:tc>
          <w:tcPr>
            <w:tcW w:w="2835" w:type="dxa"/>
            <w:vAlign w:val="center"/>
          </w:tcPr>
          <w:p>
            <w:pPr>
              <w:pStyle w:val="10"/>
            </w:pPr>
            <w:r>
              <w:t>其中：财政    资金</w:t>
            </w:r>
          </w:p>
        </w:tc>
        <w:tc>
          <w:tcPr>
            <w:tcW w:w="2551" w:type="dxa"/>
            <w:vAlign w:val="center"/>
          </w:tcPr>
          <w:p>
            <w:pPr>
              <w:pStyle w:val="12"/>
            </w:pPr>
            <w:r>
              <w:t>4.04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资金用于玉石西路雨污水改造项目支出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1.完成直径600雨水管道780m的铺设，新装路灯等23套，改善环境。</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铺设DN600雨水管道数量</w:t>
            </w:r>
          </w:p>
        </w:tc>
        <w:tc>
          <w:tcPr>
            <w:tcW w:w="5386" w:type="dxa"/>
            <w:vAlign w:val="center"/>
          </w:tcPr>
          <w:p>
            <w:pPr>
              <w:pStyle w:val="12"/>
            </w:pPr>
            <w:r>
              <w:t>铺设DN600雨水管道数量</w:t>
            </w:r>
          </w:p>
        </w:tc>
        <w:tc>
          <w:tcPr>
            <w:tcW w:w="2268" w:type="dxa"/>
            <w:vAlign w:val="center"/>
          </w:tcPr>
          <w:p>
            <w:pPr>
              <w:pStyle w:val="12"/>
            </w:pPr>
            <w:r>
              <w:t>≥780米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路面恢复面积的数量</w:t>
            </w:r>
          </w:p>
        </w:tc>
        <w:tc>
          <w:tcPr>
            <w:tcW w:w="5386" w:type="dxa"/>
            <w:vAlign w:val="center"/>
          </w:tcPr>
          <w:p>
            <w:pPr>
              <w:pStyle w:val="12"/>
            </w:pPr>
            <w:r>
              <w:t>路面恢复面积的数量</w:t>
            </w:r>
          </w:p>
        </w:tc>
        <w:tc>
          <w:tcPr>
            <w:tcW w:w="2268" w:type="dxa"/>
            <w:vAlign w:val="center"/>
          </w:tcPr>
          <w:p>
            <w:pPr>
              <w:pStyle w:val="12"/>
            </w:pPr>
            <w:r>
              <w:t>≥6000平方米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雨污水管网改造的成本</w:t>
            </w:r>
          </w:p>
        </w:tc>
        <w:tc>
          <w:tcPr>
            <w:tcW w:w="5386" w:type="dxa"/>
            <w:vAlign w:val="center"/>
          </w:tcPr>
          <w:p>
            <w:pPr>
              <w:pStyle w:val="12"/>
            </w:pPr>
            <w:r>
              <w:t>雨污水管网改造的成本</w:t>
            </w:r>
          </w:p>
        </w:tc>
        <w:tc>
          <w:tcPr>
            <w:tcW w:w="2268" w:type="dxa"/>
            <w:vAlign w:val="center"/>
          </w:tcPr>
          <w:p>
            <w:pPr>
              <w:pStyle w:val="12"/>
            </w:pPr>
            <w:r>
              <w:t>≤386.25万元</w:t>
            </w:r>
          </w:p>
        </w:tc>
        <w:tc>
          <w:tcPr>
            <w:tcW w:w="1276" w:type="dxa"/>
            <w:vAlign w:val="center"/>
          </w:tcPr>
          <w:p>
            <w:pPr>
              <w:pStyle w:val="12"/>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完善市政设施，改善雨季路面积水</w:t>
            </w:r>
          </w:p>
        </w:tc>
        <w:tc>
          <w:tcPr>
            <w:tcW w:w="5386" w:type="dxa"/>
            <w:vAlign w:val="center"/>
          </w:tcPr>
          <w:p>
            <w:pPr>
              <w:pStyle w:val="12"/>
            </w:pPr>
            <w:r>
              <w:t>完善市政设施，改善雨季路面积水</w:t>
            </w:r>
          </w:p>
        </w:tc>
        <w:tc>
          <w:tcPr>
            <w:tcW w:w="2268" w:type="dxa"/>
            <w:vAlign w:val="center"/>
          </w:tcPr>
          <w:p>
            <w:pPr>
              <w:pStyle w:val="12"/>
            </w:pPr>
            <w:r>
              <w:t>改善雨季路面积水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雨污水管网的使用期限</w:t>
            </w:r>
          </w:p>
        </w:tc>
        <w:tc>
          <w:tcPr>
            <w:tcW w:w="5386" w:type="dxa"/>
            <w:vAlign w:val="center"/>
          </w:tcPr>
          <w:p>
            <w:pPr>
              <w:pStyle w:val="12"/>
            </w:pPr>
            <w:r>
              <w:t>雨污水管网的使用期限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市民对雨污水管网改造的满意度</w:t>
            </w:r>
          </w:p>
        </w:tc>
        <w:tc>
          <w:tcPr>
            <w:tcW w:w="5386" w:type="dxa"/>
            <w:vAlign w:val="center"/>
          </w:tcPr>
          <w:p>
            <w:pPr>
              <w:pStyle w:val="12"/>
            </w:pPr>
            <w:r>
              <w:t>市民对雨污水管网改造的满意度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31、玉石西路（向阳街至石井桥）雨污水改造工程（2021Z）绩效目标表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13011026P00162110062L</w:t>
            </w:r>
          </w:p>
        </w:tc>
        <w:tc>
          <w:tcPr>
            <w:tcW w:w="2835" w:type="dxa"/>
            <w:vAlign w:val="center"/>
          </w:tcPr>
          <w:p>
            <w:pPr>
              <w:pStyle w:val="10"/>
            </w:pPr>
            <w:r>
              <w:t>项目名称</w:t>
            </w:r>
          </w:p>
        </w:tc>
        <w:tc>
          <w:tcPr>
            <w:tcW w:w="6095" w:type="dxa"/>
            <w:gridSpan w:val="3"/>
            <w:vAlign w:val="center"/>
          </w:tcPr>
          <w:p>
            <w:pPr>
              <w:pStyle w:val="12"/>
            </w:pPr>
            <w:r>
              <w:t>玉石西路（向阳街至石井桥）雨污水改造工程（2021Z）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62.58</w:t>
            </w:r>
          </w:p>
        </w:tc>
        <w:tc>
          <w:tcPr>
            <w:tcW w:w="2835" w:type="dxa"/>
            <w:vAlign w:val="center"/>
          </w:tcPr>
          <w:p>
            <w:pPr>
              <w:pStyle w:val="10"/>
            </w:pPr>
            <w:r>
              <w:t>其中：财政    资金</w:t>
            </w:r>
          </w:p>
        </w:tc>
        <w:tc>
          <w:tcPr>
            <w:tcW w:w="2551" w:type="dxa"/>
            <w:vAlign w:val="center"/>
          </w:tcPr>
          <w:p>
            <w:pPr>
              <w:pStyle w:val="12"/>
            </w:pPr>
            <w:r>
              <w:t>62.58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资金用于玉石西路（向阳街至石井桥）雨污水改造工程支出。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1.完成直径600雨水管道780m的铺设，铺装沥青混凝土路面及道路两侧便道6000m2，新装路灯等23套，改善环境。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铺设DN600雨水管道数量</w:t>
            </w:r>
          </w:p>
        </w:tc>
        <w:tc>
          <w:tcPr>
            <w:tcW w:w="5386" w:type="dxa"/>
            <w:vAlign w:val="center"/>
          </w:tcPr>
          <w:p>
            <w:pPr>
              <w:pStyle w:val="12"/>
            </w:pPr>
            <w:r>
              <w:t>铺设DN600雨水管道数量</w:t>
            </w:r>
          </w:p>
        </w:tc>
        <w:tc>
          <w:tcPr>
            <w:tcW w:w="2268" w:type="dxa"/>
            <w:vAlign w:val="center"/>
          </w:tcPr>
          <w:p>
            <w:pPr>
              <w:pStyle w:val="12"/>
            </w:pPr>
            <w:r>
              <w:t>≥780米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路面恢复面积的数量</w:t>
            </w:r>
          </w:p>
        </w:tc>
        <w:tc>
          <w:tcPr>
            <w:tcW w:w="5386" w:type="dxa"/>
            <w:vAlign w:val="center"/>
          </w:tcPr>
          <w:p>
            <w:pPr>
              <w:pStyle w:val="12"/>
            </w:pPr>
            <w:r>
              <w:t>路面恢复面积的数量</w:t>
            </w:r>
          </w:p>
        </w:tc>
        <w:tc>
          <w:tcPr>
            <w:tcW w:w="2268" w:type="dxa"/>
            <w:vAlign w:val="center"/>
          </w:tcPr>
          <w:p>
            <w:pPr>
              <w:pStyle w:val="12"/>
            </w:pPr>
            <w:r>
              <w:t>≥6000平方米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雨污水管网改造的成本</w:t>
            </w:r>
          </w:p>
        </w:tc>
        <w:tc>
          <w:tcPr>
            <w:tcW w:w="5386" w:type="dxa"/>
            <w:vAlign w:val="center"/>
          </w:tcPr>
          <w:p>
            <w:pPr>
              <w:pStyle w:val="12"/>
            </w:pPr>
            <w:r>
              <w:t>雨污水管网改造的成本</w:t>
            </w:r>
          </w:p>
        </w:tc>
        <w:tc>
          <w:tcPr>
            <w:tcW w:w="2268" w:type="dxa"/>
            <w:vAlign w:val="center"/>
          </w:tcPr>
          <w:p>
            <w:pPr>
              <w:pStyle w:val="12"/>
            </w:pPr>
            <w:r>
              <w:t>≤358.63万元</w:t>
            </w:r>
          </w:p>
        </w:tc>
        <w:tc>
          <w:tcPr>
            <w:tcW w:w="1276" w:type="dxa"/>
            <w:vAlign w:val="center"/>
          </w:tcPr>
          <w:p>
            <w:pPr>
              <w:pStyle w:val="12"/>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完善市政设施，改善雨季路面积水</w:t>
            </w:r>
          </w:p>
        </w:tc>
        <w:tc>
          <w:tcPr>
            <w:tcW w:w="5386" w:type="dxa"/>
            <w:vAlign w:val="center"/>
          </w:tcPr>
          <w:p>
            <w:pPr>
              <w:pStyle w:val="12"/>
            </w:pPr>
            <w:r>
              <w:t>完善市政设施，改善雨季路面积水</w:t>
            </w:r>
          </w:p>
        </w:tc>
        <w:tc>
          <w:tcPr>
            <w:tcW w:w="2268" w:type="dxa"/>
            <w:vAlign w:val="center"/>
          </w:tcPr>
          <w:p>
            <w:pPr>
              <w:pStyle w:val="12"/>
            </w:pPr>
            <w:r>
              <w:t>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雨污水管网的使用期限</w:t>
            </w:r>
          </w:p>
        </w:tc>
        <w:tc>
          <w:tcPr>
            <w:tcW w:w="5386" w:type="dxa"/>
            <w:vAlign w:val="center"/>
          </w:tcPr>
          <w:p>
            <w:pPr>
              <w:pStyle w:val="12"/>
            </w:pPr>
            <w:r>
              <w:t>雨污水管网的使用期限</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市民对雨污水管网改造的满意度</w:t>
            </w:r>
          </w:p>
        </w:tc>
        <w:tc>
          <w:tcPr>
            <w:tcW w:w="5386" w:type="dxa"/>
            <w:vAlign w:val="center"/>
          </w:tcPr>
          <w:p>
            <w:pPr>
              <w:pStyle w:val="12"/>
            </w:pPr>
            <w:r>
              <w:t>市民对雨污水管网改造的满意度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13011026P00156410602B</w:t>
            </w:r>
          </w:p>
        </w:tc>
        <w:tc>
          <w:tcPr>
            <w:tcW w:w="2835" w:type="dxa"/>
            <w:vAlign w:val="center"/>
          </w:tcPr>
          <w:p>
            <w:pPr>
              <w:pStyle w:val="10"/>
            </w:pPr>
            <w:r>
              <w:t>项目名称</w:t>
            </w:r>
          </w:p>
        </w:tc>
        <w:tc>
          <w:tcPr>
            <w:tcW w:w="6095" w:type="dxa"/>
            <w:gridSpan w:val="3"/>
            <w:vAlign w:val="center"/>
          </w:tcPr>
          <w:p>
            <w:pPr>
              <w:pStyle w:val="12"/>
            </w:pPr>
            <w:r>
              <w:t>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资金用于法律咨询及公务用车租赁等的支出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完成2026年度法律咨询和公务车租赁工作，确保工作正常开展。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租赁公务车的数量</w:t>
            </w:r>
          </w:p>
        </w:tc>
        <w:tc>
          <w:tcPr>
            <w:tcW w:w="5386" w:type="dxa"/>
            <w:vAlign w:val="center"/>
          </w:tcPr>
          <w:p>
            <w:pPr>
              <w:pStyle w:val="12"/>
            </w:pPr>
            <w:r>
              <w:t>租赁公务车的数量</w:t>
            </w:r>
          </w:p>
        </w:tc>
        <w:tc>
          <w:tcPr>
            <w:tcW w:w="2268" w:type="dxa"/>
            <w:vAlign w:val="center"/>
          </w:tcPr>
          <w:p>
            <w:pPr>
              <w:pStyle w:val="12"/>
            </w:pPr>
            <w:r>
              <w:t>1辆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法律咨询服务的按时完成率</w:t>
            </w:r>
          </w:p>
        </w:tc>
        <w:tc>
          <w:tcPr>
            <w:tcW w:w="5386" w:type="dxa"/>
            <w:vAlign w:val="center"/>
          </w:tcPr>
          <w:p>
            <w:pPr>
              <w:pStyle w:val="12"/>
            </w:pPr>
            <w:r>
              <w:t>法律咨询服务按时完成的次数占咨询总次数的比率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法律咨询服务的合格率</w:t>
            </w:r>
          </w:p>
        </w:tc>
        <w:tc>
          <w:tcPr>
            <w:tcW w:w="5386" w:type="dxa"/>
            <w:vAlign w:val="center"/>
          </w:tcPr>
          <w:p>
            <w:pPr>
              <w:pStyle w:val="12"/>
            </w:pPr>
            <w:r>
              <w:t>法律咨询服务合格的次数占咨询总次数的比率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租赁车辆的年度租赁费</w:t>
            </w:r>
          </w:p>
        </w:tc>
        <w:tc>
          <w:tcPr>
            <w:tcW w:w="5386" w:type="dxa"/>
            <w:vAlign w:val="center"/>
          </w:tcPr>
          <w:p>
            <w:pPr>
              <w:pStyle w:val="12"/>
            </w:pPr>
            <w:r>
              <w:t>租赁车辆的年度租赁费</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法律咨询业务开展的次数</w:t>
            </w:r>
          </w:p>
        </w:tc>
        <w:tc>
          <w:tcPr>
            <w:tcW w:w="5386" w:type="dxa"/>
            <w:vAlign w:val="center"/>
          </w:tcPr>
          <w:p>
            <w:pPr>
              <w:pStyle w:val="12"/>
            </w:pPr>
            <w:r>
              <w:t>法律咨询业务开展的次数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法律顾问年咨询费用</w:t>
            </w:r>
          </w:p>
        </w:tc>
        <w:tc>
          <w:tcPr>
            <w:tcW w:w="5386" w:type="dxa"/>
            <w:vAlign w:val="center"/>
          </w:tcPr>
          <w:p>
            <w:pPr>
              <w:pStyle w:val="12"/>
            </w:pPr>
            <w:r>
              <w:t>法律顾问年咨询费用</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公务用车使用的时间</w:t>
            </w:r>
          </w:p>
        </w:tc>
        <w:tc>
          <w:tcPr>
            <w:tcW w:w="5386" w:type="dxa"/>
            <w:vAlign w:val="center"/>
          </w:tcPr>
          <w:p>
            <w:pPr>
              <w:pStyle w:val="12"/>
            </w:pPr>
            <w:r>
              <w:t>公务用车使用的时间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法律咨询服务的时间</w:t>
            </w:r>
          </w:p>
        </w:tc>
        <w:tc>
          <w:tcPr>
            <w:tcW w:w="5386" w:type="dxa"/>
            <w:vAlign w:val="center"/>
          </w:tcPr>
          <w:p>
            <w:pPr>
              <w:pStyle w:val="12"/>
            </w:pPr>
            <w:r>
              <w:t>法律咨询服务的时间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对法律咨询服务的满意度</w:t>
            </w:r>
          </w:p>
        </w:tc>
        <w:tc>
          <w:tcPr>
            <w:tcW w:w="5386" w:type="dxa"/>
            <w:vAlign w:val="center"/>
          </w:tcPr>
          <w:p>
            <w:pPr>
              <w:pStyle w:val="12"/>
            </w:pPr>
            <w:r>
              <w:t>对法律咨询服务的满意程度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139.68</w:t>
            </w:r>
          </w:p>
        </w:tc>
        <w:tc>
          <w:tcPr>
            <w:tcW w:w="964" w:type="dxa"/>
            <w:vAlign w:val="center"/>
          </w:tcPr>
          <w:p>
            <w:pPr>
              <w:pStyle w:val="15"/>
            </w:pPr>
            <w:r>
              <w:t>139.68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石家庄市鹿泉区公用事业管理中心本级小计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139.68</w:t>
            </w:r>
          </w:p>
        </w:tc>
        <w:tc>
          <w:tcPr>
            <w:tcW w:w="964" w:type="dxa"/>
            <w:vAlign w:val="center"/>
          </w:tcPr>
          <w:p>
            <w:pPr>
              <w:pStyle w:val="15"/>
            </w:pPr>
            <w:r>
              <w:t>139.68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0.15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200</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13.40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w:t>
            </w:r>
          </w:p>
        </w:tc>
        <w:tc>
          <w:tcPr>
            <w:tcW w:w="850" w:type="dxa"/>
            <w:vAlign w:val="center"/>
          </w:tcPr>
          <w:p>
            <w:pPr>
              <w:pStyle w:val="11"/>
            </w:pPr>
            <w:r>
              <w:t>0.01</w:t>
            </w:r>
          </w:p>
        </w:tc>
        <w:tc>
          <w:tcPr>
            <w:tcW w:w="964" w:type="dxa"/>
            <w:vAlign w:val="center"/>
          </w:tcPr>
          <w:p>
            <w:pPr>
              <w:pStyle w:val="11"/>
            </w:pPr>
            <w:r>
              <w:t>0.02</w:t>
            </w:r>
          </w:p>
        </w:tc>
        <w:tc>
          <w:tcPr>
            <w:tcW w:w="964" w:type="dxa"/>
            <w:vAlign w:val="center"/>
          </w:tcPr>
          <w:p>
            <w:pPr>
              <w:pStyle w:val="11"/>
            </w:pPr>
            <w:r>
              <w:t>0.02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2026年节日氛围营造工程</w:t>
            </w:r>
          </w:p>
        </w:tc>
        <w:tc>
          <w:tcPr>
            <w:tcW w:w="964" w:type="dxa"/>
            <w:vAlign w:val="center"/>
          </w:tcPr>
          <w:p>
            <w:pPr>
              <w:pStyle w:val="11"/>
            </w:pPr>
            <w:r>
              <w:t>141.60</w:t>
            </w:r>
          </w:p>
        </w:tc>
        <w:tc>
          <w:tcPr>
            <w:tcW w:w="1134" w:type="dxa"/>
            <w:vAlign w:val="center"/>
          </w:tcPr>
          <w:p>
            <w:pPr>
              <w:pStyle w:val="12"/>
            </w:pPr>
            <w:r>
              <w:t>其他安装</w:t>
            </w:r>
          </w:p>
        </w:tc>
        <w:tc>
          <w:tcPr>
            <w:tcW w:w="1134" w:type="dxa"/>
            <w:vAlign w:val="center"/>
          </w:tcPr>
          <w:p>
            <w:pPr>
              <w:pStyle w:val="12"/>
            </w:pPr>
            <w:r>
              <w:t>B06990000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137.50</w:t>
            </w:r>
          </w:p>
        </w:tc>
        <w:tc>
          <w:tcPr>
            <w:tcW w:w="964" w:type="dxa"/>
            <w:vAlign w:val="center"/>
          </w:tcPr>
          <w:p>
            <w:pPr>
              <w:pStyle w:val="11"/>
            </w:pPr>
            <w:r>
              <w:t>137.50</w:t>
            </w:r>
          </w:p>
        </w:tc>
        <w:tc>
          <w:tcPr>
            <w:tcW w:w="964" w:type="dxa"/>
            <w:vAlign w:val="center"/>
          </w:tcPr>
          <w:p>
            <w:pPr>
              <w:pStyle w:val="11"/>
            </w:pPr>
            <w:r>
              <w:t>137.50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137.50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石家庄市鹿泉区公用事业管理中心本级上年末固定资产金额为652.87万元（详见下表）。本年度拟购置固定资产总额为1.66万元，已按要求列入政府采购预算，详见政府采购预算表。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566001石家庄市鹿泉区公用事业管理中心本级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652.87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1889.15</w:t>
            </w:r>
          </w:p>
        </w:tc>
        <w:tc>
          <w:tcPr>
            <w:tcW w:w="2835" w:type="dxa"/>
            <w:vAlign w:val="center"/>
          </w:tcPr>
          <w:p>
            <w:pPr>
              <w:pStyle w:val="11"/>
            </w:pPr>
            <w:r>
              <w:t>293.26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507.62</w:t>
            </w:r>
          </w:p>
        </w:tc>
        <w:tc>
          <w:tcPr>
            <w:tcW w:w="2835" w:type="dxa"/>
            <w:vAlign w:val="center"/>
          </w:tcPr>
          <w:p>
            <w:pPr>
              <w:pStyle w:val="11"/>
            </w:pPr>
            <w:r>
              <w:t>78.38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180.36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439</w:t>
            </w:r>
          </w:p>
        </w:tc>
        <w:tc>
          <w:tcPr>
            <w:tcW w:w="2835" w:type="dxa"/>
            <w:vAlign w:val="center"/>
          </w:tcPr>
          <w:p>
            <w:pPr>
              <w:pStyle w:val="11"/>
            </w:pPr>
            <w:r>
              <w:t>154.45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14896"/>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、石家庄市鹿泉区海山公园收支预算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566004石家庄市鹿泉区海山公园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2313.60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710.43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1428.06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2313.60</w:t>
            </w:r>
          </w:p>
        </w:tc>
        <w:tc>
          <w:tcPr>
            <w:tcW w:w="4535" w:type="dxa"/>
            <w:vAlign w:val="center"/>
          </w:tcPr>
          <w:p>
            <w:pPr>
              <w:pStyle w:val="14"/>
            </w:pPr>
            <w:r>
              <w:t>本年支出合计</w:t>
            </w:r>
          </w:p>
        </w:tc>
        <w:tc>
          <w:tcPr>
            <w:tcW w:w="2126" w:type="dxa"/>
            <w:vAlign w:val="center"/>
          </w:tcPr>
          <w:p>
            <w:pPr>
              <w:pStyle w:val="15"/>
            </w:pPr>
            <w:r>
              <w:t>2313.60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2313.60</w:t>
            </w:r>
          </w:p>
        </w:tc>
        <w:tc>
          <w:tcPr>
            <w:tcW w:w="4535" w:type="dxa"/>
            <w:vAlign w:val="center"/>
          </w:tcPr>
          <w:p>
            <w:pPr>
              <w:pStyle w:val="14"/>
            </w:pPr>
            <w:r>
              <w:t>支出总计</w:t>
            </w:r>
          </w:p>
        </w:tc>
        <w:tc>
          <w:tcPr>
            <w:tcW w:w="2126" w:type="dxa"/>
            <w:vAlign w:val="center"/>
          </w:tcPr>
          <w:p>
            <w:pPr>
              <w:pStyle w:val="15"/>
            </w:pPr>
            <w:r>
              <w:t>2313.60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566004石家庄市鹿泉区海山公园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2313.60</w:t>
            </w:r>
          </w:p>
        </w:tc>
        <w:tc>
          <w:tcPr>
            <w:tcW w:w="1134" w:type="dxa"/>
            <w:vAlign w:val="center"/>
          </w:tcPr>
          <w:p>
            <w:pPr>
              <w:pStyle w:val="15"/>
            </w:pPr>
            <w:r>
              <w:t>2313.60</w:t>
            </w:r>
          </w:p>
        </w:tc>
        <w:tc>
          <w:tcPr>
            <w:tcW w:w="1134" w:type="dxa"/>
            <w:vAlign w:val="center"/>
          </w:tcPr>
          <w:p>
            <w:pPr>
              <w:pStyle w:val="15"/>
            </w:pPr>
            <w:r>
              <w:t>2313.60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710.43</w:t>
            </w:r>
          </w:p>
        </w:tc>
        <w:tc>
          <w:tcPr>
            <w:tcW w:w="1134" w:type="dxa"/>
            <w:vAlign w:val="center"/>
          </w:tcPr>
          <w:p>
            <w:pPr>
              <w:pStyle w:val="11"/>
            </w:pPr>
            <w:r>
              <w:t>710.43</w:t>
            </w:r>
          </w:p>
        </w:tc>
        <w:tc>
          <w:tcPr>
            <w:tcW w:w="1134" w:type="dxa"/>
            <w:vAlign w:val="center"/>
          </w:tcPr>
          <w:p>
            <w:pPr>
              <w:pStyle w:val="11"/>
            </w:pPr>
            <w:r>
              <w:t>710.43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704.72</w:t>
            </w:r>
          </w:p>
        </w:tc>
        <w:tc>
          <w:tcPr>
            <w:tcW w:w="1134" w:type="dxa"/>
            <w:vAlign w:val="center"/>
          </w:tcPr>
          <w:p>
            <w:pPr>
              <w:pStyle w:val="11"/>
            </w:pPr>
            <w:r>
              <w:t>704.72</w:t>
            </w:r>
          </w:p>
        </w:tc>
        <w:tc>
          <w:tcPr>
            <w:tcW w:w="1134" w:type="dxa"/>
            <w:vAlign w:val="center"/>
          </w:tcPr>
          <w:p>
            <w:pPr>
              <w:pStyle w:val="11"/>
            </w:pPr>
            <w:r>
              <w:t>704.72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539.64</w:t>
            </w:r>
          </w:p>
        </w:tc>
        <w:tc>
          <w:tcPr>
            <w:tcW w:w="1134" w:type="dxa"/>
            <w:vAlign w:val="center"/>
          </w:tcPr>
          <w:p>
            <w:pPr>
              <w:pStyle w:val="11"/>
            </w:pPr>
            <w:r>
              <w:t>539.64</w:t>
            </w:r>
          </w:p>
        </w:tc>
        <w:tc>
          <w:tcPr>
            <w:tcW w:w="1134" w:type="dxa"/>
            <w:vAlign w:val="center"/>
          </w:tcPr>
          <w:p>
            <w:pPr>
              <w:pStyle w:val="11"/>
            </w:pPr>
            <w:r>
              <w:t>539.64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110.05</w:t>
            </w:r>
          </w:p>
        </w:tc>
        <w:tc>
          <w:tcPr>
            <w:tcW w:w="1134" w:type="dxa"/>
            <w:vAlign w:val="center"/>
          </w:tcPr>
          <w:p>
            <w:pPr>
              <w:pStyle w:val="11"/>
            </w:pPr>
            <w:r>
              <w:t>110.05</w:t>
            </w:r>
          </w:p>
        </w:tc>
        <w:tc>
          <w:tcPr>
            <w:tcW w:w="1134" w:type="dxa"/>
            <w:vAlign w:val="center"/>
          </w:tcPr>
          <w:p>
            <w:pPr>
              <w:pStyle w:val="11"/>
            </w:pPr>
            <w:r>
              <w:t>110.05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55.03</w:t>
            </w:r>
          </w:p>
        </w:tc>
        <w:tc>
          <w:tcPr>
            <w:tcW w:w="1134" w:type="dxa"/>
            <w:vAlign w:val="center"/>
          </w:tcPr>
          <w:p>
            <w:pPr>
              <w:pStyle w:val="11"/>
            </w:pPr>
            <w:r>
              <w:t>55.03</w:t>
            </w:r>
          </w:p>
        </w:tc>
        <w:tc>
          <w:tcPr>
            <w:tcW w:w="1134" w:type="dxa"/>
            <w:vAlign w:val="center"/>
          </w:tcPr>
          <w:p>
            <w:pPr>
              <w:pStyle w:val="11"/>
            </w:pPr>
            <w:r>
              <w:t>55.03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5.72</w:t>
            </w:r>
          </w:p>
        </w:tc>
        <w:tc>
          <w:tcPr>
            <w:tcW w:w="1134" w:type="dxa"/>
            <w:vAlign w:val="center"/>
          </w:tcPr>
          <w:p>
            <w:pPr>
              <w:pStyle w:val="11"/>
            </w:pPr>
            <w:r>
              <w:t>5.72</w:t>
            </w:r>
          </w:p>
        </w:tc>
        <w:tc>
          <w:tcPr>
            <w:tcW w:w="1134" w:type="dxa"/>
            <w:vAlign w:val="center"/>
          </w:tcPr>
          <w:p>
            <w:pPr>
              <w:pStyle w:val="11"/>
            </w:pPr>
            <w:r>
              <w:t>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5.72</w:t>
            </w:r>
          </w:p>
        </w:tc>
        <w:tc>
          <w:tcPr>
            <w:tcW w:w="1134" w:type="dxa"/>
            <w:vAlign w:val="center"/>
          </w:tcPr>
          <w:p>
            <w:pPr>
              <w:pStyle w:val="11"/>
            </w:pPr>
            <w:r>
              <w:t>5.72</w:t>
            </w:r>
          </w:p>
        </w:tc>
        <w:tc>
          <w:tcPr>
            <w:tcW w:w="1134" w:type="dxa"/>
            <w:vAlign w:val="center"/>
          </w:tcPr>
          <w:p>
            <w:pPr>
              <w:pStyle w:val="11"/>
            </w:pPr>
            <w:r>
              <w:t>5.72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r>
              <w:t>74.18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1428.06</w:t>
            </w:r>
          </w:p>
        </w:tc>
        <w:tc>
          <w:tcPr>
            <w:tcW w:w="1134" w:type="dxa"/>
            <w:vAlign w:val="center"/>
          </w:tcPr>
          <w:p>
            <w:pPr>
              <w:pStyle w:val="11"/>
            </w:pPr>
            <w:r>
              <w:t>1428.06</w:t>
            </w:r>
          </w:p>
        </w:tc>
        <w:tc>
          <w:tcPr>
            <w:tcW w:w="1134" w:type="dxa"/>
            <w:vAlign w:val="center"/>
          </w:tcPr>
          <w:p>
            <w:pPr>
              <w:pStyle w:val="11"/>
            </w:pPr>
            <w:r>
              <w:t>1428.06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956.11</w:t>
            </w:r>
          </w:p>
        </w:tc>
        <w:tc>
          <w:tcPr>
            <w:tcW w:w="1134" w:type="dxa"/>
            <w:vAlign w:val="center"/>
          </w:tcPr>
          <w:p>
            <w:pPr>
              <w:pStyle w:val="11"/>
            </w:pPr>
            <w:r>
              <w:t>956.11</w:t>
            </w:r>
          </w:p>
        </w:tc>
        <w:tc>
          <w:tcPr>
            <w:tcW w:w="1134" w:type="dxa"/>
            <w:vAlign w:val="center"/>
          </w:tcPr>
          <w:p>
            <w:pPr>
              <w:pStyle w:val="11"/>
            </w:pPr>
            <w:r>
              <w:t>956.11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956.11</w:t>
            </w:r>
          </w:p>
        </w:tc>
        <w:tc>
          <w:tcPr>
            <w:tcW w:w="1134" w:type="dxa"/>
            <w:vAlign w:val="center"/>
          </w:tcPr>
          <w:p>
            <w:pPr>
              <w:pStyle w:val="11"/>
            </w:pPr>
            <w:r>
              <w:t>956.11</w:t>
            </w:r>
          </w:p>
        </w:tc>
        <w:tc>
          <w:tcPr>
            <w:tcW w:w="1134" w:type="dxa"/>
            <w:vAlign w:val="center"/>
          </w:tcPr>
          <w:p>
            <w:pPr>
              <w:pStyle w:val="11"/>
            </w:pPr>
            <w:r>
              <w:t>956.11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1.95</w:t>
            </w:r>
          </w:p>
        </w:tc>
        <w:tc>
          <w:tcPr>
            <w:tcW w:w="1134" w:type="dxa"/>
            <w:vAlign w:val="center"/>
          </w:tcPr>
          <w:p>
            <w:pPr>
              <w:pStyle w:val="11"/>
            </w:pPr>
            <w:r>
              <w:t>1.95</w:t>
            </w:r>
          </w:p>
        </w:tc>
        <w:tc>
          <w:tcPr>
            <w:tcW w:w="1134" w:type="dxa"/>
            <w:vAlign w:val="center"/>
          </w:tcPr>
          <w:p>
            <w:pPr>
              <w:pStyle w:val="11"/>
            </w:pPr>
            <w:r>
              <w:t>1.95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1.95</w:t>
            </w:r>
          </w:p>
        </w:tc>
        <w:tc>
          <w:tcPr>
            <w:tcW w:w="1134" w:type="dxa"/>
            <w:vAlign w:val="center"/>
          </w:tcPr>
          <w:p>
            <w:pPr>
              <w:pStyle w:val="11"/>
            </w:pPr>
            <w:r>
              <w:t>1.95</w:t>
            </w:r>
          </w:p>
        </w:tc>
        <w:tc>
          <w:tcPr>
            <w:tcW w:w="1134" w:type="dxa"/>
            <w:vAlign w:val="center"/>
          </w:tcPr>
          <w:p>
            <w:pPr>
              <w:pStyle w:val="11"/>
            </w:pPr>
            <w:r>
              <w:t>1.95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r>
              <w:t>470.00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r>
              <w:t>100.92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2313.60</w:t>
            </w:r>
          </w:p>
        </w:tc>
        <w:tc>
          <w:tcPr>
            <w:tcW w:w="1361" w:type="dxa"/>
            <w:vAlign w:val="center"/>
          </w:tcPr>
          <w:p>
            <w:pPr>
              <w:pStyle w:val="15"/>
            </w:pPr>
            <w:r>
              <w:t>1835.93</w:t>
            </w:r>
          </w:p>
        </w:tc>
        <w:tc>
          <w:tcPr>
            <w:tcW w:w="1361" w:type="dxa"/>
            <w:vAlign w:val="center"/>
          </w:tcPr>
          <w:p>
            <w:pPr>
              <w:pStyle w:val="15"/>
            </w:pPr>
            <w:r>
              <w:t>477.66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710.43</w:t>
            </w:r>
          </w:p>
        </w:tc>
        <w:tc>
          <w:tcPr>
            <w:tcW w:w="1361" w:type="dxa"/>
            <w:vAlign w:val="center"/>
          </w:tcPr>
          <w:p>
            <w:pPr>
              <w:pStyle w:val="11"/>
            </w:pPr>
            <w:r>
              <w:t>704.72</w:t>
            </w: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704.72</w:t>
            </w:r>
          </w:p>
        </w:tc>
        <w:tc>
          <w:tcPr>
            <w:tcW w:w="1361" w:type="dxa"/>
            <w:vAlign w:val="center"/>
          </w:tcPr>
          <w:p>
            <w:pPr>
              <w:pStyle w:val="11"/>
            </w:pPr>
            <w:r>
              <w:t>704.72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539.64</w:t>
            </w:r>
          </w:p>
        </w:tc>
        <w:tc>
          <w:tcPr>
            <w:tcW w:w="1361" w:type="dxa"/>
            <w:vAlign w:val="center"/>
          </w:tcPr>
          <w:p>
            <w:pPr>
              <w:pStyle w:val="11"/>
            </w:pPr>
            <w:r>
              <w:t>539.64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110.05</w:t>
            </w:r>
          </w:p>
        </w:tc>
        <w:tc>
          <w:tcPr>
            <w:tcW w:w="1361" w:type="dxa"/>
            <w:vAlign w:val="center"/>
          </w:tcPr>
          <w:p>
            <w:pPr>
              <w:pStyle w:val="11"/>
            </w:pPr>
            <w:r>
              <w:t>110.05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55.03</w:t>
            </w:r>
          </w:p>
        </w:tc>
        <w:tc>
          <w:tcPr>
            <w:tcW w:w="1361" w:type="dxa"/>
            <w:vAlign w:val="center"/>
          </w:tcPr>
          <w:p>
            <w:pPr>
              <w:pStyle w:val="11"/>
            </w:pPr>
            <w:r>
              <w:t>55.03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r>
              <w:t>5.72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74.18</w:t>
            </w:r>
          </w:p>
        </w:tc>
        <w:tc>
          <w:tcPr>
            <w:tcW w:w="1361" w:type="dxa"/>
            <w:vAlign w:val="center"/>
          </w:tcPr>
          <w:p>
            <w:pPr>
              <w:pStyle w:val="11"/>
            </w:pPr>
            <w:r>
              <w:t>74.18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74.18</w:t>
            </w:r>
          </w:p>
        </w:tc>
        <w:tc>
          <w:tcPr>
            <w:tcW w:w="1361" w:type="dxa"/>
            <w:vAlign w:val="center"/>
          </w:tcPr>
          <w:p>
            <w:pPr>
              <w:pStyle w:val="11"/>
            </w:pPr>
            <w:r>
              <w:t>74.18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74.18</w:t>
            </w:r>
          </w:p>
        </w:tc>
        <w:tc>
          <w:tcPr>
            <w:tcW w:w="1361" w:type="dxa"/>
            <w:vAlign w:val="center"/>
          </w:tcPr>
          <w:p>
            <w:pPr>
              <w:pStyle w:val="11"/>
            </w:pPr>
            <w:r>
              <w:t>74.18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1428.06</w:t>
            </w:r>
          </w:p>
        </w:tc>
        <w:tc>
          <w:tcPr>
            <w:tcW w:w="1361" w:type="dxa"/>
            <w:vAlign w:val="center"/>
          </w:tcPr>
          <w:p>
            <w:pPr>
              <w:pStyle w:val="11"/>
            </w:pPr>
            <w:r>
              <w:t>956.11</w:t>
            </w:r>
          </w:p>
        </w:tc>
        <w:tc>
          <w:tcPr>
            <w:tcW w:w="1361" w:type="dxa"/>
            <w:vAlign w:val="center"/>
          </w:tcPr>
          <w:p>
            <w:pPr>
              <w:pStyle w:val="11"/>
            </w:pPr>
            <w:r>
              <w:t>471.95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956.11</w:t>
            </w:r>
          </w:p>
        </w:tc>
        <w:tc>
          <w:tcPr>
            <w:tcW w:w="1361" w:type="dxa"/>
            <w:vAlign w:val="center"/>
          </w:tcPr>
          <w:p>
            <w:pPr>
              <w:pStyle w:val="11"/>
            </w:pPr>
            <w:r>
              <w:t>956.11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956.11</w:t>
            </w:r>
          </w:p>
        </w:tc>
        <w:tc>
          <w:tcPr>
            <w:tcW w:w="1361" w:type="dxa"/>
            <w:vAlign w:val="center"/>
          </w:tcPr>
          <w:p>
            <w:pPr>
              <w:pStyle w:val="11"/>
            </w:pPr>
            <w:r>
              <w:t>956.11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1.95</w:t>
            </w:r>
          </w:p>
        </w:tc>
        <w:tc>
          <w:tcPr>
            <w:tcW w:w="1361" w:type="dxa"/>
            <w:vAlign w:val="center"/>
          </w:tcPr>
          <w:p>
            <w:pPr>
              <w:pStyle w:val="11"/>
            </w:pPr>
          </w:p>
        </w:tc>
        <w:tc>
          <w:tcPr>
            <w:tcW w:w="1361" w:type="dxa"/>
            <w:vAlign w:val="center"/>
          </w:tcPr>
          <w:p>
            <w:pPr>
              <w:pStyle w:val="11"/>
            </w:pPr>
            <w:r>
              <w:t>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1.95</w:t>
            </w:r>
          </w:p>
        </w:tc>
        <w:tc>
          <w:tcPr>
            <w:tcW w:w="1361" w:type="dxa"/>
            <w:vAlign w:val="center"/>
          </w:tcPr>
          <w:p>
            <w:pPr>
              <w:pStyle w:val="11"/>
            </w:pPr>
          </w:p>
        </w:tc>
        <w:tc>
          <w:tcPr>
            <w:tcW w:w="1361" w:type="dxa"/>
            <w:vAlign w:val="center"/>
          </w:tcPr>
          <w:p>
            <w:pPr>
              <w:pStyle w:val="11"/>
            </w:pPr>
            <w:r>
              <w:t>1.95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r>
              <w:t>470.00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100.92</w:t>
            </w:r>
          </w:p>
        </w:tc>
        <w:tc>
          <w:tcPr>
            <w:tcW w:w="1361" w:type="dxa"/>
            <w:vAlign w:val="center"/>
          </w:tcPr>
          <w:p>
            <w:pPr>
              <w:pStyle w:val="11"/>
            </w:pPr>
            <w:r>
              <w:t>100.92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100.92</w:t>
            </w:r>
          </w:p>
        </w:tc>
        <w:tc>
          <w:tcPr>
            <w:tcW w:w="1361" w:type="dxa"/>
            <w:vAlign w:val="center"/>
          </w:tcPr>
          <w:p>
            <w:pPr>
              <w:pStyle w:val="11"/>
            </w:pPr>
            <w:r>
              <w:t>100.92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100.92</w:t>
            </w:r>
          </w:p>
        </w:tc>
        <w:tc>
          <w:tcPr>
            <w:tcW w:w="1361" w:type="dxa"/>
            <w:vAlign w:val="center"/>
          </w:tcPr>
          <w:p>
            <w:pPr>
              <w:pStyle w:val="11"/>
            </w:pPr>
            <w:r>
              <w:t>100.92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2313.60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710.43</w:t>
            </w:r>
          </w:p>
        </w:tc>
        <w:tc>
          <w:tcPr>
            <w:tcW w:w="1474" w:type="dxa"/>
            <w:vAlign w:val="center"/>
          </w:tcPr>
          <w:p>
            <w:pPr>
              <w:pStyle w:val="11"/>
            </w:pPr>
            <w:r>
              <w:t>710.43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74.18</w:t>
            </w:r>
          </w:p>
        </w:tc>
        <w:tc>
          <w:tcPr>
            <w:tcW w:w="1474" w:type="dxa"/>
            <w:vAlign w:val="center"/>
          </w:tcPr>
          <w:p>
            <w:pPr>
              <w:pStyle w:val="11"/>
            </w:pPr>
            <w:r>
              <w:t>74.18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1428.06</w:t>
            </w:r>
          </w:p>
        </w:tc>
        <w:tc>
          <w:tcPr>
            <w:tcW w:w="1474" w:type="dxa"/>
            <w:vAlign w:val="center"/>
          </w:tcPr>
          <w:p>
            <w:pPr>
              <w:pStyle w:val="11"/>
            </w:pPr>
            <w:r>
              <w:t>1428.06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100.92</w:t>
            </w:r>
          </w:p>
        </w:tc>
        <w:tc>
          <w:tcPr>
            <w:tcW w:w="1474" w:type="dxa"/>
            <w:vAlign w:val="center"/>
          </w:tcPr>
          <w:p>
            <w:pPr>
              <w:pStyle w:val="11"/>
            </w:pPr>
            <w:r>
              <w:t>100.92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2313.60</w:t>
            </w:r>
          </w:p>
        </w:tc>
        <w:tc>
          <w:tcPr>
            <w:tcW w:w="3402" w:type="dxa"/>
            <w:vAlign w:val="center"/>
          </w:tcPr>
          <w:p>
            <w:pPr>
              <w:pStyle w:val="14"/>
            </w:pPr>
            <w:r>
              <w:t>本年支出合计</w:t>
            </w:r>
          </w:p>
        </w:tc>
        <w:tc>
          <w:tcPr>
            <w:tcW w:w="1474" w:type="dxa"/>
            <w:vAlign w:val="center"/>
          </w:tcPr>
          <w:p>
            <w:pPr>
              <w:pStyle w:val="15"/>
            </w:pPr>
            <w:r>
              <w:t>2313.60</w:t>
            </w:r>
          </w:p>
        </w:tc>
        <w:tc>
          <w:tcPr>
            <w:tcW w:w="1474" w:type="dxa"/>
            <w:vAlign w:val="center"/>
          </w:tcPr>
          <w:p>
            <w:pPr>
              <w:pStyle w:val="15"/>
            </w:pPr>
            <w:r>
              <w:t>2313.60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2313.60</w:t>
            </w:r>
          </w:p>
        </w:tc>
        <w:tc>
          <w:tcPr>
            <w:tcW w:w="3402" w:type="dxa"/>
            <w:vAlign w:val="center"/>
          </w:tcPr>
          <w:p>
            <w:pPr>
              <w:pStyle w:val="14"/>
            </w:pPr>
            <w:r>
              <w:t>支出总计</w:t>
            </w:r>
          </w:p>
        </w:tc>
        <w:tc>
          <w:tcPr>
            <w:tcW w:w="1474" w:type="dxa"/>
            <w:vAlign w:val="center"/>
          </w:tcPr>
          <w:p>
            <w:pPr>
              <w:pStyle w:val="15"/>
            </w:pPr>
            <w:r>
              <w:t>2313.60</w:t>
            </w:r>
          </w:p>
        </w:tc>
        <w:tc>
          <w:tcPr>
            <w:tcW w:w="1474" w:type="dxa"/>
            <w:vAlign w:val="center"/>
          </w:tcPr>
          <w:p>
            <w:pPr>
              <w:pStyle w:val="15"/>
            </w:pPr>
            <w:r>
              <w:t>2313.60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2313.60</w:t>
            </w:r>
          </w:p>
        </w:tc>
        <w:tc>
          <w:tcPr>
            <w:tcW w:w="2551" w:type="dxa"/>
            <w:vAlign w:val="center"/>
          </w:tcPr>
          <w:p>
            <w:pPr>
              <w:pStyle w:val="15"/>
            </w:pPr>
            <w:r>
              <w:t>1835.93</w:t>
            </w:r>
          </w:p>
        </w:tc>
        <w:tc>
          <w:tcPr>
            <w:tcW w:w="2551" w:type="dxa"/>
            <w:vAlign w:val="center"/>
          </w:tcPr>
          <w:p>
            <w:pPr>
              <w:pStyle w:val="15"/>
            </w:pPr>
            <w:r>
              <w:t>477.66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710.43</w:t>
            </w:r>
          </w:p>
        </w:tc>
        <w:tc>
          <w:tcPr>
            <w:tcW w:w="2551" w:type="dxa"/>
            <w:vAlign w:val="center"/>
          </w:tcPr>
          <w:p>
            <w:pPr>
              <w:pStyle w:val="11"/>
            </w:pPr>
            <w:r>
              <w:t>704.72</w:t>
            </w:r>
          </w:p>
        </w:tc>
        <w:tc>
          <w:tcPr>
            <w:tcW w:w="2551" w:type="dxa"/>
            <w:vAlign w:val="center"/>
          </w:tcPr>
          <w:p>
            <w:pPr>
              <w:pStyle w:val="11"/>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704.72</w:t>
            </w:r>
          </w:p>
        </w:tc>
        <w:tc>
          <w:tcPr>
            <w:tcW w:w="2551" w:type="dxa"/>
            <w:vAlign w:val="center"/>
          </w:tcPr>
          <w:p>
            <w:pPr>
              <w:pStyle w:val="11"/>
            </w:pPr>
            <w:r>
              <w:t>704.72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539.64</w:t>
            </w:r>
          </w:p>
        </w:tc>
        <w:tc>
          <w:tcPr>
            <w:tcW w:w="2551" w:type="dxa"/>
            <w:vAlign w:val="center"/>
          </w:tcPr>
          <w:p>
            <w:pPr>
              <w:pStyle w:val="11"/>
            </w:pPr>
            <w:r>
              <w:t>539.64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110.05</w:t>
            </w:r>
          </w:p>
        </w:tc>
        <w:tc>
          <w:tcPr>
            <w:tcW w:w="2551" w:type="dxa"/>
            <w:vAlign w:val="center"/>
          </w:tcPr>
          <w:p>
            <w:pPr>
              <w:pStyle w:val="11"/>
            </w:pPr>
            <w:r>
              <w:t>110.05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55.03</w:t>
            </w:r>
          </w:p>
        </w:tc>
        <w:tc>
          <w:tcPr>
            <w:tcW w:w="2551" w:type="dxa"/>
            <w:vAlign w:val="center"/>
          </w:tcPr>
          <w:p>
            <w:pPr>
              <w:pStyle w:val="11"/>
            </w:pPr>
            <w:r>
              <w:t>55.03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5.72</w:t>
            </w:r>
          </w:p>
        </w:tc>
        <w:tc>
          <w:tcPr>
            <w:tcW w:w="2551" w:type="dxa"/>
            <w:vAlign w:val="center"/>
          </w:tcPr>
          <w:p>
            <w:pPr>
              <w:pStyle w:val="11"/>
            </w:pPr>
          </w:p>
        </w:tc>
        <w:tc>
          <w:tcPr>
            <w:tcW w:w="2551" w:type="dxa"/>
            <w:vAlign w:val="center"/>
          </w:tcPr>
          <w:p>
            <w:pPr>
              <w:pStyle w:val="11"/>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5.72</w:t>
            </w:r>
          </w:p>
        </w:tc>
        <w:tc>
          <w:tcPr>
            <w:tcW w:w="2551" w:type="dxa"/>
            <w:vAlign w:val="center"/>
          </w:tcPr>
          <w:p>
            <w:pPr>
              <w:pStyle w:val="11"/>
            </w:pPr>
          </w:p>
        </w:tc>
        <w:tc>
          <w:tcPr>
            <w:tcW w:w="2551" w:type="dxa"/>
            <w:vAlign w:val="center"/>
          </w:tcPr>
          <w:p>
            <w:pPr>
              <w:pStyle w:val="11"/>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74.18</w:t>
            </w:r>
          </w:p>
        </w:tc>
        <w:tc>
          <w:tcPr>
            <w:tcW w:w="2551" w:type="dxa"/>
            <w:vAlign w:val="center"/>
          </w:tcPr>
          <w:p>
            <w:pPr>
              <w:pStyle w:val="11"/>
            </w:pPr>
            <w:r>
              <w:t>74.18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74.18</w:t>
            </w:r>
          </w:p>
        </w:tc>
        <w:tc>
          <w:tcPr>
            <w:tcW w:w="2551" w:type="dxa"/>
            <w:vAlign w:val="center"/>
          </w:tcPr>
          <w:p>
            <w:pPr>
              <w:pStyle w:val="11"/>
            </w:pPr>
            <w:r>
              <w:t>74.18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74.18</w:t>
            </w:r>
          </w:p>
        </w:tc>
        <w:tc>
          <w:tcPr>
            <w:tcW w:w="2551" w:type="dxa"/>
            <w:vAlign w:val="center"/>
          </w:tcPr>
          <w:p>
            <w:pPr>
              <w:pStyle w:val="11"/>
            </w:pPr>
            <w:r>
              <w:t>74.18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1428.06</w:t>
            </w:r>
          </w:p>
        </w:tc>
        <w:tc>
          <w:tcPr>
            <w:tcW w:w="2551" w:type="dxa"/>
            <w:vAlign w:val="center"/>
          </w:tcPr>
          <w:p>
            <w:pPr>
              <w:pStyle w:val="11"/>
            </w:pPr>
            <w:r>
              <w:t>956.11</w:t>
            </w:r>
          </w:p>
        </w:tc>
        <w:tc>
          <w:tcPr>
            <w:tcW w:w="2551" w:type="dxa"/>
            <w:vAlign w:val="center"/>
          </w:tcPr>
          <w:p>
            <w:pPr>
              <w:pStyle w:val="11"/>
            </w:pPr>
            <w:r>
              <w:t>471.95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956.11</w:t>
            </w:r>
          </w:p>
        </w:tc>
        <w:tc>
          <w:tcPr>
            <w:tcW w:w="2551" w:type="dxa"/>
            <w:vAlign w:val="center"/>
          </w:tcPr>
          <w:p>
            <w:pPr>
              <w:pStyle w:val="11"/>
            </w:pPr>
            <w:r>
              <w:t>956.11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956.11</w:t>
            </w:r>
          </w:p>
        </w:tc>
        <w:tc>
          <w:tcPr>
            <w:tcW w:w="2551" w:type="dxa"/>
            <w:vAlign w:val="center"/>
          </w:tcPr>
          <w:p>
            <w:pPr>
              <w:pStyle w:val="11"/>
            </w:pPr>
            <w:r>
              <w:t>956.11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1.95</w:t>
            </w:r>
          </w:p>
        </w:tc>
        <w:tc>
          <w:tcPr>
            <w:tcW w:w="2551" w:type="dxa"/>
            <w:vAlign w:val="center"/>
          </w:tcPr>
          <w:p>
            <w:pPr>
              <w:pStyle w:val="11"/>
            </w:pPr>
          </w:p>
        </w:tc>
        <w:tc>
          <w:tcPr>
            <w:tcW w:w="2551"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1.95</w:t>
            </w:r>
          </w:p>
        </w:tc>
        <w:tc>
          <w:tcPr>
            <w:tcW w:w="2551" w:type="dxa"/>
            <w:vAlign w:val="center"/>
          </w:tcPr>
          <w:p>
            <w:pPr>
              <w:pStyle w:val="11"/>
            </w:pPr>
          </w:p>
        </w:tc>
        <w:tc>
          <w:tcPr>
            <w:tcW w:w="2551"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470.00</w:t>
            </w:r>
          </w:p>
        </w:tc>
        <w:tc>
          <w:tcPr>
            <w:tcW w:w="2551" w:type="dxa"/>
            <w:vAlign w:val="center"/>
          </w:tcPr>
          <w:p>
            <w:pPr>
              <w:pStyle w:val="11"/>
            </w:pPr>
          </w:p>
        </w:tc>
        <w:tc>
          <w:tcPr>
            <w:tcW w:w="2551" w:type="dxa"/>
            <w:vAlign w:val="center"/>
          </w:tcPr>
          <w:p>
            <w:pPr>
              <w:pStyle w:val="11"/>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470.00</w:t>
            </w:r>
          </w:p>
        </w:tc>
        <w:tc>
          <w:tcPr>
            <w:tcW w:w="2551" w:type="dxa"/>
            <w:vAlign w:val="center"/>
          </w:tcPr>
          <w:p>
            <w:pPr>
              <w:pStyle w:val="11"/>
            </w:pPr>
          </w:p>
        </w:tc>
        <w:tc>
          <w:tcPr>
            <w:tcW w:w="2551" w:type="dxa"/>
            <w:vAlign w:val="center"/>
          </w:tcPr>
          <w:p>
            <w:pPr>
              <w:pStyle w:val="11"/>
            </w:pPr>
            <w:r>
              <w:t>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100.92</w:t>
            </w:r>
          </w:p>
        </w:tc>
        <w:tc>
          <w:tcPr>
            <w:tcW w:w="2551" w:type="dxa"/>
            <w:vAlign w:val="center"/>
          </w:tcPr>
          <w:p>
            <w:pPr>
              <w:pStyle w:val="11"/>
            </w:pPr>
            <w:r>
              <w:t>100.92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100.92</w:t>
            </w:r>
          </w:p>
        </w:tc>
        <w:tc>
          <w:tcPr>
            <w:tcW w:w="2551" w:type="dxa"/>
            <w:vAlign w:val="center"/>
          </w:tcPr>
          <w:p>
            <w:pPr>
              <w:pStyle w:val="11"/>
            </w:pPr>
            <w:r>
              <w:t>100.92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100.92</w:t>
            </w:r>
          </w:p>
        </w:tc>
        <w:tc>
          <w:tcPr>
            <w:tcW w:w="2551" w:type="dxa"/>
            <w:vAlign w:val="center"/>
          </w:tcPr>
          <w:p>
            <w:pPr>
              <w:pStyle w:val="11"/>
            </w:pPr>
            <w:r>
              <w:t>100.92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1835.93</w:t>
            </w:r>
          </w:p>
        </w:tc>
        <w:tc>
          <w:tcPr>
            <w:tcW w:w="2551" w:type="dxa"/>
            <w:vAlign w:val="center"/>
          </w:tcPr>
          <w:p>
            <w:pPr>
              <w:pStyle w:val="15"/>
            </w:pPr>
            <w:r>
              <w:t>1734.13</w:t>
            </w:r>
          </w:p>
        </w:tc>
        <w:tc>
          <w:tcPr>
            <w:tcW w:w="2551" w:type="dxa"/>
            <w:vAlign w:val="center"/>
          </w:tcPr>
          <w:p>
            <w:pPr>
              <w:pStyle w:val="15"/>
            </w:pPr>
            <w:r>
              <w:t>101.80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1188.49</w:t>
            </w:r>
          </w:p>
        </w:tc>
        <w:tc>
          <w:tcPr>
            <w:tcW w:w="2551" w:type="dxa"/>
            <w:vAlign w:val="center"/>
          </w:tcPr>
          <w:p>
            <w:pPr>
              <w:pStyle w:val="11"/>
            </w:pPr>
            <w:r>
              <w:t>1188.49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317.60</w:t>
            </w:r>
          </w:p>
        </w:tc>
        <w:tc>
          <w:tcPr>
            <w:tcW w:w="2551" w:type="dxa"/>
            <w:vAlign w:val="center"/>
          </w:tcPr>
          <w:p>
            <w:pPr>
              <w:pStyle w:val="11"/>
            </w:pPr>
            <w:r>
              <w:t>317.60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57.15</w:t>
            </w:r>
          </w:p>
        </w:tc>
        <w:tc>
          <w:tcPr>
            <w:tcW w:w="2551" w:type="dxa"/>
            <w:vAlign w:val="center"/>
          </w:tcPr>
          <w:p>
            <w:pPr>
              <w:pStyle w:val="11"/>
            </w:pPr>
            <w:r>
              <w:t>57.15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467.23</w:t>
            </w:r>
          </w:p>
        </w:tc>
        <w:tc>
          <w:tcPr>
            <w:tcW w:w="2551" w:type="dxa"/>
            <w:vAlign w:val="center"/>
          </w:tcPr>
          <w:p>
            <w:pPr>
              <w:pStyle w:val="11"/>
            </w:pPr>
            <w:r>
              <w:t>467.23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110.05</w:t>
            </w:r>
          </w:p>
        </w:tc>
        <w:tc>
          <w:tcPr>
            <w:tcW w:w="2551" w:type="dxa"/>
            <w:vAlign w:val="center"/>
          </w:tcPr>
          <w:p>
            <w:pPr>
              <w:pStyle w:val="11"/>
            </w:pPr>
            <w:r>
              <w:t>110.05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55.03</w:t>
            </w:r>
          </w:p>
        </w:tc>
        <w:tc>
          <w:tcPr>
            <w:tcW w:w="2551" w:type="dxa"/>
            <w:vAlign w:val="center"/>
          </w:tcPr>
          <w:p>
            <w:pPr>
              <w:pStyle w:val="11"/>
            </w:pPr>
            <w:r>
              <w:t>55.03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39.74</w:t>
            </w:r>
          </w:p>
        </w:tc>
        <w:tc>
          <w:tcPr>
            <w:tcW w:w="2551" w:type="dxa"/>
            <w:vAlign w:val="center"/>
          </w:tcPr>
          <w:p>
            <w:pPr>
              <w:pStyle w:val="11"/>
            </w:pPr>
            <w:r>
              <w:t>39.74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34.44</w:t>
            </w:r>
          </w:p>
        </w:tc>
        <w:tc>
          <w:tcPr>
            <w:tcW w:w="2551" w:type="dxa"/>
            <w:vAlign w:val="center"/>
          </w:tcPr>
          <w:p>
            <w:pPr>
              <w:pStyle w:val="11"/>
            </w:pPr>
            <w:r>
              <w:t>34.44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6.32</w:t>
            </w:r>
          </w:p>
        </w:tc>
        <w:tc>
          <w:tcPr>
            <w:tcW w:w="2551" w:type="dxa"/>
            <w:vAlign w:val="center"/>
          </w:tcPr>
          <w:p>
            <w:pPr>
              <w:pStyle w:val="11"/>
            </w:pPr>
            <w:r>
              <w:t>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100.92</w:t>
            </w:r>
          </w:p>
        </w:tc>
        <w:tc>
          <w:tcPr>
            <w:tcW w:w="2551" w:type="dxa"/>
            <w:vAlign w:val="center"/>
          </w:tcPr>
          <w:p>
            <w:pPr>
              <w:pStyle w:val="11"/>
            </w:pPr>
            <w:r>
              <w:t>100.92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101.80</w:t>
            </w:r>
          </w:p>
        </w:tc>
        <w:tc>
          <w:tcPr>
            <w:tcW w:w="2551" w:type="dxa"/>
            <w:vAlign w:val="center"/>
          </w:tcPr>
          <w:p>
            <w:pPr>
              <w:pStyle w:val="11"/>
            </w:pPr>
          </w:p>
        </w:tc>
        <w:tc>
          <w:tcPr>
            <w:tcW w:w="2551" w:type="dxa"/>
            <w:vAlign w:val="center"/>
          </w:tcPr>
          <w:p>
            <w:pPr>
              <w:pStyle w:val="11"/>
            </w:pPr>
            <w:r>
              <w:t>101.80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20.80</w:t>
            </w:r>
          </w:p>
        </w:tc>
        <w:tc>
          <w:tcPr>
            <w:tcW w:w="2551" w:type="dxa"/>
            <w:vAlign w:val="center"/>
          </w:tcPr>
          <w:p>
            <w:pPr>
              <w:pStyle w:val="11"/>
            </w:pPr>
          </w:p>
        </w:tc>
        <w:tc>
          <w:tcPr>
            <w:tcW w:w="2551" w:type="dxa"/>
            <w:vAlign w:val="center"/>
          </w:tcPr>
          <w:p>
            <w:pPr>
              <w:pStyle w:val="11"/>
            </w:pPr>
            <w:r>
              <w:t>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17.50</w:t>
            </w:r>
          </w:p>
        </w:tc>
        <w:tc>
          <w:tcPr>
            <w:tcW w:w="2551" w:type="dxa"/>
            <w:vAlign w:val="center"/>
          </w:tcPr>
          <w:p>
            <w:pPr>
              <w:pStyle w:val="11"/>
            </w:pPr>
          </w:p>
        </w:tc>
        <w:tc>
          <w:tcPr>
            <w:tcW w:w="2551" w:type="dxa"/>
            <w:vAlign w:val="center"/>
          </w:tcPr>
          <w:p>
            <w:pPr>
              <w:pStyle w:val="11"/>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1.95</w:t>
            </w:r>
          </w:p>
        </w:tc>
        <w:tc>
          <w:tcPr>
            <w:tcW w:w="2551" w:type="dxa"/>
            <w:vAlign w:val="center"/>
          </w:tcPr>
          <w:p>
            <w:pPr>
              <w:pStyle w:val="11"/>
            </w:pPr>
          </w:p>
        </w:tc>
        <w:tc>
          <w:tcPr>
            <w:tcW w:w="2551" w:type="dxa"/>
            <w:vAlign w:val="center"/>
          </w:tcPr>
          <w:p>
            <w:pPr>
              <w:pStyle w:val="11"/>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33.45</w:t>
            </w:r>
          </w:p>
        </w:tc>
        <w:tc>
          <w:tcPr>
            <w:tcW w:w="2551" w:type="dxa"/>
            <w:vAlign w:val="center"/>
          </w:tcPr>
          <w:p>
            <w:pPr>
              <w:pStyle w:val="11"/>
            </w:pPr>
          </w:p>
        </w:tc>
        <w:tc>
          <w:tcPr>
            <w:tcW w:w="2551" w:type="dxa"/>
            <w:vAlign w:val="center"/>
          </w:tcPr>
          <w:p>
            <w:pPr>
              <w:pStyle w:val="11"/>
            </w:pPr>
            <w:r>
              <w:t>33.45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6.35</w:t>
            </w:r>
          </w:p>
        </w:tc>
        <w:tc>
          <w:tcPr>
            <w:tcW w:w="2551" w:type="dxa"/>
            <w:vAlign w:val="center"/>
          </w:tcPr>
          <w:p>
            <w:pPr>
              <w:pStyle w:val="11"/>
            </w:pPr>
          </w:p>
        </w:tc>
        <w:tc>
          <w:tcPr>
            <w:tcW w:w="2551" w:type="dxa"/>
            <w:vAlign w:val="center"/>
          </w:tcPr>
          <w:p>
            <w:pPr>
              <w:pStyle w:val="11"/>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20.46</w:t>
            </w:r>
          </w:p>
        </w:tc>
        <w:tc>
          <w:tcPr>
            <w:tcW w:w="2551" w:type="dxa"/>
            <w:vAlign w:val="center"/>
          </w:tcPr>
          <w:p>
            <w:pPr>
              <w:pStyle w:val="11"/>
            </w:pPr>
          </w:p>
        </w:tc>
        <w:tc>
          <w:tcPr>
            <w:tcW w:w="2551" w:type="dxa"/>
            <w:vAlign w:val="center"/>
          </w:tcPr>
          <w:p>
            <w:pPr>
              <w:pStyle w:val="11"/>
            </w:pPr>
            <w:r>
              <w:t>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545.64</w:t>
            </w:r>
          </w:p>
        </w:tc>
        <w:tc>
          <w:tcPr>
            <w:tcW w:w="2551" w:type="dxa"/>
            <w:vAlign w:val="center"/>
          </w:tcPr>
          <w:p>
            <w:pPr>
              <w:pStyle w:val="11"/>
            </w:pPr>
            <w:r>
              <w:t>545.64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537.72</w:t>
            </w:r>
          </w:p>
        </w:tc>
        <w:tc>
          <w:tcPr>
            <w:tcW w:w="2551" w:type="dxa"/>
            <w:vAlign w:val="center"/>
          </w:tcPr>
          <w:p>
            <w:pPr>
              <w:pStyle w:val="11"/>
            </w:pPr>
            <w:r>
              <w:t>537.72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566004石家庄市鹿泉区海山公园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石家庄市鹿泉区海山公园2026年单位预算信息公开情况说明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按照《中华人民共和国预算法》、《地方预决算公开操作规程》和《关于进一步推进预算公开工作的实施意见》规定，现将石家庄市鹿泉区海山公园2026年单位预算公开如下：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了满足广大市民休闲和开展文体活动，提高公园管护水平，创造优美环境，加强公园管理，使公园的各种设施充分发挥其功能，为市民提高服务，进一步做好公园管理，设施维护，养护公园的花草树木，便道维修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石家庄市鹿泉区海山公园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2313.60万元，其中：一般公共预算收入2313.60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海山公园年度单位预算中支出预算的总体情况。2026年支出预算2313.60万元，其中基本支出1835.93万元，包括人员经费1734.13万元和日常公用经费101.80万元；项目支出477.66万元，主要为海山公园生产维护费，工程旧欠，2026年涉军人员工资及保险资金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2313.60万元，较2025年预算减少504.54万元，其中：基本支出减少59.50万元，主要为在职转退休、调出等使人员经费及公用经费支出减少。项目支出减少445.05万元，主要为日常生产维护费，工程类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2026年，我单位机关运行经费共计安排101.80万元，主要用于日常维修、办公用房水电费、办公用房取暖费、办公用房物业管理费等日常运行支出。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w:t>
      </w:r>
      <w:bookmarkStart w:id="5" w:name="_GoBack"/>
      <w:bookmarkEnd w:id="5"/>
      <w:r>
        <w:rPr>
          <w:rFonts w:ascii="黑体" w:hAnsi="黑体" w:eastAsia="黑体" w:cs="黑体"/>
          <w:color w:val="000000"/>
          <w:sz w:val="32"/>
        </w:rPr>
        <w:t>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2025与2026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1、2025年摆花坛经费绩效目标表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13011026P00156410638L</w:t>
            </w:r>
          </w:p>
        </w:tc>
        <w:tc>
          <w:tcPr>
            <w:tcW w:w="2835" w:type="dxa"/>
            <w:vAlign w:val="center"/>
          </w:tcPr>
          <w:p>
            <w:pPr>
              <w:pStyle w:val="10"/>
            </w:pPr>
            <w:r>
              <w:t>项目名称</w:t>
            </w:r>
          </w:p>
        </w:tc>
        <w:tc>
          <w:tcPr>
            <w:tcW w:w="6095" w:type="dxa"/>
            <w:gridSpan w:val="3"/>
            <w:vAlign w:val="center"/>
          </w:tcPr>
          <w:p>
            <w:pPr>
              <w:pStyle w:val="12"/>
            </w:pPr>
            <w:r>
              <w:t>2025年摆花坛经费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0.48</w:t>
            </w:r>
          </w:p>
        </w:tc>
        <w:tc>
          <w:tcPr>
            <w:tcW w:w="2835" w:type="dxa"/>
            <w:vAlign w:val="center"/>
          </w:tcPr>
          <w:p>
            <w:pPr>
              <w:pStyle w:val="10"/>
            </w:pPr>
            <w:r>
              <w:t>其中：财政    资金</w:t>
            </w:r>
          </w:p>
        </w:tc>
        <w:tc>
          <w:tcPr>
            <w:tcW w:w="2551" w:type="dxa"/>
            <w:vAlign w:val="center"/>
          </w:tcPr>
          <w:p>
            <w:pPr>
              <w:pStyle w:val="12"/>
            </w:pPr>
            <w:r>
              <w:t>0.48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资金用于2025年摆花坛支出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1.装点公园环境增强节日气氛，为市民休闲娱乐创造优美环境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国庆节完成摆花时间</w:t>
            </w:r>
          </w:p>
        </w:tc>
        <w:tc>
          <w:tcPr>
            <w:tcW w:w="5386" w:type="dxa"/>
            <w:vAlign w:val="center"/>
          </w:tcPr>
          <w:p>
            <w:pPr>
              <w:pStyle w:val="12"/>
            </w:pPr>
            <w:r>
              <w:tab/>
            </w:r>
            <w:r>
              <w:t>9月30日之前完成国庆节摆放花坛</w:t>
            </w:r>
          </w:p>
        </w:tc>
        <w:tc>
          <w:tcPr>
            <w:tcW w:w="2268" w:type="dxa"/>
            <w:vAlign w:val="center"/>
          </w:tcPr>
          <w:p>
            <w:pPr>
              <w:pStyle w:val="12"/>
            </w:pPr>
            <w:r>
              <w:t>9月30日前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更换绢花成本</w:t>
            </w:r>
          </w:p>
        </w:tc>
        <w:tc>
          <w:tcPr>
            <w:tcW w:w="5386" w:type="dxa"/>
            <w:vAlign w:val="center"/>
          </w:tcPr>
          <w:p>
            <w:pPr>
              <w:pStyle w:val="12"/>
            </w:pPr>
            <w:r>
              <w:t>市政广场更换花篮花卉费用</w:t>
            </w:r>
          </w:p>
        </w:tc>
        <w:tc>
          <w:tcPr>
            <w:tcW w:w="2268" w:type="dxa"/>
            <w:vAlign w:val="center"/>
          </w:tcPr>
          <w:p>
            <w:pPr>
              <w:pStyle w:val="12"/>
            </w:pPr>
            <w:r>
              <w:t>≤6.89万元</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更换花篮花卉数量</w:t>
            </w:r>
          </w:p>
        </w:tc>
        <w:tc>
          <w:tcPr>
            <w:tcW w:w="5386" w:type="dxa"/>
            <w:vAlign w:val="center"/>
          </w:tcPr>
          <w:p>
            <w:pPr>
              <w:pStyle w:val="12"/>
            </w:pPr>
            <w:r>
              <w:t>更换市政广场花篮花卉数量</w:t>
            </w:r>
          </w:p>
        </w:tc>
        <w:tc>
          <w:tcPr>
            <w:tcW w:w="2268" w:type="dxa"/>
            <w:vAlign w:val="center"/>
          </w:tcPr>
          <w:p>
            <w:pPr>
              <w:pStyle w:val="12"/>
            </w:pPr>
            <w:r>
              <w:t>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工程验收一次性合格率</w:t>
            </w:r>
          </w:p>
        </w:tc>
        <w:tc>
          <w:tcPr>
            <w:tcW w:w="5386" w:type="dxa"/>
            <w:vAlign w:val="center"/>
          </w:tcPr>
          <w:p>
            <w:pPr>
              <w:pStyle w:val="12"/>
            </w:pPr>
            <w:r>
              <w:t>工程验收一次性合格率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装点游园环境，增强景观效果</w:t>
            </w:r>
          </w:p>
        </w:tc>
        <w:tc>
          <w:tcPr>
            <w:tcW w:w="5386" w:type="dxa"/>
            <w:vAlign w:val="center"/>
          </w:tcPr>
          <w:p>
            <w:pPr>
              <w:pStyle w:val="12"/>
            </w:pPr>
            <w:r>
              <w:t>装点游园环境，增强景观效果、增强节日气氛</w:t>
            </w:r>
          </w:p>
        </w:tc>
        <w:tc>
          <w:tcPr>
            <w:tcW w:w="2268" w:type="dxa"/>
            <w:vAlign w:val="center"/>
          </w:tcPr>
          <w:p>
            <w:pPr>
              <w:pStyle w:val="12"/>
            </w:pPr>
            <w:r>
              <w:t>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摆放持续时间</w:t>
            </w:r>
          </w:p>
        </w:tc>
        <w:tc>
          <w:tcPr>
            <w:tcW w:w="5386" w:type="dxa"/>
            <w:vAlign w:val="center"/>
          </w:tcPr>
          <w:p>
            <w:pPr>
              <w:pStyle w:val="12"/>
            </w:pPr>
            <w:r>
              <w:t>花篮持续摆放在市政广场</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2、2025年节日氛围营造工程绩效目标表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13011026P001564106371</w:t>
            </w:r>
          </w:p>
        </w:tc>
        <w:tc>
          <w:tcPr>
            <w:tcW w:w="2835" w:type="dxa"/>
            <w:vAlign w:val="center"/>
          </w:tcPr>
          <w:p>
            <w:pPr>
              <w:pStyle w:val="10"/>
            </w:pPr>
            <w:r>
              <w:t>项目名称</w:t>
            </w:r>
          </w:p>
        </w:tc>
        <w:tc>
          <w:tcPr>
            <w:tcW w:w="6095" w:type="dxa"/>
            <w:gridSpan w:val="3"/>
            <w:vAlign w:val="center"/>
          </w:tcPr>
          <w:p>
            <w:pPr>
              <w:pStyle w:val="12"/>
            </w:pPr>
            <w:r>
              <w:t>2025年节日氛围营造工程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w:t>
            </w:r>
          </w:p>
        </w:tc>
        <w:tc>
          <w:tcPr>
            <w:tcW w:w="2835" w:type="dxa"/>
            <w:vAlign w:val="center"/>
          </w:tcPr>
          <w:p>
            <w:pPr>
              <w:pStyle w:val="10"/>
            </w:pPr>
            <w:r>
              <w:t>其中：财政    资金</w:t>
            </w:r>
          </w:p>
        </w:tc>
        <w:tc>
          <w:tcPr>
            <w:tcW w:w="2551" w:type="dxa"/>
            <w:vAlign w:val="center"/>
          </w:tcPr>
          <w:p>
            <w:pPr>
              <w:pStyle w:val="12"/>
            </w:pPr>
            <w:r>
              <w:t>1.29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资金用于2025年节日氛围营造工程支出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1.完成2025年春节期间安装灯笼864套、节日小品2套，营造春节氛围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安装灯笼彩灯数量</w:t>
            </w:r>
          </w:p>
        </w:tc>
        <w:tc>
          <w:tcPr>
            <w:tcW w:w="5386" w:type="dxa"/>
            <w:vAlign w:val="center"/>
          </w:tcPr>
          <w:p>
            <w:pPr>
              <w:pStyle w:val="12"/>
            </w:pPr>
            <w:r>
              <w:t>安装灯笼彩灯数量</w:t>
            </w:r>
          </w:p>
        </w:tc>
        <w:tc>
          <w:tcPr>
            <w:tcW w:w="2268" w:type="dxa"/>
            <w:vAlign w:val="center"/>
          </w:tcPr>
          <w:p>
            <w:pPr>
              <w:pStyle w:val="12"/>
            </w:pPr>
            <w:r>
              <w:t>≥864套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安装节日小品</w:t>
            </w:r>
          </w:p>
        </w:tc>
        <w:tc>
          <w:tcPr>
            <w:tcW w:w="5386" w:type="dxa"/>
            <w:vAlign w:val="center"/>
          </w:tcPr>
          <w:p>
            <w:pPr>
              <w:pStyle w:val="12"/>
            </w:pPr>
            <w:r>
              <w:t>安装节日小品</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合格工程量占工程完工总量的比率</w:t>
            </w:r>
          </w:p>
        </w:tc>
        <w:tc>
          <w:tcPr>
            <w:tcW w:w="5386" w:type="dxa"/>
            <w:vAlign w:val="center"/>
          </w:tcPr>
          <w:p>
            <w:pPr>
              <w:pStyle w:val="12"/>
            </w:pPr>
            <w:r>
              <w:t>合格工程量占工程完工总量的比率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安装完工及时率</w:t>
            </w:r>
          </w:p>
        </w:tc>
        <w:tc>
          <w:tcPr>
            <w:tcW w:w="5386" w:type="dxa"/>
            <w:vAlign w:val="center"/>
          </w:tcPr>
          <w:p>
            <w:pPr>
              <w:pStyle w:val="12"/>
            </w:pPr>
            <w:r>
              <w:t>按时完成灯笼安装占安装计划的比率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安装投资费用</w:t>
            </w:r>
          </w:p>
        </w:tc>
        <w:tc>
          <w:tcPr>
            <w:tcW w:w="5386" w:type="dxa"/>
            <w:vAlign w:val="center"/>
          </w:tcPr>
          <w:p>
            <w:pPr>
              <w:pStyle w:val="12"/>
            </w:pPr>
            <w:r>
              <w:t>安装投资费用</w:t>
            </w:r>
          </w:p>
        </w:tc>
        <w:tc>
          <w:tcPr>
            <w:tcW w:w="2268" w:type="dxa"/>
            <w:vAlign w:val="center"/>
          </w:tcPr>
          <w:p>
            <w:pPr>
              <w:pStyle w:val="12"/>
            </w:pPr>
            <w:r>
              <w:t>≤26万元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春节营造社会影响力</w:t>
            </w:r>
          </w:p>
        </w:tc>
        <w:tc>
          <w:tcPr>
            <w:tcW w:w="5386" w:type="dxa"/>
            <w:vAlign w:val="center"/>
          </w:tcPr>
          <w:p>
            <w:pPr>
              <w:pStyle w:val="12"/>
            </w:pPr>
            <w:r>
              <w:t>春节营造社会影响力</w:t>
            </w:r>
          </w:p>
        </w:tc>
        <w:tc>
          <w:tcPr>
            <w:tcW w:w="2268" w:type="dxa"/>
            <w:vAlign w:val="center"/>
          </w:tcPr>
          <w:p>
            <w:pPr>
              <w:pStyle w:val="12"/>
            </w:pPr>
            <w:r>
              <w:t>提升社会影响力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提升春节景观效果</w:t>
            </w:r>
          </w:p>
        </w:tc>
        <w:tc>
          <w:tcPr>
            <w:tcW w:w="5386" w:type="dxa"/>
            <w:vAlign w:val="center"/>
          </w:tcPr>
          <w:p>
            <w:pPr>
              <w:pStyle w:val="12"/>
            </w:pPr>
            <w:r>
              <w:t>提升春节景观效果</w:t>
            </w:r>
          </w:p>
        </w:tc>
        <w:tc>
          <w:tcPr>
            <w:tcW w:w="2268" w:type="dxa"/>
            <w:vAlign w:val="center"/>
          </w:tcPr>
          <w:p>
            <w:pPr>
              <w:pStyle w:val="12"/>
            </w:pPr>
            <w:r>
              <w:t>提升景观效果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13011026P00156410574C</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5.72</w:t>
            </w:r>
          </w:p>
        </w:tc>
        <w:tc>
          <w:tcPr>
            <w:tcW w:w="2835" w:type="dxa"/>
            <w:vAlign w:val="center"/>
          </w:tcPr>
          <w:p>
            <w:pPr>
              <w:pStyle w:val="10"/>
            </w:pPr>
            <w:r>
              <w:t>其中：财政    资金</w:t>
            </w:r>
          </w:p>
        </w:tc>
        <w:tc>
          <w:tcPr>
            <w:tcW w:w="2551" w:type="dxa"/>
            <w:vAlign w:val="center"/>
          </w:tcPr>
          <w:p>
            <w:pPr>
              <w:pStyle w:val="12"/>
            </w:pPr>
            <w:r>
              <w:t>5.72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1.对我单位1名军队退役人员，实施托管安置，帮扶救助到位，实现就业。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涉军劳务派遣人数</w:t>
            </w:r>
          </w:p>
        </w:tc>
        <w:tc>
          <w:tcPr>
            <w:tcW w:w="5386" w:type="dxa"/>
            <w:vAlign w:val="center"/>
          </w:tcPr>
          <w:p>
            <w:pPr>
              <w:pStyle w:val="12"/>
            </w:pPr>
            <w:r>
              <w:t>涉军劳务派遣人数</w:t>
            </w:r>
          </w:p>
        </w:tc>
        <w:tc>
          <w:tcPr>
            <w:tcW w:w="2268" w:type="dxa"/>
            <w:vAlign w:val="center"/>
          </w:tcPr>
          <w:p>
            <w:pPr>
              <w:pStyle w:val="12"/>
            </w:pPr>
            <w:r>
              <w:t>1人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历年经验</w:t>
            </w:r>
          </w:p>
        </w:tc>
        <w:tc>
          <w:tcPr>
            <w:tcW w:w="5386" w:type="dxa"/>
            <w:vAlign w:val="center"/>
          </w:tcPr>
          <w:p>
            <w:pPr>
              <w:pStyle w:val="12"/>
            </w:pPr>
            <w:r>
              <w:t>历年经验</w:t>
            </w:r>
          </w:p>
        </w:tc>
        <w:tc>
          <w:tcPr>
            <w:tcW w:w="2268" w:type="dxa"/>
            <w:vAlign w:val="center"/>
          </w:tcPr>
          <w:p>
            <w:pPr>
              <w:pStyle w:val="12"/>
            </w:pPr>
            <w:r>
              <w:t>40800元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单位缴纳社保费</w:t>
            </w:r>
          </w:p>
        </w:tc>
        <w:tc>
          <w:tcPr>
            <w:tcW w:w="5386" w:type="dxa"/>
            <w:vAlign w:val="center"/>
          </w:tcPr>
          <w:p>
            <w:pPr>
              <w:pStyle w:val="12"/>
            </w:pPr>
            <w:r>
              <w:t>单位缴纳社保费</w:t>
            </w:r>
          </w:p>
        </w:tc>
        <w:tc>
          <w:tcPr>
            <w:tcW w:w="2268" w:type="dxa"/>
            <w:vAlign w:val="center"/>
          </w:tcPr>
          <w:p>
            <w:pPr>
              <w:pStyle w:val="12"/>
            </w:pPr>
            <w:r>
              <w:t>13966.68元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管理费</w:t>
            </w:r>
          </w:p>
        </w:tc>
        <w:tc>
          <w:tcPr>
            <w:tcW w:w="5386" w:type="dxa"/>
            <w:vAlign w:val="center"/>
          </w:tcPr>
          <w:p>
            <w:pPr>
              <w:pStyle w:val="12"/>
            </w:pPr>
            <w:r>
              <w:t>管理费</w:t>
            </w:r>
          </w:p>
        </w:tc>
        <w:tc>
          <w:tcPr>
            <w:tcW w:w="2268" w:type="dxa"/>
            <w:vAlign w:val="center"/>
          </w:tcPr>
          <w:p>
            <w:pPr>
              <w:pStyle w:val="12"/>
            </w:pPr>
            <w:r>
              <w:t>480元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取暖补贴</w:t>
            </w:r>
          </w:p>
        </w:tc>
        <w:tc>
          <w:tcPr>
            <w:tcW w:w="5386" w:type="dxa"/>
            <w:vAlign w:val="center"/>
          </w:tcPr>
          <w:p>
            <w:pPr>
              <w:pStyle w:val="12"/>
            </w:pPr>
            <w:r>
              <w:t>取暖补贴</w:t>
            </w:r>
          </w:p>
        </w:tc>
        <w:tc>
          <w:tcPr>
            <w:tcW w:w="2268" w:type="dxa"/>
            <w:vAlign w:val="center"/>
          </w:tcPr>
          <w:p>
            <w:pPr>
              <w:pStyle w:val="12"/>
            </w:pPr>
            <w:r>
              <w:t>1900元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工资待遇发放率</w:t>
            </w:r>
          </w:p>
        </w:tc>
        <w:tc>
          <w:tcPr>
            <w:tcW w:w="5386" w:type="dxa"/>
            <w:vAlign w:val="center"/>
          </w:tcPr>
          <w:p>
            <w:pPr>
              <w:pStyle w:val="12"/>
            </w:pPr>
            <w:r>
              <w:t>工资待遇发放率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审批发放及时率</w:t>
            </w:r>
          </w:p>
        </w:tc>
        <w:tc>
          <w:tcPr>
            <w:tcW w:w="5386" w:type="dxa"/>
            <w:vAlign w:val="center"/>
          </w:tcPr>
          <w:p>
            <w:pPr>
              <w:pStyle w:val="12"/>
            </w:pPr>
            <w:r>
              <w:t>审批发放及时率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改善退役军人就业环境</w:t>
            </w:r>
          </w:p>
        </w:tc>
        <w:tc>
          <w:tcPr>
            <w:tcW w:w="5386" w:type="dxa"/>
            <w:vAlign w:val="center"/>
          </w:tcPr>
          <w:p>
            <w:pPr>
              <w:pStyle w:val="12"/>
            </w:pPr>
            <w:r>
              <w:t>改善退役军人就业环境</w:t>
            </w:r>
          </w:p>
        </w:tc>
        <w:tc>
          <w:tcPr>
            <w:tcW w:w="2268" w:type="dxa"/>
            <w:vAlign w:val="center"/>
          </w:tcPr>
          <w:p>
            <w:pPr>
              <w:pStyle w:val="12"/>
            </w:pPr>
            <w:r>
              <w:t>改善</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持续改善退役军人就业保障，提高退役军人社会认可度</w:t>
            </w:r>
          </w:p>
        </w:tc>
        <w:tc>
          <w:tcPr>
            <w:tcW w:w="5386" w:type="dxa"/>
            <w:vAlign w:val="center"/>
          </w:tcPr>
          <w:p>
            <w:pPr>
              <w:pStyle w:val="12"/>
            </w:pPr>
            <w:r>
              <w:t>持续改善退役军人就业保障，提高退役军人社会认可度</w:t>
            </w:r>
          </w:p>
        </w:tc>
        <w:tc>
          <w:tcPr>
            <w:tcW w:w="2268" w:type="dxa"/>
            <w:vAlign w:val="center"/>
          </w:tcPr>
          <w:p>
            <w:pPr>
              <w:pStyle w:val="12"/>
            </w:pPr>
            <w:r>
              <w:t>持续改善、提高</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派遣岗位上退役军人的满意度</w:t>
            </w:r>
          </w:p>
        </w:tc>
        <w:tc>
          <w:tcPr>
            <w:tcW w:w="5386" w:type="dxa"/>
            <w:vAlign w:val="center"/>
          </w:tcPr>
          <w:p>
            <w:pPr>
              <w:pStyle w:val="12"/>
            </w:pPr>
            <w:r>
              <w:t>派遣岗位上退役军人的满意度</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4、北太平河河道治理工程（北斗路-镇宁路）绩效目标表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13011026P00156410636D</w:t>
            </w:r>
          </w:p>
        </w:tc>
        <w:tc>
          <w:tcPr>
            <w:tcW w:w="2835" w:type="dxa"/>
            <w:vAlign w:val="center"/>
          </w:tcPr>
          <w:p>
            <w:pPr>
              <w:pStyle w:val="10"/>
            </w:pPr>
            <w:r>
              <w:t>项目名称</w:t>
            </w:r>
          </w:p>
        </w:tc>
        <w:tc>
          <w:tcPr>
            <w:tcW w:w="6095" w:type="dxa"/>
            <w:gridSpan w:val="3"/>
            <w:vAlign w:val="center"/>
          </w:tcPr>
          <w:p>
            <w:pPr>
              <w:pStyle w:val="12"/>
            </w:pPr>
            <w:r>
              <w:t>北太平河河道治理工程（北斗路-镇宁路）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0.18</w:t>
            </w:r>
          </w:p>
        </w:tc>
        <w:tc>
          <w:tcPr>
            <w:tcW w:w="2835" w:type="dxa"/>
            <w:vAlign w:val="center"/>
          </w:tcPr>
          <w:p>
            <w:pPr>
              <w:pStyle w:val="10"/>
            </w:pPr>
            <w:r>
              <w:t>其中：财政    资金</w:t>
            </w:r>
          </w:p>
        </w:tc>
        <w:tc>
          <w:tcPr>
            <w:tcW w:w="2551" w:type="dxa"/>
            <w:vAlign w:val="center"/>
          </w:tcPr>
          <w:p>
            <w:pPr>
              <w:pStyle w:val="12"/>
            </w:pPr>
            <w:r>
              <w:t>0.18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资金用于北太平河河道治理工程（北斗路-镇宁路）支出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1.保障市民安全，维护河道通畅。</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北太平河河道治理管护工程验收合格的工程量占工程总量的比率</w:t>
            </w:r>
          </w:p>
        </w:tc>
        <w:tc>
          <w:tcPr>
            <w:tcW w:w="2268" w:type="dxa"/>
            <w:vAlign w:val="center"/>
          </w:tcPr>
          <w:p>
            <w:pPr>
              <w:pStyle w:val="12"/>
            </w:pPr>
            <w:r>
              <w:t>100%</w:t>
            </w:r>
          </w:p>
        </w:tc>
        <w:tc>
          <w:tcPr>
            <w:tcW w:w="1276" w:type="dxa"/>
            <w:vAlign w:val="center"/>
          </w:tcPr>
          <w:p>
            <w:pPr>
              <w:pStyle w:val="12"/>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工程完工及时率</w:t>
            </w:r>
          </w:p>
        </w:tc>
        <w:tc>
          <w:tcPr>
            <w:tcW w:w="2268" w:type="dxa"/>
            <w:vAlign w:val="center"/>
          </w:tcPr>
          <w:p>
            <w:pPr>
              <w:pStyle w:val="12"/>
            </w:pPr>
            <w:r>
              <w:t>100%</w:t>
            </w:r>
          </w:p>
        </w:tc>
        <w:tc>
          <w:tcPr>
            <w:tcW w:w="1276" w:type="dxa"/>
            <w:vAlign w:val="center"/>
          </w:tcPr>
          <w:p>
            <w:pPr>
              <w:pStyle w:val="12"/>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清理河道淤泥</w:t>
            </w:r>
          </w:p>
        </w:tc>
        <w:tc>
          <w:tcPr>
            <w:tcW w:w="5386" w:type="dxa"/>
            <w:vAlign w:val="center"/>
          </w:tcPr>
          <w:p>
            <w:pPr>
              <w:pStyle w:val="12"/>
            </w:pPr>
            <w:r>
              <w:t>清理河道淤泥数量</w:t>
            </w:r>
          </w:p>
        </w:tc>
        <w:tc>
          <w:tcPr>
            <w:tcW w:w="2268" w:type="dxa"/>
            <w:vAlign w:val="center"/>
          </w:tcPr>
          <w:p>
            <w:pPr>
              <w:pStyle w:val="12"/>
            </w:pPr>
            <w:r>
              <w:t>≥1250m3</w:t>
            </w:r>
          </w:p>
        </w:tc>
        <w:tc>
          <w:tcPr>
            <w:tcW w:w="1276" w:type="dxa"/>
            <w:vAlign w:val="center"/>
          </w:tcPr>
          <w:p>
            <w:pPr>
              <w:pStyle w:val="12"/>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w:t>
            </w:r>
          </w:p>
        </w:tc>
        <w:tc>
          <w:tcPr>
            <w:tcW w:w="5386" w:type="dxa"/>
            <w:vAlign w:val="center"/>
          </w:tcPr>
          <w:p>
            <w:pPr>
              <w:pStyle w:val="12"/>
            </w:pPr>
            <w:r>
              <w:t>完成河道治理管护工程所需成本</w:t>
            </w:r>
          </w:p>
        </w:tc>
        <w:tc>
          <w:tcPr>
            <w:tcW w:w="2268" w:type="dxa"/>
            <w:vAlign w:val="center"/>
          </w:tcPr>
          <w:p>
            <w:pPr>
              <w:pStyle w:val="12"/>
            </w:pPr>
            <w:r>
              <w:t>≤12.57万元</w:t>
            </w:r>
          </w:p>
        </w:tc>
        <w:tc>
          <w:tcPr>
            <w:tcW w:w="1276" w:type="dxa"/>
            <w:vAlign w:val="center"/>
          </w:tcPr>
          <w:p>
            <w:pPr>
              <w:pStyle w:val="12"/>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消除安全隐患，美化景观效果</w:t>
            </w:r>
          </w:p>
        </w:tc>
        <w:tc>
          <w:tcPr>
            <w:tcW w:w="2268" w:type="dxa"/>
            <w:vAlign w:val="center"/>
          </w:tcPr>
          <w:p>
            <w:pPr>
              <w:pStyle w:val="12"/>
            </w:pPr>
            <w:r>
              <w:t>消除、美化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治理管护后的河道满足城市防洪排涝需求</w:t>
            </w:r>
          </w:p>
        </w:tc>
        <w:tc>
          <w:tcPr>
            <w:tcW w:w="2268" w:type="dxa"/>
            <w:vAlign w:val="center"/>
          </w:tcPr>
          <w:p>
            <w:pPr>
              <w:pStyle w:val="12"/>
            </w:pPr>
            <w:r>
              <w:t>满足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游客满意度</w:t>
            </w:r>
          </w:p>
        </w:tc>
        <w:tc>
          <w:tcPr>
            <w:tcW w:w="5386" w:type="dxa"/>
            <w:vAlign w:val="center"/>
          </w:tcPr>
          <w:p>
            <w:pPr>
              <w:pStyle w:val="12"/>
            </w:pPr>
            <w:r>
              <w:t>游客满意度</w:t>
            </w:r>
          </w:p>
        </w:tc>
        <w:tc>
          <w:tcPr>
            <w:tcW w:w="2268" w:type="dxa"/>
            <w:vAlign w:val="center"/>
          </w:tcPr>
          <w:p>
            <w:pPr>
              <w:pStyle w:val="12"/>
            </w:pPr>
            <w:r>
              <w:t>≥95%</w:t>
            </w:r>
          </w:p>
        </w:tc>
        <w:tc>
          <w:tcPr>
            <w:tcW w:w="1276" w:type="dxa"/>
            <w:vAlign w:val="center"/>
          </w:tcPr>
          <w:p>
            <w:pPr>
              <w:pStyle w:val="12"/>
            </w:pPr>
            <w:r>
              <w:t>历年经验</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5、海山公园生产维护费绩效目标表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13011026P001564106346</w:t>
            </w:r>
          </w:p>
        </w:tc>
        <w:tc>
          <w:tcPr>
            <w:tcW w:w="2835" w:type="dxa"/>
            <w:vAlign w:val="center"/>
          </w:tcPr>
          <w:p>
            <w:pPr>
              <w:pStyle w:val="10"/>
            </w:pPr>
            <w:r>
              <w:t>项目名称</w:t>
            </w:r>
          </w:p>
        </w:tc>
        <w:tc>
          <w:tcPr>
            <w:tcW w:w="6095" w:type="dxa"/>
            <w:gridSpan w:val="3"/>
            <w:vAlign w:val="center"/>
          </w:tcPr>
          <w:p>
            <w:pPr>
              <w:pStyle w:val="12"/>
            </w:pPr>
            <w:r>
              <w:t>海山公园生产维护费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470.00</w:t>
            </w:r>
          </w:p>
        </w:tc>
        <w:tc>
          <w:tcPr>
            <w:tcW w:w="2835" w:type="dxa"/>
            <w:vAlign w:val="center"/>
          </w:tcPr>
          <w:p>
            <w:pPr>
              <w:pStyle w:val="10"/>
            </w:pPr>
            <w:r>
              <w:t>其中：财政    资金</w:t>
            </w:r>
          </w:p>
        </w:tc>
        <w:tc>
          <w:tcPr>
            <w:tcW w:w="2551" w:type="dxa"/>
            <w:vAlign w:val="center"/>
          </w:tcPr>
          <w:p>
            <w:pPr>
              <w:pStyle w:val="12"/>
            </w:pPr>
            <w:r>
              <w:t>470.00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资金用于日常生产维护支出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1.为市民提供环境优美，秩序井然的活动场所，保证公园及广场的正常运行。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公园及广场绿地管护面积</w:t>
            </w:r>
          </w:p>
        </w:tc>
        <w:tc>
          <w:tcPr>
            <w:tcW w:w="5386" w:type="dxa"/>
            <w:vAlign w:val="center"/>
          </w:tcPr>
          <w:p>
            <w:pPr>
              <w:pStyle w:val="12"/>
            </w:pPr>
            <w:r>
              <w:t>海山公园、市政广场、鹿源广场、石榴红了主题园、南太平河、龙凤湖、北太平河（北斗路-镇宁路）管护面积</w:t>
            </w:r>
          </w:p>
        </w:tc>
        <w:tc>
          <w:tcPr>
            <w:tcW w:w="2268" w:type="dxa"/>
            <w:vAlign w:val="center"/>
          </w:tcPr>
          <w:p>
            <w:pPr>
              <w:pStyle w:val="12"/>
            </w:pPr>
            <w:r>
              <w:t>1100000㎡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喷泉数量</w:t>
            </w:r>
          </w:p>
        </w:tc>
        <w:tc>
          <w:tcPr>
            <w:tcW w:w="5386" w:type="dxa"/>
            <w:vAlign w:val="center"/>
          </w:tcPr>
          <w:p>
            <w:pPr>
              <w:pStyle w:val="12"/>
            </w:pPr>
            <w:r>
              <w:t>公园及广场喷泉设备数量</w:t>
            </w:r>
          </w:p>
        </w:tc>
        <w:tc>
          <w:tcPr>
            <w:tcW w:w="2268" w:type="dxa"/>
            <w:vAlign w:val="center"/>
          </w:tcPr>
          <w:p>
            <w:pPr>
              <w:pStyle w:val="12"/>
            </w:pPr>
            <w:r>
              <w:t>3座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公厕数量</w:t>
            </w:r>
          </w:p>
        </w:tc>
        <w:tc>
          <w:tcPr>
            <w:tcW w:w="5386" w:type="dxa"/>
            <w:vAlign w:val="center"/>
          </w:tcPr>
          <w:p>
            <w:pPr>
              <w:pStyle w:val="12"/>
            </w:pPr>
            <w:r>
              <w:t>公园及广场日常维护的公厕数量</w:t>
            </w:r>
          </w:p>
        </w:tc>
        <w:tc>
          <w:tcPr>
            <w:tcW w:w="2268" w:type="dxa"/>
            <w:vAlign w:val="center"/>
          </w:tcPr>
          <w:p>
            <w:pPr>
              <w:pStyle w:val="12"/>
            </w:pPr>
            <w:r>
              <w:t>≥6座</w:t>
            </w:r>
          </w:p>
        </w:tc>
        <w:tc>
          <w:tcPr>
            <w:tcW w:w="1276" w:type="dxa"/>
            <w:vAlign w:val="center"/>
          </w:tcPr>
          <w:p>
            <w:pPr>
              <w:pStyle w:val="12"/>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管护工作按时完成率</w:t>
            </w:r>
          </w:p>
        </w:tc>
        <w:tc>
          <w:tcPr>
            <w:tcW w:w="5386" w:type="dxa"/>
            <w:vAlign w:val="center"/>
          </w:tcPr>
          <w:p>
            <w:pPr>
              <w:pStyle w:val="12"/>
            </w:pPr>
            <w:r>
              <w:t>管护工作按时完成的工作量占工作总量的比率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5386" w:type="dxa"/>
            <w:vAlign w:val="center"/>
          </w:tcPr>
          <w:p>
            <w:pPr>
              <w:pStyle w:val="12"/>
            </w:pPr>
            <w:r>
              <w:t>亮化等基础设施完好设施占总设施的比率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单位绿化管护成本</w:t>
            </w:r>
          </w:p>
        </w:tc>
        <w:tc>
          <w:tcPr>
            <w:tcW w:w="5386" w:type="dxa"/>
            <w:vAlign w:val="center"/>
          </w:tcPr>
          <w:p>
            <w:pPr>
              <w:pStyle w:val="12"/>
            </w:pPr>
            <w:r>
              <w:t>完成绿地养护的标准</w:t>
            </w:r>
          </w:p>
        </w:tc>
        <w:tc>
          <w:tcPr>
            <w:tcW w:w="2268" w:type="dxa"/>
            <w:vAlign w:val="center"/>
          </w:tcPr>
          <w:p>
            <w:pPr>
              <w:pStyle w:val="12"/>
            </w:pPr>
            <w:r>
              <w:t>≤5.5元/平方米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单位保洁管护成本</w:t>
            </w:r>
          </w:p>
        </w:tc>
        <w:tc>
          <w:tcPr>
            <w:tcW w:w="5386" w:type="dxa"/>
            <w:vAlign w:val="center"/>
          </w:tcPr>
          <w:p>
            <w:pPr>
              <w:pStyle w:val="12"/>
            </w:pPr>
            <w:r>
              <w:t>完成保洁养护的标准</w:t>
            </w:r>
          </w:p>
        </w:tc>
        <w:tc>
          <w:tcPr>
            <w:tcW w:w="2268" w:type="dxa"/>
            <w:vAlign w:val="center"/>
          </w:tcPr>
          <w:p>
            <w:pPr>
              <w:pStyle w:val="12"/>
            </w:pPr>
            <w:r>
              <w:t>≤3元/平方米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满足游客的休闲娱乐需求、美化景观效果、提升城市品位</w:t>
            </w:r>
          </w:p>
        </w:tc>
        <w:tc>
          <w:tcPr>
            <w:tcW w:w="5386" w:type="dxa"/>
            <w:vAlign w:val="center"/>
          </w:tcPr>
          <w:p>
            <w:pPr>
              <w:pStyle w:val="12"/>
            </w:pPr>
            <w:r>
              <w:t>满足游客的休闲娱乐需求、美化景观效果、提升城市品位</w:t>
            </w:r>
          </w:p>
        </w:tc>
        <w:tc>
          <w:tcPr>
            <w:tcW w:w="2268" w:type="dxa"/>
            <w:vAlign w:val="center"/>
          </w:tcPr>
          <w:p>
            <w:pPr>
              <w:pStyle w:val="12"/>
            </w:pPr>
            <w:r>
              <w:t>满足、美化</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工作效率完成情况</w:t>
            </w:r>
          </w:p>
        </w:tc>
        <w:tc>
          <w:tcPr>
            <w:tcW w:w="5386" w:type="dxa"/>
            <w:vAlign w:val="center"/>
          </w:tcPr>
          <w:p>
            <w:pPr>
              <w:pStyle w:val="12"/>
            </w:pPr>
            <w:r>
              <w:t>基础设施设备的维修、更换、改造是否让工作效率得到提升</w:t>
            </w:r>
          </w:p>
        </w:tc>
        <w:tc>
          <w:tcPr>
            <w:tcW w:w="2268" w:type="dxa"/>
            <w:vAlign w:val="center"/>
          </w:tcPr>
          <w:p>
            <w:pPr>
              <w:pStyle w:val="12"/>
            </w:pPr>
            <w:r>
              <w:t>明显提升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566004石家庄市鹿泉区海山公园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0.42</w:t>
            </w:r>
          </w:p>
        </w:tc>
        <w:tc>
          <w:tcPr>
            <w:tcW w:w="964" w:type="dxa"/>
            <w:vAlign w:val="center"/>
          </w:tcPr>
          <w:p>
            <w:pPr>
              <w:pStyle w:val="15"/>
            </w:pPr>
            <w:r>
              <w:t>0.42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石家庄市鹿泉区海山公园小计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0.42</w:t>
            </w:r>
          </w:p>
        </w:tc>
        <w:tc>
          <w:tcPr>
            <w:tcW w:w="964" w:type="dxa"/>
            <w:vAlign w:val="center"/>
          </w:tcPr>
          <w:p>
            <w:pPr>
              <w:pStyle w:val="15"/>
            </w:pPr>
            <w:r>
              <w:t>0.42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39.60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180</w:t>
            </w:r>
          </w:p>
        </w:tc>
        <w:tc>
          <w:tcPr>
            <w:tcW w:w="850" w:type="dxa"/>
            <w:vAlign w:val="center"/>
          </w:tcPr>
          <w:p>
            <w:pPr>
              <w:pStyle w:val="11"/>
            </w:pPr>
            <w:r>
              <w:t>0.00</w:t>
            </w:r>
          </w:p>
        </w:tc>
        <w:tc>
          <w:tcPr>
            <w:tcW w:w="964" w:type="dxa"/>
            <w:vAlign w:val="center"/>
          </w:tcPr>
          <w:p>
            <w:pPr>
              <w:pStyle w:val="11"/>
            </w:pPr>
            <w:r>
              <w:t>0.42</w:t>
            </w:r>
          </w:p>
        </w:tc>
        <w:tc>
          <w:tcPr>
            <w:tcW w:w="964" w:type="dxa"/>
            <w:vAlign w:val="center"/>
          </w:tcPr>
          <w:p>
            <w:pPr>
              <w:pStyle w:val="11"/>
            </w:pPr>
            <w:r>
              <w:t>0.42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石家庄市鹿泉区海山公园上年末固定资产金额为540.77万元（详见下表）。本年度拟购置固定资产总额为0.00万元，已按要求列入政府采购预算，详见政府采购预算表。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566004石家庄市鹿泉区海山公园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540.77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378.74</w:t>
            </w:r>
          </w:p>
        </w:tc>
        <w:tc>
          <w:tcPr>
            <w:tcW w:w="2835" w:type="dxa"/>
            <w:vAlign w:val="center"/>
          </w:tcPr>
          <w:p>
            <w:pPr>
              <w:pStyle w:val="11"/>
            </w:pPr>
            <w:r>
              <w:t>89.77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1085</w:t>
            </w:r>
          </w:p>
        </w:tc>
        <w:tc>
          <w:tcPr>
            <w:tcW w:w="2835" w:type="dxa"/>
            <w:vAlign w:val="center"/>
          </w:tcPr>
          <w:p>
            <w:pPr>
              <w:pStyle w:val="11"/>
            </w:pPr>
            <w:r>
              <w:t>441.28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1340"/>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、石家庄市鹿泉区市政公用设施管理维护中心收支预算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723.55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437.27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723.55</w:t>
            </w:r>
          </w:p>
        </w:tc>
        <w:tc>
          <w:tcPr>
            <w:tcW w:w="4535" w:type="dxa"/>
            <w:vAlign w:val="center"/>
          </w:tcPr>
          <w:p>
            <w:pPr>
              <w:pStyle w:val="14"/>
            </w:pPr>
            <w:r>
              <w:t>本年支出合计</w:t>
            </w:r>
          </w:p>
        </w:tc>
        <w:tc>
          <w:tcPr>
            <w:tcW w:w="2126" w:type="dxa"/>
            <w:vAlign w:val="center"/>
          </w:tcPr>
          <w:p>
            <w:pPr>
              <w:pStyle w:val="15"/>
            </w:pPr>
            <w:r>
              <w:t>723.55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723.55</w:t>
            </w:r>
          </w:p>
        </w:tc>
        <w:tc>
          <w:tcPr>
            <w:tcW w:w="4535" w:type="dxa"/>
            <w:vAlign w:val="center"/>
          </w:tcPr>
          <w:p>
            <w:pPr>
              <w:pStyle w:val="14"/>
            </w:pPr>
            <w:r>
              <w:t>支出总计</w:t>
            </w:r>
          </w:p>
        </w:tc>
        <w:tc>
          <w:tcPr>
            <w:tcW w:w="2126" w:type="dxa"/>
            <w:vAlign w:val="center"/>
          </w:tcPr>
          <w:p>
            <w:pPr>
              <w:pStyle w:val="15"/>
            </w:pPr>
            <w:r>
              <w:t>723.55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723.55</w:t>
            </w:r>
          </w:p>
        </w:tc>
        <w:tc>
          <w:tcPr>
            <w:tcW w:w="1134" w:type="dxa"/>
            <w:vAlign w:val="center"/>
          </w:tcPr>
          <w:p>
            <w:pPr>
              <w:pStyle w:val="15"/>
            </w:pPr>
            <w:r>
              <w:t>723.55</w:t>
            </w:r>
          </w:p>
        </w:tc>
        <w:tc>
          <w:tcPr>
            <w:tcW w:w="1134" w:type="dxa"/>
            <w:vAlign w:val="center"/>
          </w:tcPr>
          <w:p>
            <w:pPr>
              <w:pStyle w:val="15"/>
            </w:pPr>
            <w:r>
              <w:t>723.55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286.28</w:t>
            </w:r>
          </w:p>
        </w:tc>
        <w:tc>
          <w:tcPr>
            <w:tcW w:w="1134" w:type="dxa"/>
            <w:vAlign w:val="center"/>
          </w:tcPr>
          <w:p>
            <w:pPr>
              <w:pStyle w:val="11"/>
            </w:pPr>
            <w:r>
              <w:t>286.28</w:t>
            </w:r>
          </w:p>
        </w:tc>
        <w:tc>
          <w:tcPr>
            <w:tcW w:w="1134" w:type="dxa"/>
            <w:vAlign w:val="center"/>
          </w:tcPr>
          <w:p>
            <w:pPr>
              <w:pStyle w:val="11"/>
            </w:pPr>
            <w:r>
              <w:t>286.28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274.79</w:t>
            </w:r>
          </w:p>
        </w:tc>
        <w:tc>
          <w:tcPr>
            <w:tcW w:w="1134" w:type="dxa"/>
            <w:vAlign w:val="center"/>
          </w:tcPr>
          <w:p>
            <w:pPr>
              <w:pStyle w:val="11"/>
            </w:pPr>
            <w:r>
              <w:t>274.79</w:t>
            </w:r>
          </w:p>
        </w:tc>
        <w:tc>
          <w:tcPr>
            <w:tcW w:w="1134" w:type="dxa"/>
            <w:vAlign w:val="center"/>
          </w:tcPr>
          <w:p>
            <w:pPr>
              <w:pStyle w:val="11"/>
            </w:pPr>
            <w:r>
              <w:t>274.79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274.79</w:t>
            </w:r>
          </w:p>
        </w:tc>
        <w:tc>
          <w:tcPr>
            <w:tcW w:w="1134" w:type="dxa"/>
            <w:vAlign w:val="center"/>
          </w:tcPr>
          <w:p>
            <w:pPr>
              <w:pStyle w:val="11"/>
            </w:pPr>
            <w:r>
              <w:t>274.79</w:t>
            </w:r>
          </w:p>
        </w:tc>
        <w:tc>
          <w:tcPr>
            <w:tcW w:w="1134" w:type="dxa"/>
            <w:vAlign w:val="center"/>
          </w:tcPr>
          <w:p>
            <w:pPr>
              <w:pStyle w:val="11"/>
            </w:pPr>
            <w:r>
              <w:t>274.79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r>
              <w:t>11.49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437.27</w:t>
            </w:r>
          </w:p>
        </w:tc>
        <w:tc>
          <w:tcPr>
            <w:tcW w:w="1134" w:type="dxa"/>
            <w:vAlign w:val="center"/>
          </w:tcPr>
          <w:p>
            <w:pPr>
              <w:pStyle w:val="11"/>
            </w:pPr>
            <w:r>
              <w:t>437.27</w:t>
            </w:r>
          </w:p>
        </w:tc>
        <w:tc>
          <w:tcPr>
            <w:tcW w:w="1134" w:type="dxa"/>
            <w:vAlign w:val="center"/>
          </w:tcPr>
          <w:p>
            <w:pPr>
              <w:pStyle w:val="11"/>
            </w:pPr>
            <w:r>
              <w:t>437.27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437.27</w:t>
            </w:r>
          </w:p>
        </w:tc>
        <w:tc>
          <w:tcPr>
            <w:tcW w:w="1134" w:type="dxa"/>
            <w:vAlign w:val="center"/>
          </w:tcPr>
          <w:p>
            <w:pPr>
              <w:pStyle w:val="11"/>
            </w:pPr>
            <w:r>
              <w:t>437.27</w:t>
            </w:r>
          </w:p>
        </w:tc>
        <w:tc>
          <w:tcPr>
            <w:tcW w:w="1134" w:type="dxa"/>
            <w:vAlign w:val="center"/>
          </w:tcPr>
          <w:p>
            <w:pPr>
              <w:pStyle w:val="11"/>
            </w:pPr>
            <w:r>
              <w:t>437.27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106.95</w:t>
            </w:r>
          </w:p>
        </w:tc>
        <w:tc>
          <w:tcPr>
            <w:tcW w:w="1134" w:type="dxa"/>
            <w:vAlign w:val="center"/>
          </w:tcPr>
          <w:p>
            <w:pPr>
              <w:pStyle w:val="11"/>
            </w:pPr>
            <w:r>
              <w:t>106.95</w:t>
            </w:r>
          </w:p>
        </w:tc>
        <w:tc>
          <w:tcPr>
            <w:tcW w:w="1134" w:type="dxa"/>
            <w:vAlign w:val="center"/>
          </w:tcPr>
          <w:p>
            <w:pPr>
              <w:pStyle w:val="11"/>
            </w:pPr>
            <w:r>
              <w:t>106.95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330.33</w:t>
            </w:r>
          </w:p>
        </w:tc>
        <w:tc>
          <w:tcPr>
            <w:tcW w:w="1134" w:type="dxa"/>
            <w:vAlign w:val="center"/>
          </w:tcPr>
          <w:p>
            <w:pPr>
              <w:pStyle w:val="11"/>
            </w:pPr>
            <w:r>
              <w:t>330.33</w:t>
            </w:r>
          </w:p>
        </w:tc>
        <w:tc>
          <w:tcPr>
            <w:tcW w:w="1134" w:type="dxa"/>
            <w:vAlign w:val="center"/>
          </w:tcPr>
          <w:p>
            <w:pPr>
              <w:pStyle w:val="11"/>
            </w:pPr>
            <w:r>
              <w:t>330.33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723.55</w:t>
            </w:r>
          </w:p>
        </w:tc>
        <w:tc>
          <w:tcPr>
            <w:tcW w:w="1361" w:type="dxa"/>
            <w:vAlign w:val="center"/>
          </w:tcPr>
          <w:p>
            <w:pPr>
              <w:pStyle w:val="15"/>
            </w:pPr>
            <w:r>
              <w:t>605.12</w:t>
            </w:r>
          </w:p>
        </w:tc>
        <w:tc>
          <w:tcPr>
            <w:tcW w:w="1361" w:type="dxa"/>
            <w:vAlign w:val="center"/>
          </w:tcPr>
          <w:p>
            <w:pPr>
              <w:pStyle w:val="15"/>
            </w:pPr>
            <w:r>
              <w:t>118.44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286.28</w:t>
            </w:r>
          </w:p>
        </w:tc>
        <w:tc>
          <w:tcPr>
            <w:tcW w:w="1361" w:type="dxa"/>
            <w:vAlign w:val="center"/>
          </w:tcPr>
          <w:p>
            <w:pPr>
              <w:pStyle w:val="11"/>
            </w:pPr>
            <w:r>
              <w:t>274.79</w:t>
            </w: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274.79</w:t>
            </w:r>
          </w:p>
        </w:tc>
        <w:tc>
          <w:tcPr>
            <w:tcW w:w="1361" w:type="dxa"/>
            <w:vAlign w:val="center"/>
          </w:tcPr>
          <w:p>
            <w:pPr>
              <w:pStyle w:val="11"/>
            </w:pPr>
            <w:r>
              <w:t>274.79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274.79</w:t>
            </w:r>
          </w:p>
        </w:tc>
        <w:tc>
          <w:tcPr>
            <w:tcW w:w="1361" w:type="dxa"/>
            <w:vAlign w:val="center"/>
          </w:tcPr>
          <w:p>
            <w:pPr>
              <w:pStyle w:val="11"/>
            </w:pPr>
            <w:r>
              <w:t>274.79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r>
              <w:t>11.49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437.27</w:t>
            </w:r>
          </w:p>
        </w:tc>
        <w:tc>
          <w:tcPr>
            <w:tcW w:w="1361" w:type="dxa"/>
            <w:vAlign w:val="center"/>
          </w:tcPr>
          <w:p>
            <w:pPr>
              <w:pStyle w:val="11"/>
            </w:pPr>
            <w:r>
              <w:t>330.33</w:t>
            </w:r>
          </w:p>
        </w:tc>
        <w:tc>
          <w:tcPr>
            <w:tcW w:w="1361" w:type="dxa"/>
            <w:vAlign w:val="center"/>
          </w:tcPr>
          <w:p>
            <w:pPr>
              <w:pStyle w:val="11"/>
            </w:pPr>
            <w:r>
              <w:t>106.95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437.27</w:t>
            </w:r>
          </w:p>
        </w:tc>
        <w:tc>
          <w:tcPr>
            <w:tcW w:w="1361" w:type="dxa"/>
            <w:vAlign w:val="center"/>
          </w:tcPr>
          <w:p>
            <w:pPr>
              <w:pStyle w:val="11"/>
            </w:pPr>
            <w:r>
              <w:t>330.33</w:t>
            </w:r>
          </w:p>
        </w:tc>
        <w:tc>
          <w:tcPr>
            <w:tcW w:w="1361" w:type="dxa"/>
            <w:vAlign w:val="center"/>
          </w:tcPr>
          <w:p>
            <w:pPr>
              <w:pStyle w:val="11"/>
            </w:pPr>
            <w:r>
              <w:t>106.95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106.95</w:t>
            </w:r>
          </w:p>
        </w:tc>
        <w:tc>
          <w:tcPr>
            <w:tcW w:w="1361" w:type="dxa"/>
            <w:vAlign w:val="center"/>
          </w:tcPr>
          <w:p>
            <w:pPr>
              <w:pStyle w:val="11"/>
            </w:pPr>
          </w:p>
        </w:tc>
        <w:tc>
          <w:tcPr>
            <w:tcW w:w="1361" w:type="dxa"/>
            <w:vAlign w:val="center"/>
          </w:tcPr>
          <w:p>
            <w:pPr>
              <w:pStyle w:val="11"/>
            </w:pPr>
            <w:r>
              <w:t>106.95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330.33</w:t>
            </w:r>
          </w:p>
        </w:tc>
        <w:tc>
          <w:tcPr>
            <w:tcW w:w="1361" w:type="dxa"/>
            <w:vAlign w:val="center"/>
          </w:tcPr>
          <w:p>
            <w:pPr>
              <w:pStyle w:val="11"/>
            </w:pPr>
            <w:r>
              <w:t>330.33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723.55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286.28</w:t>
            </w:r>
          </w:p>
        </w:tc>
        <w:tc>
          <w:tcPr>
            <w:tcW w:w="1474" w:type="dxa"/>
            <w:vAlign w:val="center"/>
          </w:tcPr>
          <w:p>
            <w:pPr>
              <w:pStyle w:val="11"/>
            </w:pPr>
            <w:r>
              <w:t>286.28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437.27</w:t>
            </w:r>
          </w:p>
        </w:tc>
        <w:tc>
          <w:tcPr>
            <w:tcW w:w="1474" w:type="dxa"/>
            <w:vAlign w:val="center"/>
          </w:tcPr>
          <w:p>
            <w:pPr>
              <w:pStyle w:val="11"/>
            </w:pPr>
            <w:r>
              <w:t>437.27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723.55</w:t>
            </w:r>
          </w:p>
        </w:tc>
        <w:tc>
          <w:tcPr>
            <w:tcW w:w="3402" w:type="dxa"/>
            <w:vAlign w:val="center"/>
          </w:tcPr>
          <w:p>
            <w:pPr>
              <w:pStyle w:val="14"/>
            </w:pPr>
            <w:r>
              <w:t>本年支出合计</w:t>
            </w:r>
          </w:p>
        </w:tc>
        <w:tc>
          <w:tcPr>
            <w:tcW w:w="1474" w:type="dxa"/>
            <w:vAlign w:val="center"/>
          </w:tcPr>
          <w:p>
            <w:pPr>
              <w:pStyle w:val="15"/>
            </w:pPr>
            <w:r>
              <w:t>723.55</w:t>
            </w:r>
          </w:p>
        </w:tc>
        <w:tc>
          <w:tcPr>
            <w:tcW w:w="1474" w:type="dxa"/>
            <w:vAlign w:val="center"/>
          </w:tcPr>
          <w:p>
            <w:pPr>
              <w:pStyle w:val="15"/>
            </w:pPr>
            <w:r>
              <w:t>723.55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723.55</w:t>
            </w:r>
          </w:p>
        </w:tc>
        <w:tc>
          <w:tcPr>
            <w:tcW w:w="3402" w:type="dxa"/>
            <w:vAlign w:val="center"/>
          </w:tcPr>
          <w:p>
            <w:pPr>
              <w:pStyle w:val="14"/>
            </w:pPr>
            <w:r>
              <w:t>支出总计</w:t>
            </w:r>
          </w:p>
        </w:tc>
        <w:tc>
          <w:tcPr>
            <w:tcW w:w="1474" w:type="dxa"/>
            <w:vAlign w:val="center"/>
          </w:tcPr>
          <w:p>
            <w:pPr>
              <w:pStyle w:val="15"/>
            </w:pPr>
            <w:r>
              <w:t>723.55</w:t>
            </w:r>
          </w:p>
        </w:tc>
        <w:tc>
          <w:tcPr>
            <w:tcW w:w="1474" w:type="dxa"/>
            <w:vAlign w:val="center"/>
          </w:tcPr>
          <w:p>
            <w:pPr>
              <w:pStyle w:val="15"/>
            </w:pPr>
            <w:r>
              <w:t>723.55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723.55</w:t>
            </w:r>
          </w:p>
        </w:tc>
        <w:tc>
          <w:tcPr>
            <w:tcW w:w="2551" w:type="dxa"/>
            <w:vAlign w:val="center"/>
          </w:tcPr>
          <w:p>
            <w:pPr>
              <w:pStyle w:val="15"/>
            </w:pPr>
            <w:r>
              <w:t>605.12</w:t>
            </w:r>
          </w:p>
        </w:tc>
        <w:tc>
          <w:tcPr>
            <w:tcW w:w="2551" w:type="dxa"/>
            <w:vAlign w:val="center"/>
          </w:tcPr>
          <w:p>
            <w:pPr>
              <w:pStyle w:val="15"/>
            </w:pPr>
            <w:r>
              <w:t>118.44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286.28</w:t>
            </w:r>
          </w:p>
        </w:tc>
        <w:tc>
          <w:tcPr>
            <w:tcW w:w="2551" w:type="dxa"/>
            <w:vAlign w:val="center"/>
          </w:tcPr>
          <w:p>
            <w:pPr>
              <w:pStyle w:val="11"/>
            </w:pPr>
            <w:r>
              <w:t>274.79</w:t>
            </w:r>
          </w:p>
        </w:tc>
        <w:tc>
          <w:tcPr>
            <w:tcW w:w="2551" w:type="dxa"/>
            <w:vAlign w:val="center"/>
          </w:tcPr>
          <w:p>
            <w:pPr>
              <w:pStyle w:val="11"/>
            </w:pPr>
            <w:r>
              <w:t>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274.79</w:t>
            </w:r>
          </w:p>
        </w:tc>
        <w:tc>
          <w:tcPr>
            <w:tcW w:w="2551" w:type="dxa"/>
            <w:vAlign w:val="center"/>
          </w:tcPr>
          <w:p>
            <w:pPr>
              <w:pStyle w:val="11"/>
            </w:pPr>
            <w:r>
              <w:t>274.79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274.79</w:t>
            </w:r>
          </w:p>
        </w:tc>
        <w:tc>
          <w:tcPr>
            <w:tcW w:w="2551" w:type="dxa"/>
            <w:vAlign w:val="center"/>
          </w:tcPr>
          <w:p>
            <w:pPr>
              <w:pStyle w:val="11"/>
            </w:pPr>
            <w:r>
              <w:t>274.79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11.49</w:t>
            </w:r>
          </w:p>
        </w:tc>
        <w:tc>
          <w:tcPr>
            <w:tcW w:w="2551" w:type="dxa"/>
            <w:vAlign w:val="center"/>
          </w:tcPr>
          <w:p>
            <w:pPr>
              <w:pStyle w:val="11"/>
            </w:pPr>
          </w:p>
        </w:tc>
        <w:tc>
          <w:tcPr>
            <w:tcW w:w="2551" w:type="dxa"/>
            <w:vAlign w:val="center"/>
          </w:tcPr>
          <w:p>
            <w:pPr>
              <w:pStyle w:val="11"/>
            </w:pPr>
            <w:r>
              <w:t>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11.49</w:t>
            </w:r>
          </w:p>
        </w:tc>
        <w:tc>
          <w:tcPr>
            <w:tcW w:w="2551" w:type="dxa"/>
            <w:vAlign w:val="center"/>
          </w:tcPr>
          <w:p>
            <w:pPr>
              <w:pStyle w:val="11"/>
            </w:pPr>
          </w:p>
        </w:tc>
        <w:tc>
          <w:tcPr>
            <w:tcW w:w="2551" w:type="dxa"/>
            <w:vAlign w:val="center"/>
          </w:tcPr>
          <w:p>
            <w:pPr>
              <w:pStyle w:val="11"/>
            </w:pPr>
            <w:r>
              <w:t>11.49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437.27</w:t>
            </w:r>
          </w:p>
        </w:tc>
        <w:tc>
          <w:tcPr>
            <w:tcW w:w="2551" w:type="dxa"/>
            <w:vAlign w:val="center"/>
          </w:tcPr>
          <w:p>
            <w:pPr>
              <w:pStyle w:val="11"/>
            </w:pPr>
            <w:r>
              <w:t>330.33</w:t>
            </w:r>
          </w:p>
        </w:tc>
        <w:tc>
          <w:tcPr>
            <w:tcW w:w="2551" w:type="dxa"/>
            <w:vAlign w:val="center"/>
          </w:tcPr>
          <w:p>
            <w:pPr>
              <w:pStyle w:val="11"/>
            </w:pPr>
            <w:r>
              <w:t>106.95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437.27</w:t>
            </w:r>
          </w:p>
        </w:tc>
        <w:tc>
          <w:tcPr>
            <w:tcW w:w="2551" w:type="dxa"/>
            <w:vAlign w:val="center"/>
          </w:tcPr>
          <w:p>
            <w:pPr>
              <w:pStyle w:val="11"/>
            </w:pPr>
            <w:r>
              <w:t>330.33</w:t>
            </w:r>
          </w:p>
        </w:tc>
        <w:tc>
          <w:tcPr>
            <w:tcW w:w="2551" w:type="dxa"/>
            <w:vAlign w:val="center"/>
          </w:tcPr>
          <w:p>
            <w:pPr>
              <w:pStyle w:val="11"/>
            </w:pPr>
            <w:r>
              <w:t>106.95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106.95</w:t>
            </w:r>
          </w:p>
        </w:tc>
        <w:tc>
          <w:tcPr>
            <w:tcW w:w="2551" w:type="dxa"/>
            <w:vAlign w:val="center"/>
          </w:tcPr>
          <w:p>
            <w:pPr>
              <w:pStyle w:val="11"/>
            </w:pPr>
          </w:p>
        </w:tc>
        <w:tc>
          <w:tcPr>
            <w:tcW w:w="2551" w:type="dxa"/>
            <w:vAlign w:val="center"/>
          </w:tcPr>
          <w:p>
            <w:pPr>
              <w:pStyle w:val="11"/>
            </w:pPr>
            <w:r>
              <w:t>106.95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330.33</w:t>
            </w:r>
          </w:p>
        </w:tc>
        <w:tc>
          <w:tcPr>
            <w:tcW w:w="2551" w:type="dxa"/>
            <w:vAlign w:val="center"/>
          </w:tcPr>
          <w:p>
            <w:pPr>
              <w:pStyle w:val="11"/>
            </w:pPr>
            <w:r>
              <w:t>330.33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605.12</w:t>
            </w:r>
          </w:p>
        </w:tc>
        <w:tc>
          <w:tcPr>
            <w:tcW w:w="2551" w:type="dxa"/>
            <w:vAlign w:val="center"/>
          </w:tcPr>
          <w:p>
            <w:pPr>
              <w:pStyle w:val="15"/>
            </w:pPr>
            <w:r>
              <w:t>554.02</w:t>
            </w:r>
          </w:p>
        </w:tc>
        <w:tc>
          <w:tcPr>
            <w:tcW w:w="2551" w:type="dxa"/>
            <w:vAlign w:val="center"/>
          </w:tcPr>
          <w:p>
            <w:pPr>
              <w:pStyle w:val="15"/>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277.12</w:t>
            </w:r>
          </w:p>
        </w:tc>
        <w:tc>
          <w:tcPr>
            <w:tcW w:w="2551" w:type="dxa"/>
            <w:vAlign w:val="center"/>
          </w:tcPr>
          <w:p>
            <w:pPr>
              <w:pStyle w:val="11"/>
            </w:pPr>
            <w:r>
              <w:t>277.12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21.13</w:t>
            </w:r>
          </w:p>
        </w:tc>
        <w:tc>
          <w:tcPr>
            <w:tcW w:w="2551" w:type="dxa"/>
            <w:vAlign w:val="center"/>
          </w:tcPr>
          <w:p>
            <w:pPr>
              <w:pStyle w:val="11"/>
            </w:pPr>
            <w:r>
              <w:t>21.13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125.99</w:t>
            </w:r>
          </w:p>
        </w:tc>
        <w:tc>
          <w:tcPr>
            <w:tcW w:w="2551" w:type="dxa"/>
            <w:vAlign w:val="center"/>
          </w:tcPr>
          <w:p>
            <w:pPr>
              <w:pStyle w:val="11"/>
            </w:pPr>
            <w:r>
              <w:t>125.99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51.10</w:t>
            </w:r>
          </w:p>
        </w:tc>
        <w:tc>
          <w:tcPr>
            <w:tcW w:w="2551" w:type="dxa"/>
            <w:vAlign w:val="center"/>
          </w:tcPr>
          <w:p>
            <w:pPr>
              <w:pStyle w:val="11"/>
            </w:pPr>
          </w:p>
        </w:tc>
        <w:tc>
          <w:tcPr>
            <w:tcW w:w="2551" w:type="dxa"/>
            <w:vAlign w:val="center"/>
          </w:tcPr>
          <w:p>
            <w:pPr>
              <w:pStyle w:val="11"/>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51.10</w:t>
            </w:r>
          </w:p>
        </w:tc>
        <w:tc>
          <w:tcPr>
            <w:tcW w:w="2551" w:type="dxa"/>
            <w:vAlign w:val="center"/>
          </w:tcPr>
          <w:p>
            <w:pPr>
              <w:pStyle w:val="11"/>
            </w:pPr>
          </w:p>
        </w:tc>
        <w:tc>
          <w:tcPr>
            <w:tcW w:w="2551" w:type="dxa"/>
            <w:vAlign w:val="center"/>
          </w:tcPr>
          <w:p>
            <w:pPr>
              <w:pStyle w:val="11"/>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276.90</w:t>
            </w:r>
          </w:p>
        </w:tc>
        <w:tc>
          <w:tcPr>
            <w:tcW w:w="2551" w:type="dxa"/>
            <w:vAlign w:val="center"/>
          </w:tcPr>
          <w:p>
            <w:pPr>
              <w:pStyle w:val="11"/>
            </w:pPr>
            <w:r>
              <w:t>276.90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274.79</w:t>
            </w:r>
          </w:p>
        </w:tc>
        <w:tc>
          <w:tcPr>
            <w:tcW w:w="2551" w:type="dxa"/>
            <w:vAlign w:val="center"/>
          </w:tcPr>
          <w:p>
            <w:pPr>
              <w:pStyle w:val="11"/>
            </w:pPr>
            <w:r>
              <w:t>274.79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石家庄市鹿泉区市政公用设施管理维护中心2026年单位预算信息公开情况说明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按照《中华人民共和国预算法》、《地方预决算公开操作规程》和《关于进一步推进预算公开工作的实施意见》规定，现将石家庄市鹿泉区市政公用设施管理维护中心2026年单位预算公开如下：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（一）负责城区道路、便道、桥涵的养护与维修。</w:t>
      </w:r>
    </w:p>
    <w:p>
      <w:pPr>
        <w:pStyle w:val="17"/>
      </w:pPr>
      <w:r>
        <w:t>（二）负责城区雨、污管网的养护与疏通工作。</w:t>
      </w:r>
    </w:p>
    <w:p>
      <w:pPr>
        <w:pStyle w:val="17"/>
      </w:pPr>
      <w:r>
        <w:t>（三）负责城区路灯、景观灯、楼宇灯的安装，维修、养护工作。</w:t>
      </w:r>
    </w:p>
    <w:p>
      <w:pPr>
        <w:pStyle w:val="17"/>
      </w:pPr>
      <w:r>
        <w:t>（四）负责城区市政规划范围内的街道绿化、游园绿化、街头绿地进行管护。</w:t>
      </w:r>
    </w:p>
    <w:p>
      <w:pPr>
        <w:pStyle w:val="17"/>
      </w:pPr>
      <w:r>
        <w:t>（五）负责城区名木古树的管理与保护工作。</w:t>
      </w:r>
    </w:p>
    <w:p>
      <w:pPr>
        <w:pStyle w:val="17"/>
      </w:pPr>
      <w:r>
        <w:t>（六）上级交办的其他市政管护工作。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石家庄市鹿泉区市政公用设施管理维护中心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723.55万元，其中：一般公共预算收入723.55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市政公用设施管理维护中心年度单位预算中支出预算的总体情况。2026年支出预算723.55万元，其中基本支出605.12万元，包括人员经费554.02万元和日常公用经费51.10万元；项目支出118.44万元，主要为2026年涉军人员工资及社保11.49万元；2020年城区黄土裸露补栽苗木工程0.7万元；挖掘便道、绿地押金3.1934万元；应付给退休去世人员路来来款项6万元；307国道城区段样板路综合整治工程0.742万元；2024年污水检测费0.014万元；更换补栽北斗路部分绿篱植物0.6727万元；2025年节日氛围营造工程5.4957万元；2024-2026年洒水车取水栓用水和 新能源洒水车充电电费35万元；2024年北外环绿地雾霖设施 日常运行维护费用0.21万元；北外环绿地安装雾森设施及喷灌管线4.0775万元；2025年北外环绿地雾霖设施 日常运行维护费用0.84万元；新能源（燃油）专项作业车租赁项目50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723.55万元，较2025年预算减少228.49万元，其中：基本支出增加14.62万元，主要为人员经费增加14.47万元，公用经费增加0.15万元。项目支出减少243.11万元，主要为涉军人员工资及社保增加0.08万元；2020年城区黄土裸露补栽苗木工程减少9.3万元；挖掘便道、绿地押金减少16.8066万元；应付给退休去世人员路来来款项增加6万元；307国道城区段样板路综合整治工程减少19.258万元；2024年污水检测费减少9.986万元；更换补栽北斗路部分绿篱植物减少8.9373万元；2025年节日氛围营造工程减少14.5043万元；2024-2026年洒水车取水栓用水和 新能源洒水车充电电费增加35万元；2024年北外环绿地雾霖设施日常运行维护费用减少4.79万元；北外环绿地安装雾森设施及喷灌管线减少15.9225万元；2025年北外环绿地雾霖设施日常运行维护费用减少4.16万元；新能源（燃油）专项作业车租赁项目减少180.53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rPr>
          <w:rFonts w:hint="default"/>
          <w:lang w:val="en-US" w:eastAsia="zh-CN"/>
        </w:rPr>
        <w:t>2026年，我单位机关运行经费共计安排51.10万元，主要用于日常维修、办公用房水电费、办公用房取暖费、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2026年，我单位财政拨款“三公”经费预算安排0.00万元，其中因公出国（境）费0.00万元； 公务用车购置及运维费0.00万元（其中：公务用车购置费为0.00万元，公务用车运维费0.00万元)； 公务接待费0.00万元。与2025年相比增加0.00万元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1、2020年城区黄土裸露补栽苗木工程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13011026P00155810012Y</w:t>
            </w:r>
          </w:p>
        </w:tc>
        <w:tc>
          <w:tcPr>
            <w:tcW w:w="2835" w:type="dxa"/>
            <w:vAlign w:val="center"/>
          </w:tcPr>
          <w:p>
            <w:pPr>
              <w:pStyle w:val="10"/>
            </w:pPr>
            <w:r>
              <w:t>项目名称</w:t>
            </w:r>
          </w:p>
        </w:tc>
        <w:tc>
          <w:tcPr>
            <w:tcW w:w="6095" w:type="dxa"/>
            <w:gridSpan w:val="3"/>
            <w:vAlign w:val="center"/>
          </w:tcPr>
          <w:p>
            <w:pPr>
              <w:pStyle w:val="12"/>
            </w:pPr>
            <w:r>
              <w:t>2020年城区黄土裸露补栽苗木工程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用于支付2020年城区黄土裸露补栽苗木费用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1.完成58900棵冬青和9900平方米麦冬的补栽工作；完成对城区北斗路、海山大街、观景大街等12条街道绿化补栽，提升城市形象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补栽冬青数量</w:t>
            </w:r>
          </w:p>
        </w:tc>
        <w:tc>
          <w:tcPr>
            <w:tcW w:w="5386" w:type="dxa"/>
            <w:vAlign w:val="center"/>
          </w:tcPr>
          <w:p>
            <w:pPr>
              <w:pStyle w:val="12"/>
            </w:pPr>
            <w:r>
              <w:t>补栽冬青的数量</w:t>
            </w:r>
          </w:p>
        </w:tc>
        <w:tc>
          <w:tcPr>
            <w:tcW w:w="2268" w:type="dxa"/>
            <w:vAlign w:val="center"/>
          </w:tcPr>
          <w:p>
            <w:pPr>
              <w:pStyle w:val="12"/>
            </w:pPr>
            <w:r>
              <w:t>≥58900棵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补栽麦冬面积</w:t>
            </w:r>
          </w:p>
        </w:tc>
        <w:tc>
          <w:tcPr>
            <w:tcW w:w="5386" w:type="dxa"/>
            <w:vAlign w:val="center"/>
          </w:tcPr>
          <w:p>
            <w:pPr>
              <w:pStyle w:val="12"/>
            </w:pPr>
            <w:r>
              <w:t>补栽麦冬的面积数量</w:t>
            </w:r>
          </w:p>
        </w:tc>
        <w:tc>
          <w:tcPr>
            <w:tcW w:w="2268" w:type="dxa"/>
            <w:vAlign w:val="center"/>
          </w:tcPr>
          <w:p>
            <w:pPr>
              <w:pStyle w:val="12"/>
            </w:pPr>
            <w:r>
              <w:t>≥9900平方米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苗木补栽工程合格率</w:t>
            </w:r>
          </w:p>
        </w:tc>
        <w:tc>
          <w:tcPr>
            <w:tcW w:w="5386" w:type="dxa"/>
            <w:vAlign w:val="center"/>
          </w:tcPr>
          <w:p>
            <w:pPr>
              <w:pStyle w:val="12"/>
            </w:pPr>
            <w:r>
              <w:t>合格的苗木补栽工程量占工程完工总量的比率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苗木补栽工程完工及时率</w:t>
            </w:r>
          </w:p>
        </w:tc>
        <w:tc>
          <w:tcPr>
            <w:tcW w:w="5386" w:type="dxa"/>
            <w:vAlign w:val="center"/>
          </w:tcPr>
          <w:p>
            <w:pPr>
              <w:pStyle w:val="12"/>
            </w:pPr>
            <w:r>
              <w:t>按时完成12条街道冬青、麦冬等苗木补栽占补栽计划的比率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每棵冬青的成本</w:t>
            </w:r>
          </w:p>
        </w:tc>
        <w:tc>
          <w:tcPr>
            <w:tcW w:w="5386" w:type="dxa"/>
            <w:vAlign w:val="center"/>
          </w:tcPr>
          <w:p>
            <w:pPr>
              <w:pStyle w:val="12"/>
            </w:pPr>
            <w:r>
              <w:t>每棵冬青的成本</w:t>
            </w:r>
          </w:p>
        </w:tc>
        <w:tc>
          <w:tcPr>
            <w:tcW w:w="2268" w:type="dxa"/>
            <w:vAlign w:val="center"/>
          </w:tcPr>
          <w:p>
            <w:pPr>
              <w:pStyle w:val="12"/>
            </w:pPr>
            <w:r>
              <w:t>≤3.5元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每平方米麦冬的成本</w:t>
            </w:r>
          </w:p>
        </w:tc>
        <w:tc>
          <w:tcPr>
            <w:tcW w:w="5386" w:type="dxa"/>
            <w:vAlign w:val="center"/>
          </w:tcPr>
          <w:p>
            <w:pPr>
              <w:pStyle w:val="12"/>
            </w:pPr>
            <w:r>
              <w:t>每平方米麦冬的成本</w:t>
            </w:r>
          </w:p>
        </w:tc>
        <w:tc>
          <w:tcPr>
            <w:tcW w:w="2268" w:type="dxa"/>
            <w:vAlign w:val="center"/>
          </w:tcPr>
          <w:p>
            <w:pPr>
              <w:pStyle w:val="12"/>
            </w:pPr>
            <w:r>
              <w:t>≤18元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补栽苗木的社会影响力</w:t>
            </w:r>
          </w:p>
        </w:tc>
        <w:tc>
          <w:tcPr>
            <w:tcW w:w="5386" w:type="dxa"/>
            <w:vAlign w:val="center"/>
          </w:tcPr>
          <w:p>
            <w:pPr>
              <w:pStyle w:val="12"/>
            </w:pPr>
            <w:r>
              <w:t>提升治理黄土裸露补栽苗木的社会影响力</w:t>
            </w:r>
          </w:p>
        </w:tc>
        <w:tc>
          <w:tcPr>
            <w:tcW w:w="2268" w:type="dxa"/>
            <w:vAlign w:val="center"/>
          </w:tcPr>
          <w:p>
            <w:pPr>
              <w:pStyle w:val="12"/>
            </w:pPr>
            <w:r>
              <w:t>提升社会影响力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补栽苗木提升城市形象</w:t>
            </w:r>
          </w:p>
        </w:tc>
        <w:tc>
          <w:tcPr>
            <w:tcW w:w="5386" w:type="dxa"/>
            <w:vAlign w:val="center"/>
          </w:tcPr>
          <w:p>
            <w:pPr>
              <w:pStyle w:val="12"/>
            </w:pPr>
            <w:r>
              <w:t>治理黄土裸露补栽苗木提升我区城市形象</w:t>
            </w:r>
          </w:p>
        </w:tc>
        <w:tc>
          <w:tcPr>
            <w:tcW w:w="2268" w:type="dxa"/>
            <w:vAlign w:val="center"/>
          </w:tcPr>
          <w:p>
            <w:pPr>
              <w:pStyle w:val="12"/>
            </w:pPr>
            <w:r>
              <w:t>提升城市形象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治理25裸露补栽苗木受益群体的满意程度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2、2024-2026年洒水车取水栓用水和 新能源洒水车充电电费绩效目标表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13011026P00156410626H</w:t>
            </w:r>
          </w:p>
        </w:tc>
        <w:tc>
          <w:tcPr>
            <w:tcW w:w="2835" w:type="dxa"/>
            <w:vAlign w:val="center"/>
          </w:tcPr>
          <w:p>
            <w:pPr>
              <w:pStyle w:val="10"/>
            </w:pPr>
            <w:r>
              <w:t>项目名称</w:t>
            </w:r>
          </w:p>
        </w:tc>
        <w:tc>
          <w:tcPr>
            <w:tcW w:w="6095" w:type="dxa"/>
            <w:gridSpan w:val="3"/>
            <w:vAlign w:val="center"/>
          </w:tcPr>
          <w:p>
            <w:pPr>
              <w:pStyle w:val="12"/>
            </w:pPr>
            <w:r>
              <w:t>2024-2026年洒水车取水栓用水和 新能源洒水车充电电费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用于支付2024-2026年洒水车取水栓用水和新能源洒水车充电电费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完成城区北斗路、观景大街、翠柏大街等绿化管护浇灌工作，用水91987吨，美化环境，提升城市品位。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绿化管护用水量</w:t>
            </w:r>
          </w:p>
        </w:tc>
        <w:tc>
          <w:tcPr>
            <w:tcW w:w="5386" w:type="dxa"/>
            <w:vAlign w:val="center"/>
          </w:tcPr>
          <w:p>
            <w:pPr>
              <w:pStyle w:val="12"/>
            </w:pPr>
            <w:r>
              <w:t>绿化管护用水量</w:t>
            </w:r>
          </w:p>
        </w:tc>
        <w:tc>
          <w:tcPr>
            <w:tcW w:w="2268" w:type="dxa"/>
            <w:vAlign w:val="center"/>
          </w:tcPr>
          <w:p>
            <w:pPr>
              <w:pStyle w:val="12"/>
            </w:pPr>
            <w:r>
              <w:t>≥91987立方米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绿化管护验收合格率</w:t>
            </w:r>
          </w:p>
        </w:tc>
        <w:tc>
          <w:tcPr>
            <w:tcW w:w="5386" w:type="dxa"/>
            <w:vAlign w:val="center"/>
          </w:tcPr>
          <w:p>
            <w:pPr>
              <w:pStyle w:val="12"/>
            </w:pPr>
            <w:r>
              <w:t xml:space="preserve"> 验收合格的管护工作量占实际完成管护工作量的比率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绿化管护按时完成率</w:t>
            </w:r>
          </w:p>
        </w:tc>
        <w:tc>
          <w:tcPr>
            <w:tcW w:w="5386" w:type="dxa"/>
            <w:vAlign w:val="center"/>
          </w:tcPr>
          <w:p>
            <w:pPr>
              <w:pStyle w:val="12"/>
            </w:pPr>
            <w:r>
              <w:t>按时完成的绿化管护工作量占计划完成工作量的比率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绿化管护水费的单价</w:t>
            </w:r>
          </w:p>
        </w:tc>
        <w:tc>
          <w:tcPr>
            <w:tcW w:w="5386" w:type="dxa"/>
            <w:vAlign w:val="center"/>
          </w:tcPr>
          <w:p>
            <w:pPr>
              <w:pStyle w:val="12"/>
            </w:pPr>
            <w:r>
              <w:t>绿化管护水费的单价</w:t>
            </w:r>
          </w:p>
        </w:tc>
        <w:tc>
          <w:tcPr>
            <w:tcW w:w="2268" w:type="dxa"/>
            <w:vAlign w:val="center"/>
          </w:tcPr>
          <w:p>
            <w:pPr>
              <w:pStyle w:val="12"/>
            </w:pPr>
            <w:r>
              <w:t>≥5.5元/立方米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美化环境、提升城市品位</w:t>
            </w:r>
          </w:p>
        </w:tc>
        <w:tc>
          <w:tcPr>
            <w:tcW w:w="5386" w:type="dxa"/>
            <w:vAlign w:val="center"/>
          </w:tcPr>
          <w:p>
            <w:pPr>
              <w:pStyle w:val="12"/>
            </w:pPr>
            <w:r>
              <w:t>美化环境、提升城市品位</w:t>
            </w:r>
          </w:p>
        </w:tc>
        <w:tc>
          <w:tcPr>
            <w:tcW w:w="2268" w:type="dxa"/>
            <w:vAlign w:val="center"/>
          </w:tcPr>
          <w:p>
            <w:pPr>
              <w:pStyle w:val="12"/>
            </w:pPr>
            <w:r>
              <w:t>美化环境、提升品位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绿化持续的时间</w:t>
            </w:r>
          </w:p>
        </w:tc>
        <w:tc>
          <w:tcPr>
            <w:tcW w:w="5386" w:type="dxa"/>
            <w:vAlign w:val="center"/>
          </w:tcPr>
          <w:p>
            <w:pPr>
              <w:pStyle w:val="12"/>
            </w:pPr>
            <w:r>
              <w:t>绿化持续的时间</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市民对绿化管护的满意度</w:t>
            </w:r>
          </w:p>
        </w:tc>
        <w:tc>
          <w:tcPr>
            <w:tcW w:w="5386" w:type="dxa"/>
            <w:vAlign w:val="center"/>
          </w:tcPr>
          <w:p>
            <w:pPr>
              <w:pStyle w:val="12"/>
            </w:pPr>
            <w:r>
              <w:t>市民对绿化管护的满意程度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3、2024年北外环绿地雾霖设施 日常运行维护费用绩效目标表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13011026P00156410624A</w:t>
            </w:r>
          </w:p>
        </w:tc>
        <w:tc>
          <w:tcPr>
            <w:tcW w:w="2835" w:type="dxa"/>
            <w:vAlign w:val="center"/>
          </w:tcPr>
          <w:p>
            <w:pPr>
              <w:pStyle w:val="10"/>
            </w:pPr>
            <w:r>
              <w:t>项目名称</w:t>
            </w:r>
          </w:p>
        </w:tc>
        <w:tc>
          <w:tcPr>
            <w:tcW w:w="6095" w:type="dxa"/>
            <w:gridSpan w:val="3"/>
            <w:vAlign w:val="center"/>
          </w:tcPr>
          <w:p>
            <w:pPr>
              <w:pStyle w:val="12"/>
            </w:pPr>
            <w:r>
              <w:t>2024年北外环绿地雾霖设施 日常运行维护费用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用于支付2024年北外环绿地雾森运行维护费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1.保证高杆雾森设施正常运行，以达到抑制扬尘、改善生态环境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完成9-12月雾森设施日常运行维护工作</w:t>
            </w:r>
          </w:p>
        </w:tc>
        <w:tc>
          <w:tcPr>
            <w:tcW w:w="5386" w:type="dxa"/>
            <w:vAlign w:val="center"/>
          </w:tcPr>
          <w:p>
            <w:pPr>
              <w:pStyle w:val="12"/>
            </w:pPr>
            <w:r>
              <w:t>完成9-12月雾森设施日常运行维护工作</w:t>
            </w:r>
          </w:p>
        </w:tc>
        <w:tc>
          <w:tcPr>
            <w:tcW w:w="2268" w:type="dxa"/>
            <w:vAlign w:val="center"/>
          </w:tcPr>
          <w:p>
            <w:pPr>
              <w:pStyle w:val="12"/>
            </w:pPr>
            <w:r>
              <w:t>4个月</w:t>
            </w:r>
          </w:p>
        </w:tc>
        <w:tc>
          <w:tcPr>
            <w:tcW w:w="1276" w:type="dxa"/>
            <w:vAlign w:val="center"/>
          </w:tcPr>
          <w:p>
            <w:pPr>
              <w:pStyle w:val="12"/>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高质量完成雾森设施日常运行维护工作</w:t>
            </w:r>
          </w:p>
        </w:tc>
        <w:tc>
          <w:tcPr>
            <w:tcW w:w="5386" w:type="dxa"/>
            <w:vAlign w:val="center"/>
          </w:tcPr>
          <w:p>
            <w:pPr>
              <w:pStyle w:val="12"/>
            </w:pPr>
            <w:r>
              <w:t>高质量完成雾森设施日常运行维护工作</w:t>
            </w:r>
          </w:p>
        </w:tc>
        <w:tc>
          <w:tcPr>
            <w:tcW w:w="2268" w:type="dxa"/>
            <w:vAlign w:val="center"/>
          </w:tcPr>
          <w:p>
            <w:pPr>
              <w:pStyle w:val="12"/>
            </w:pPr>
            <w:r>
              <w:t>100%</w:t>
            </w:r>
          </w:p>
        </w:tc>
        <w:tc>
          <w:tcPr>
            <w:tcW w:w="1276" w:type="dxa"/>
            <w:vAlign w:val="center"/>
          </w:tcPr>
          <w:p>
            <w:pPr>
              <w:pStyle w:val="12"/>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按时完成雾森设施日常运行维护工作</w:t>
            </w:r>
          </w:p>
        </w:tc>
        <w:tc>
          <w:tcPr>
            <w:tcW w:w="5386" w:type="dxa"/>
            <w:vAlign w:val="center"/>
          </w:tcPr>
          <w:p>
            <w:pPr>
              <w:pStyle w:val="12"/>
            </w:pPr>
            <w:r>
              <w:t>按时完成雾森设施日常运行维护工作</w:t>
            </w:r>
          </w:p>
        </w:tc>
        <w:tc>
          <w:tcPr>
            <w:tcW w:w="2268" w:type="dxa"/>
            <w:vAlign w:val="center"/>
          </w:tcPr>
          <w:p>
            <w:pPr>
              <w:pStyle w:val="12"/>
            </w:pPr>
            <w:r>
              <w:t>按时完成雾森设施日常运行维护工作</w:t>
            </w:r>
          </w:p>
        </w:tc>
        <w:tc>
          <w:tcPr>
            <w:tcW w:w="1276" w:type="dxa"/>
            <w:vAlign w:val="center"/>
          </w:tcPr>
          <w:p>
            <w:pPr>
              <w:pStyle w:val="12"/>
            </w:pPr>
            <w:r>
              <w:t>正常运行时间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投资金额≤3万元</w:t>
            </w:r>
          </w:p>
        </w:tc>
        <w:tc>
          <w:tcPr>
            <w:tcW w:w="5386" w:type="dxa"/>
            <w:vAlign w:val="center"/>
          </w:tcPr>
          <w:p>
            <w:pPr>
              <w:pStyle w:val="12"/>
            </w:pPr>
            <w:r>
              <w:t>投资金额≤3万元</w:t>
            </w:r>
          </w:p>
        </w:tc>
        <w:tc>
          <w:tcPr>
            <w:tcW w:w="2268" w:type="dxa"/>
            <w:vAlign w:val="center"/>
          </w:tcPr>
          <w:p>
            <w:pPr>
              <w:pStyle w:val="12"/>
            </w:pPr>
            <w:r>
              <w:t>≤3万元</w:t>
            </w:r>
          </w:p>
        </w:tc>
        <w:tc>
          <w:tcPr>
            <w:tcW w:w="1276" w:type="dxa"/>
            <w:vAlign w:val="center"/>
          </w:tcPr>
          <w:p>
            <w:pPr>
              <w:pStyle w:val="12"/>
            </w:pPr>
            <w:r>
              <w:t>最终费用测算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≥98%</w:t>
            </w:r>
          </w:p>
        </w:tc>
        <w:tc>
          <w:tcPr>
            <w:tcW w:w="1276" w:type="dxa"/>
            <w:vAlign w:val="center"/>
          </w:tcPr>
          <w:p>
            <w:pPr>
              <w:pStyle w:val="12"/>
            </w:pPr>
            <w:r>
              <w:t>群众满意度调查表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雾森设施正常运行后，达到抑制扬尘、改善生态环境</w:t>
            </w:r>
          </w:p>
        </w:tc>
        <w:tc>
          <w:tcPr>
            <w:tcW w:w="5386" w:type="dxa"/>
            <w:vAlign w:val="center"/>
          </w:tcPr>
          <w:p>
            <w:pPr>
              <w:pStyle w:val="12"/>
            </w:pPr>
            <w:r>
              <w:t>雾森设施正常运行后，达到抑制扬尘、改善生态环境</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4、2024年污水检测费绩效目标表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13011026P001564106223</w:t>
            </w:r>
          </w:p>
        </w:tc>
        <w:tc>
          <w:tcPr>
            <w:tcW w:w="2835" w:type="dxa"/>
            <w:vAlign w:val="center"/>
          </w:tcPr>
          <w:p>
            <w:pPr>
              <w:pStyle w:val="10"/>
            </w:pPr>
            <w:r>
              <w:t>项目名称</w:t>
            </w:r>
          </w:p>
        </w:tc>
        <w:tc>
          <w:tcPr>
            <w:tcW w:w="6095" w:type="dxa"/>
            <w:gridSpan w:val="3"/>
            <w:vAlign w:val="center"/>
          </w:tcPr>
          <w:p>
            <w:pPr>
              <w:pStyle w:val="12"/>
            </w:pPr>
            <w:r>
              <w:t>2024年污水检测费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用于支付2024年污水检测费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1.完成2024年度污水检测任务，做好污水污染监测，杜绝污水污染。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完成2024年度污水检测工作</w:t>
            </w:r>
          </w:p>
        </w:tc>
        <w:tc>
          <w:tcPr>
            <w:tcW w:w="5386" w:type="dxa"/>
            <w:vAlign w:val="center"/>
          </w:tcPr>
          <w:p>
            <w:pPr>
              <w:pStyle w:val="12"/>
            </w:pPr>
            <w:r>
              <w:t>完成2024年度污水检测工作</w:t>
            </w:r>
          </w:p>
        </w:tc>
        <w:tc>
          <w:tcPr>
            <w:tcW w:w="2268" w:type="dxa"/>
            <w:vAlign w:val="center"/>
          </w:tcPr>
          <w:p>
            <w:pPr>
              <w:pStyle w:val="12"/>
            </w:pPr>
            <w:r>
              <w:t>1年</w:t>
            </w:r>
          </w:p>
        </w:tc>
        <w:tc>
          <w:tcPr>
            <w:tcW w:w="1276" w:type="dxa"/>
            <w:vAlign w:val="center"/>
          </w:tcPr>
          <w:p>
            <w:pPr>
              <w:pStyle w:val="12"/>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高质量完成污水检测工作</w:t>
            </w:r>
          </w:p>
        </w:tc>
        <w:tc>
          <w:tcPr>
            <w:tcW w:w="5386" w:type="dxa"/>
            <w:vAlign w:val="center"/>
          </w:tcPr>
          <w:p>
            <w:pPr>
              <w:pStyle w:val="12"/>
            </w:pPr>
            <w:r>
              <w:t>高质量完成污水检测工作</w:t>
            </w:r>
          </w:p>
        </w:tc>
        <w:tc>
          <w:tcPr>
            <w:tcW w:w="2268" w:type="dxa"/>
            <w:vAlign w:val="center"/>
          </w:tcPr>
          <w:p>
            <w:pPr>
              <w:pStyle w:val="12"/>
            </w:pPr>
            <w:r>
              <w:t>100%</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按时完成2024年度污水检测工作</w:t>
            </w:r>
          </w:p>
        </w:tc>
        <w:tc>
          <w:tcPr>
            <w:tcW w:w="5386" w:type="dxa"/>
            <w:vAlign w:val="center"/>
          </w:tcPr>
          <w:p>
            <w:pPr>
              <w:pStyle w:val="12"/>
            </w:pPr>
            <w:r>
              <w:t>按时完成2024年度污水检测工作</w:t>
            </w:r>
          </w:p>
        </w:tc>
        <w:tc>
          <w:tcPr>
            <w:tcW w:w="2268" w:type="dxa"/>
            <w:vAlign w:val="center"/>
          </w:tcPr>
          <w:p>
            <w:pPr>
              <w:pStyle w:val="12"/>
            </w:pPr>
            <w:r>
              <w:t>按时完成2024年度污水检测工作</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投资金额≤10.2万元</w:t>
            </w:r>
          </w:p>
        </w:tc>
        <w:tc>
          <w:tcPr>
            <w:tcW w:w="5386" w:type="dxa"/>
            <w:vAlign w:val="center"/>
          </w:tcPr>
          <w:p>
            <w:pPr>
              <w:pStyle w:val="12"/>
            </w:pPr>
            <w:r>
              <w:t>投资金额≤10.2万元</w:t>
            </w:r>
          </w:p>
        </w:tc>
        <w:tc>
          <w:tcPr>
            <w:tcW w:w="2268" w:type="dxa"/>
            <w:vAlign w:val="center"/>
          </w:tcPr>
          <w:p>
            <w:pPr>
              <w:pStyle w:val="12"/>
            </w:pPr>
            <w:r>
              <w:t>≤10.2万元</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完成污水检测工作，有效杜绝污水污染，保护污水清洁度</w:t>
            </w:r>
          </w:p>
        </w:tc>
        <w:tc>
          <w:tcPr>
            <w:tcW w:w="5386" w:type="dxa"/>
            <w:vAlign w:val="center"/>
          </w:tcPr>
          <w:p>
            <w:pPr>
              <w:pStyle w:val="12"/>
            </w:pPr>
            <w:r>
              <w:t>完成污水检测工作，有效杜绝污水污染，保护污水清洁度</w:t>
            </w:r>
          </w:p>
        </w:tc>
        <w:tc>
          <w:tcPr>
            <w:tcW w:w="2268" w:type="dxa"/>
            <w:vAlign w:val="center"/>
          </w:tcPr>
          <w:p>
            <w:pPr>
              <w:pStyle w:val="12"/>
            </w:pPr>
            <w:r>
              <w:t>完成污水检测工作，有效杜绝污水污染，保护污水清洁度</w:t>
            </w:r>
          </w:p>
        </w:tc>
        <w:tc>
          <w:tcPr>
            <w:tcW w:w="1276" w:type="dxa"/>
            <w:vAlign w:val="center"/>
          </w:tcPr>
          <w:p>
            <w:pPr>
              <w:pStyle w:val="12"/>
            </w:pPr>
            <w:r>
              <w:t>完成污水检测工作，有效杜绝污水污染，保护污水清洁度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完成污水检测工作，有效杜绝污水污染，保护污水清洁度，保障群众生产生活</w:t>
            </w:r>
          </w:p>
        </w:tc>
        <w:tc>
          <w:tcPr>
            <w:tcW w:w="5386" w:type="dxa"/>
            <w:vAlign w:val="center"/>
          </w:tcPr>
          <w:p>
            <w:pPr>
              <w:pStyle w:val="12"/>
            </w:pPr>
            <w:r>
              <w:t>完成污水检测工作，有效杜绝污水污染，保护污水清洁度，保障群众生产生活</w:t>
            </w:r>
          </w:p>
        </w:tc>
        <w:tc>
          <w:tcPr>
            <w:tcW w:w="2268" w:type="dxa"/>
            <w:vAlign w:val="center"/>
          </w:tcPr>
          <w:p>
            <w:pPr>
              <w:pStyle w:val="12"/>
            </w:pPr>
            <w:r>
              <w:t>完成污水检测工作，有效杜绝污水污染，保护污水清洁度，保障群众生产生活</w:t>
            </w:r>
          </w:p>
        </w:tc>
        <w:tc>
          <w:tcPr>
            <w:tcW w:w="1276" w:type="dxa"/>
            <w:vAlign w:val="center"/>
          </w:tcPr>
          <w:p>
            <w:pPr>
              <w:pStyle w:val="12"/>
            </w:pPr>
            <w:r>
              <w:t>完成污水检测工作，有效杜绝污水污染，保护污水清洁度，保障群众生产生活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完成污水检测工作，有效杜绝污水污染，保护污水清洁度，保障群众生产生活</w:t>
            </w:r>
          </w:p>
        </w:tc>
        <w:tc>
          <w:tcPr>
            <w:tcW w:w="5386" w:type="dxa"/>
            <w:vAlign w:val="center"/>
          </w:tcPr>
          <w:p>
            <w:pPr>
              <w:pStyle w:val="12"/>
            </w:pPr>
            <w:r>
              <w:t>完成污水检测工作，有效杜绝污水污染，保护污水清洁度，保障群众生产生活</w:t>
            </w:r>
          </w:p>
        </w:tc>
        <w:tc>
          <w:tcPr>
            <w:tcW w:w="2268" w:type="dxa"/>
            <w:vAlign w:val="center"/>
          </w:tcPr>
          <w:p>
            <w:pPr>
              <w:pStyle w:val="12"/>
            </w:pPr>
            <w:r>
              <w:t>完成污水检测工作，有效杜绝污水污染，保护污水清洁度，保障群众生产生活</w:t>
            </w:r>
          </w:p>
        </w:tc>
        <w:tc>
          <w:tcPr>
            <w:tcW w:w="1276" w:type="dxa"/>
            <w:vAlign w:val="center"/>
          </w:tcPr>
          <w:p>
            <w:pPr>
              <w:pStyle w:val="12"/>
            </w:pPr>
            <w:r>
              <w:t>完成污水检测工作，有效杜绝污水污染，保护污水清洁度，保障群众生产生活</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5、2025年北外环绿地雾霖设施 日常运行维护费用绩效目标表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13011026P00156410625X</w:t>
            </w:r>
          </w:p>
        </w:tc>
        <w:tc>
          <w:tcPr>
            <w:tcW w:w="2835" w:type="dxa"/>
            <w:vAlign w:val="center"/>
          </w:tcPr>
          <w:p>
            <w:pPr>
              <w:pStyle w:val="10"/>
            </w:pPr>
            <w:r>
              <w:t>项目名称</w:t>
            </w:r>
          </w:p>
        </w:tc>
        <w:tc>
          <w:tcPr>
            <w:tcW w:w="6095" w:type="dxa"/>
            <w:gridSpan w:val="3"/>
            <w:vAlign w:val="center"/>
          </w:tcPr>
          <w:p>
            <w:pPr>
              <w:pStyle w:val="12"/>
            </w:pPr>
            <w:r>
              <w:t>2025年北外环绿地雾霖设施 日常运行维护费用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用于支付2025年北外环绿地雾森日常运行维护费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1.保证高杆雾森设施正常运行，以达到抑制扬尘、改善生态环境。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完成雾森设施日常运行维护工作</w:t>
            </w:r>
          </w:p>
        </w:tc>
        <w:tc>
          <w:tcPr>
            <w:tcW w:w="5386" w:type="dxa"/>
            <w:vAlign w:val="center"/>
          </w:tcPr>
          <w:p>
            <w:pPr>
              <w:pStyle w:val="12"/>
            </w:pPr>
            <w:r>
              <w:t>完成雾森设施日常运行维护工作</w:t>
            </w:r>
          </w:p>
        </w:tc>
        <w:tc>
          <w:tcPr>
            <w:tcW w:w="2268" w:type="dxa"/>
            <w:vAlign w:val="center"/>
          </w:tcPr>
          <w:p>
            <w:pPr>
              <w:pStyle w:val="12"/>
            </w:pPr>
            <w:r>
              <w:t>12个月</w:t>
            </w:r>
          </w:p>
        </w:tc>
        <w:tc>
          <w:tcPr>
            <w:tcW w:w="1276" w:type="dxa"/>
            <w:vAlign w:val="center"/>
          </w:tcPr>
          <w:p>
            <w:pPr>
              <w:pStyle w:val="12"/>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高质量完成雾森设施日常运行维护工作</w:t>
            </w:r>
          </w:p>
        </w:tc>
        <w:tc>
          <w:tcPr>
            <w:tcW w:w="5386" w:type="dxa"/>
            <w:vAlign w:val="center"/>
          </w:tcPr>
          <w:p>
            <w:pPr>
              <w:pStyle w:val="12"/>
            </w:pPr>
            <w:r>
              <w:t>高质量完成雾森设施日常运行维护工作</w:t>
            </w:r>
          </w:p>
        </w:tc>
        <w:tc>
          <w:tcPr>
            <w:tcW w:w="2268" w:type="dxa"/>
            <w:vAlign w:val="center"/>
          </w:tcPr>
          <w:p>
            <w:pPr>
              <w:pStyle w:val="12"/>
            </w:pPr>
            <w:r>
              <w:t>100%</w:t>
            </w:r>
          </w:p>
        </w:tc>
        <w:tc>
          <w:tcPr>
            <w:tcW w:w="1276" w:type="dxa"/>
            <w:vAlign w:val="center"/>
          </w:tcPr>
          <w:p>
            <w:pPr>
              <w:pStyle w:val="12"/>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按时完成雾森设施日常运行维护工作</w:t>
            </w:r>
          </w:p>
        </w:tc>
        <w:tc>
          <w:tcPr>
            <w:tcW w:w="5386" w:type="dxa"/>
            <w:vAlign w:val="center"/>
          </w:tcPr>
          <w:p>
            <w:pPr>
              <w:pStyle w:val="12"/>
            </w:pPr>
            <w:r>
              <w:t>按时完成雾森设施日常运行维护工作</w:t>
            </w:r>
          </w:p>
        </w:tc>
        <w:tc>
          <w:tcPr>
            <w:tcW w:w="2268" w:type="dxa"/>
            <w:vAlign w:val="center"/>
          </w:tcPr>
          <w:p>
            <w:pPr>
              <w:pStyle w:val="12"/>
            </w:pPr>
            <w:r>
              <w:t>按时完成雾森设施日常运行维护工作</w:t>
            </w:r>
          </w:p>
        </w:tc>
        <w:tc>
          <w:tcPr>
            <w:tcW w:w="1276" w:type="dxa"/>
            <w:vAlign w:val="center"/>
          </w:tcPr>
          <w:p>
            <w:pPr>
              <w:pStyle w:val="12"/>
            </w:pPr>
            <w:r>
              <w:t>正常运行时间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投资金额≤12万元</w:t>
            </w:r>
          </w:p>
        </w:tc>
        <w:tc>
          <w:tcPr>
            <w:tcW w:w="5386" w:type="dxa"/>
            <w:vAlign w:val="center"/>
          </w:tcPr>
          <w:p>
            <w:pPr>
              <w:pStyle w:val="12"/>
            </w:pPr>
            <w:r>
              <w:t>投资金额≤12万元</w:t>
            </w:r>
          </w:p>
        </w:tc>
        <w:tc>
          <w:tcPr>
            <w:tcW w:w="2268" w:type="dxa"/>
            <w:vAlign w:val="center"/>
          </w:tcPr>
          <w:p>
            <w:pPr>
              <w:pStyle w:val="12"/>
            </w:pPr>
            <w:r>
              <w:t>≤12万元</w:t>
            </w:r>
          </w:p>
        </w:tc>
        <w:tc>
          <w:tcPr>
            <w:tcW w:w="1276" w:type="dxa"/>
            <w:vAlign w:val="center"/>
          </w:tcPr>
          <w:p>
            <w:pPr>
              <w:pStyle w:val="12"/>
            </w:pPr>
            <w:r>
              <w:t>最终费用测算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≥98%</w:t>
            </w:r>
          </w:p>
        </w:tc>
        <w:tc>
          <w:tcPr>
            <w:tcW w:w="1276" w:type="dxa"/>
            <w:vAlign w:val="center"/>
          </w:tcPr>
          <w:p>
            <w:pPr>
              <w:pStyle w:val="12"/>
            </w:pPr>
            <w:r>
              <w:t>群众满意度调查表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雾森设施正常运行后，达到抑制扬尘、改善生态环境</w:t>
            </w:r>
          </w:p>
        </w:tc>
        <w:tc>
          <w:tcPr>
            <w:tcW w:w="5386" w:type="dxa"/>
            <w:vAlign w:val="center"/>
          </w:tcPr>
          <w:p>
            <w:pPr>
              <w:pStyle w:val="12"/>
            </w:pPr>
            <w:r>
              <w:t>雾森设施正常运行后，达到抑制扬尘、改善生态环境</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雾森设施正常运行后，达到抑制扬尘、改善生态环境，提高群众对居住环境的满意度</w:t>
            </w:r>
          </w:p>
        </w:tc>
        <w:tc>
          <w:tcPr>
            <w:tcW w:w="5386" w:type="dxa"/>
            <w:vAlign w:val="center"/>
          </w:tcPr>
          <w:p>
            <w:pPr>
              <w:pStyle w:val="12"/>
            </w:pPr>
            <w:r>
              <w:t>雾森设施正常运行后，达到抑制扬尘、改善生态环境，提高群众对居住环境的满意度</w:t>
            </w:r>
          </w:p>
        </w:tc>
        <w:tc>
          <w:tcPr>
            <w:tcW w:w="2268" w:type="dxa"/>
            <w:vAlign w:val="center"/>
          </w:tcPr>
          <w:p>
            <w:pPr>
              <w:pStyle w:val="12"/>
            </w:pPr>
            <w:r>
              <w:t>雾森设施正常运行后，达到抑制扬尘、改善生态环境，提高群众对居住环境的满意度</w:t>
            </w:r>
          </w:p>
        </w:tc>
        <w:tc>
          <w:tcPr>
            <w:tcW w:w="1276" w:type="dxa"/>
            <w:vAlign w:val="center"/>
          </w:tcPr>
          <w:p>
            <w:pPr>
              <w:pStyle w:val="12"/>
            </w:pPr>
            <w:r>
              <w:t>雾森设施正常运行后，达到抑制扬尘、改善生态环境，提高群众对居住环境的满意度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6、2025年节日氛围营造工程绩效目标表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13011026P00155610173P</w:t>
            </w:r>
          </w:p>
        </w:tc>
        <w:tc>
          <w:tcPr>
            <w:tcW w:w="2835" w:type="dxa"/>
            <w:vAlign w:val="center"/>
          </w:tcPr>
          <w:p>
            <w:pPr>
              <w:pStyle w:val="10"/>
            </w:pPr>
            <w:r>
              <w:t>项目名称</w:t>
            </w:r>
          </w:p>
        </w:tc>
        <w:tc>
          <w:tcPr>
            <w:tcW w:w="6095" w:type="dxa"/>
            <w:gridSpan w:val="3"/>
            <w:vAlign w:val="center"/>
          </w:tcPr>
          <w:p>
            <w:pPr>
              <w:pStyle w:val="12"/>
            </w:pPr>
            <w:r>
              <w:t>2025年节日氛围营造工程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w:t>
            </w:r>
          </w:p>
        </w:tc>
        <w:tc>
          <w:tcPr>
            <w:tcW w:w="2835" w:type="dxa"/>
            <w:vAlign w:val="center"/>
          </w:tcPr>
          <w:p>
            <w:pPr>
              <w:pStyle w:val="10"/>
            </w:pPr>
            <w:r>
              <w:t>其中：财政    资金</w:t>
            </w:r>
          </w:p>
        </w:tc>
        <w:tc>
          <w:tcPr>
            <w:tcW w:w="2551" w:type="dxa"/>
            <w:vAlign w:val="center"/>
          </w:tcPr>
          <w:p>
            <w:pPr>
              <w:pStyle w:val="12"/>
            </w:pPr>
            <w:r>
              <w:t>5.50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用于支付2025年节日氛围营造工程费用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1.完成2025年春节期间对向阳大街、镇宁路（包括西门城楼）、新康路等街道安装灯笼15376个，增加营造春节气氛。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悬挂直径20cmPE灯笼的数量</w:t>
            </w:r>
          </w:p>
        </w:tc>
        <w:tc>
          <w:tcPr>
            <w:tcW w:w="5386" w:type="dxa"/>
            <w:vAlign w:val="center"/>
          </w:tcPr>
          <w:p>
            <w:pPr>
              <w:pStyle w:val="12"/>
            </w:pPr>
            <w:r>
              <w:t>悬挂直径20cmPE灯笼的数量</w:t>
            </w:r>
          </w:p>
        </w:tc>
        <w:tc>
          <w:tcPr>
            <w:tcW w:w="2268" w:type="dxa"/>
            <w:vAlign w:val="center"/>
          </w:tcPr>
          <w:p>
            <w:pPr>
              <w:pStyle w:val="12"/>
            </w:pPr>
            <w:r>
              <w:t>≥1077套，一套10个灯笼</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悬挂直径20cmPE灯笼的数量</w:t>
            </w:r>
          </w:p>
        </w:tc>
        <w:tc>
          <w:tcPr>
            <w:tcW w:w="5386" w:type="dxa"/>
            <w:vAlign w:val="center"/>
          </w:tcPr>
          <w:p>
            <w:pPr>
              <w:pStyle w:val="12"/>
            </w:pPr>
            <w:r>
              <w:t>悬挂直径20cmPE灯笼的数量</w:t>
            </w:r>
          </w:p>
        </w:tc>
        <w:tc>
          <w:tcPr>
            <w:tcW w:w="2268" w:type="dxa"/>
            <w:vAlign w:val="center"/>
          </w:tcPr>
          <w:p>
            <w:pPr>
              <w:pStyle w:val="12"/>
            </w:pPr>
            <w:r>
              <w:t>≥60套，一套28个灯笼</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悬挂仿羊皮宫灯的数量</w:t>
            </w:r>
          </w:p>
        </w:tc>
        <w:tc>
          <w:tcPr>
            <w:tcW w:w="5386" w:type="dxa"/>
            <w:vAlign w:val="center"/>
          </w:tcPr>
          <w:p>
            <w:pPr>
              <w:pStyle w:val="12"/>
            </w:pPr>
            <w:r>
              <w:t>悬挂仿羊皮宫灯的数量</w:t>
            </w:r>
          </w:p>
        </w:tc>
        <w:tc>
          <w:tcPr>
            <w:tcW w:w="2268" w:type="dxa"/>
            <w:vAlign w:val="center"/>
          </w:tcPr>
          <w:p>
            <w:pPr>
              <w:pStyle w:val="12"/>
            </w:pPr>
            <w:r>
              <w:t>≥288套，一套10个灯笼</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悬挂直径1200mmPE灯笼的数量</w:t>
            </w:r>
          </w:p>
        </w:tc>
        <w:tc>
          <w:tcPr>
            <w:tcW w:w="5386" w:type="dxa"/>
            <w:vAlign w:val="center"/>
          </w:tcPr>
          <w:p>
            <w:pPr>
              <w:pStyle w:val="12"/>
            </w:pPr>
            <w:r>
              <w:t>悬挂直径1200mmPE灯笼的数量</w:t>
            </w:r>
          </w:p>
        </w:tc>
        <w:tc>
          <w:tcPr>
            <w:tcW w:w="2268" w:type="dxa"/>
            <w:vAlign w:val="center"/>
          </w:tcPr>
          <w:p>
            <w:pPr>
              <w:pStyle w:val="12"/>
            </w:pPr>
            <w:r>
              <w:t>≥8只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悬挂直径1500mmPE灯笼的数量</w:t>
            </w:r>
          </w:p>
        </w:tc>
        <w:tc>
          <w:tcPr>
            <w:tcW w:w="5386" w:type="dxa"/>
            <w:vAlign w:val="center"/>
          </w:tcPr>
          <w:p>
            <w:pPr>
              <w:pStyle w:val="12"/>
            </w:pPr>
            <w:r>
              <w:t>悬挂直径1500mmPE灯笼的数量</w:t>
            </w:r>
          </w:p>
        </w:tc>
        <w:tc>
          <w:tcPr>
            <w:tcW w:w="2268" w:type="dxa"/>
            <w:vAlign w:val="center"/>
          </w:tcPr>
          <w:p>
            <w:pPr>
              <w:pStyle w:val="12"/>
            </w:pPr>
            <w:r>
              <w:t>≥6只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铺设银白网状灯的数量</w:t>
            </w:r>
          </w:p>
        </w:tc>
        <w:tc>
          <w:tcPr>
            <w:tcW w:w="5386" w:type="dxa"/>
            <w:vAlign w:val="center"/>
          </w:tcPr>
          <w:p>
            <w:pPr>
              <w:pStyle w:val="12"/>
            </w:pPr>
            <w:r>
              <w:t>铺设银白网状灯的数量</w:t>
            </w:r>
          </w:p>
        </w:tc>
        <w:tc>
          <w:tcPr>
            <w:tcW w:w="2268" w:type="dxa"/>
            <w:vAlign w:val="center"/>
          </w:tcPr>
          <w:p>
            <w:pPr>
              <w:pStyle w:val="12"/>
            </w:pPr>
            <w:r>
              <w:t>≥1100套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悬挂直径800mmPE灯笼的数量</w:t>
            </w:r>
          </w:p>
        </w:tc>
        <w:tc>
          <w:tcPr>
            <w:tcW w:w="5386" w:type="dxa"/>
            <w:vAlign w:val="center"/>
          </w:tcPr>
          <w:p>
            <w:pPr>
              <w:pStyle w:val="12"/>
            </w:pPr>
            <w:r>
              <w:t>悬挂直径800mmPE灯笼的数量</w:t>
            </w:r>
          </w:p>
        </w:tc>
        <w:tc>
          <w:tcPr>
            <w:tcW w:w="2268" w:type="dxa"/>
            <w:vAlign w:val="center"/>
          </w:tcPr>
          <w:p>
            <w:pPr>
              <w:pStyle w:val="12"/>
            </w:pPr>
            <w:r>
              <w:t>≥32只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安装大功率LED投光灯100W的数量</w:t>
            </w:r>
          </w:p>
        </w:tc>
        <w:tc>
          <w:tcPr>
            <w:tcW w:w="5386" w:type="dxa"/>
            <w:vAlign w:val="center"/>
          </w:tcPr>
          <w:p>
            <w:pPr>
              <w:pStyle w:val="12"/>
            </w:pPr>
            <w:r>
              <w:t>安装大功率LED投光灯100W的数量</w:t>
            </w:r>
          </w:p>
        </w:tc>
        <w:tc>
          <w:tcPr>
            <w:tcW w:w="2268" w:type="dxa"/>
            <w:vAlign w:val="center"/>
          </w:tcPr>
          <w:p>
            <w:pPr>
              <w:pStyle w:val="12"/>
            </w:pPr>
            <w:r>
              <w:t>≥8个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安装投影灯的数量</w:t>
            </w:r>
          </w:p>
        </w:tc>
        <w:tc>
          <w:tcPr>
            <w:tcW w:w="5386" w:type="dxa"/>
            <w:vAlign w:val="center"/>
          </w:tcPr>
          <w:p>
            <w:pPr>
              <w:pStyle w:val="12"/>
            </w:pPr>
            <w:r>
              <w:t>安装投影灯的数量</w:t>
            </w:r>
          </w:p>
        </w:tc>
        <w:tc>
          <w:tcPr>
            <w:tcW w:w="2268" w:type="dxa"/>
            <w:vAlign w:val="center"/>
          </w:tcPr>
          <w:p>
            <w:pPr>
              <w:pStyle w:val="12"/>
            </w:pPr>
            <w:r>
              <w:t>≥2台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铺设ZR-YJV3*62国标阻燃电缆的数量</w:t>
            </w:r>
          </w:p>
        </w:tc>
        <w:tc>
          <w:tcPr>
            <w:tcW w:w="5386" w:type="dxa"/>
            <w:vAlign w:val="center"/>
          </w:tcPr>
          <w:p>
            <w:pPr>
              <w:pStyle w:val="12"/>
            </w:pPr>
            <w:r>
              <w:t>铺设ZR-YJV3*62国标阻燃电缆的数量</w:t>
            </w:r>
          </w:p>
        </w:tc>
        <w:tc>
          <w:tcPr>
            <w:tcW w:w="2268" w:type="dxa"/>
            <w:vAlign w:val="center"/>
          </w:tcPr>
          <w:p>
            <w:pPr>
              <w:pStyle w:val="12"/>
            </w:pPr>
            <w:r>
              <w:t>≥3000米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铺设ZR-RVV2*2.52国标阻燃电缆的数量</w:t>
            </w:r>
          </w:p>
        </w:tc>
        <w:tc>
          <w:tcPr>
            <w:tcW w:w="5386" w:type="dxa"/>
            <w:vAlign w:val="center"/>
          </w:tcPr>
          <w:p>
            <w:pPr>
              <w:pStyle w:val="12"/>
            </w:pPr>
            <w:r>
              <w:t>铺设ZR-RVV2*2.52国标阻燃电缆的数量</w:t>
            </w:r>
          </w:p>
        </w:tc>
        <w:tc>
          <w:tcPr>
            <w:tcW w:w="2268" w:type="dxa"/>
            <w:vAlign w:val="center"/>
          </w:tcPr>
          <w:p>
            <w:pPr>
              <w:pStyle w:val="12"/>
            </w:pPr>
            <w:r>
              <w:t>≥1300米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安装配电箱的数量</w:t>
            </w:r>
          </w:p>
        </w:tc>
        <w:tc>
          <w:tcPr>
            <w:tcW w:w="5386" w:type="dxa"/>
            <w:vAlign w:val="center"/>
          </w:tcPr>
          <w:p>
            <w:pPr>
              <w:pStyle w:val="12"/>
            </w:pPr>
            <w:r>
              <w:t>安装配电箱的数量</w:t>
            </w:r>
          </w:p>
        </w:tc>
        <w:tc>
          <w:tcPr>
            <w:tcW w:w="2268" w:type="dxa"/>
            <w:vAlign w:val="center"/>
          </w:tcPr>
          <w:p>
            <w:pPr>
              <w:pStyle w:val="12"/>
            </w:pPr>
            <w:r>
              <w:t>≥4台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悬挂灯笼合格率</w:t>
            </w:r>
          </w:p>
        </w:tc>
        <w:tc>
          <w:tcPr>
            <w:tcW w:w="5386" w:type="dxa"/>
            <w:vAlign w:val="center"/>
          </w:tcPr>
          <w:p>
            <w:pPr>
              <w:pStyle w:val="12"/>
            </w:pPr>
            <w:r>
              <w:t>合格的灯笼工程量占工程完工总量的比率</w:t>
            </w:r>
          </w:p>
        </w:tc>
        <w:tc>
          <w:tcPr>
            <w:tcW w:w="2268" w:type="dxa"/>
            <w:vAlign w:val="center"/>
          </w:tcPr>
          <w:p>
            <w:pPr>
              <w:pStyle w:val="12"/>
              <w:rPr>
                <w:rFonts w:hint="default"/>
                <w:lang w:val="en-US"/>
              </w:rPr>
            </w:pPr>
            <w:r>
              <w:t>≥95</w:t>
            </w:r>
            <w:r>
              <w:rPr>
                <w:rFonts w:hint="default"/>
                <w:lang w:val="en-US"/>
              </w:rPr>
              <w:t>%</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铺设电缆合格率</w:t>
            </w:r>
          </w:p>
        </w:tc>
        <w:tc>
          <w:tcPr>
            <w:tcW w:w="5386" w:type="dxa"/>
            <w:vAlign w:val="center"/>
          </w:tcPr>
          <w:p>
            <w:pPr>
              <w:pStyle w:val="12"/>
            </w:pPr>
            <w:r>
              <w:t>合格的电缆工程量占工程完工总量的比率</w:t>
            </w:r>
          </w:p>
        </w:tc>
        <w:tc>
          <w:tcPr>
            <w:tcW w:w="2268" w:type="dxa"/>
            <w:vAlign w:val="center"/>
          </w:tcPr>
          <w:p>
            <w:pPr>
              <w:pStyle w:val="12"/>
            </w:pPr>
            <w:r>
              <w:t>≥95</w:t>
            </w:r>
            <w:r>
              <w:rPr>
                <w:rFonts w:hint="default"/>
                <w:lang w:val="en-US"/>
              </w:rPr>
              <w:t>%</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安装完工及时率</w:t>
            </w:r>
          </w:p>
        </w:tc>
        <w:tc>
          <w:tcPr>
            <w:tcW w:w="5386" w:type="dxa"/>
            <w:vAlign w:val="center"/>
          </w:tcPr>
          <w:p>
            <w:pPr>
              <w:pStyle w:val="12"/>
            </w:pPr>
            <w:r>
              <w:t>按时完成灯笼安装占安装计划的比率</w:t>
            </w:r>
          </w:p>
        </w:tc>
        <w:tc>
          <w:tcPr>
            <w:tcW w:w="2268" w:type="dxa"/>
            <w:vAlign w:val="center"/>
          </w:tcPr>
          <w:p>
            <w:pPr>
              <w:pStyle w:val="12"/>
            </w:pPr>
            <w:r>
              <w:t>100</w:t>
            </w:r>
            <w:r>
              <w:rPr>
                <w:rFonts w:hint="default"/>
                <w:lang w:val="en-US"/>
              </w:rPr>
              <w:t>%</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安装投资费用</w:t>
            </w:r>
          </w:p>
        </w:tc>
        <w:tc>
          <w:tcPr>
            <w:tcW w:w="5386" w:type="dxa"/>
            <w:vAlign w:val="center"/>
          </w:tcPr>
          <w:p>
            <w:pPr>
              <w:pStyle w:val="12"/>
            </w:pPr>
            <w:r>
              <w:t>安装投资费用</w:t>
            </w:r>
          </w:p>
        </w:tc>
        <w:tc>
          <w:tcPr>
            <w:tcW w:w="2268" w:type="dxa"/>
            <w:vAlign w:val="center"/>
          </w:tcPr>
          <w:p>
            <w:pPr>
              <w:pStyle w:val="12"/>
            </w:pPr>
            <w:r>
              <w:t>≤78.51万元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春节营造社会影响力</w:t>
            </w:r>
          </w:p>
        </w:tc>
        <w:tc>
          <w:tcPr>
            <w:tcW w:w="5386" w:type="dxa"/>
            <w:vAlign w:val="center"/>
          </w:tcPr>
          <w:p>
            <w:pPr>
              <w:pStyle w:val="12"/>
            </w:pPr>
            <w:r>
              <w:t>春节营造社会影响力</w:t>
            </w:r>
          </w:p>
        </w:tc>
        <w:tc>
          <w:tcPr>
            <w:tcW w:w="2268" w:type="dxa"/>
            <w:vAlign w:val="center"/>
          </w:tcPr>
          <w:p>
            <w:pPr>
              <w:pStyle w:val="12"/>
            </w:pPr>
            <w:r>
              <w:t>提升社会影响力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提升街道春节景观效果</w:t>
            </w:r>
          </w:p>
        </w:tc>
        <w:tc>
          <w:tcPr>
            <w:tcW w:w="5386" w:type="dxa"/>
            <w:vAlign w:val="center"/>
          </w:tcPr>
          <w:p>
            <w:pPr>
              <w:pStyle w:val="12"/>
            </w:pPr>
            <w:r>
              <w:t>提升街道春节景观效果</w:t>
            </w:r>
          </w:p>
        </w:tc>
        <w:tc>
          <w:tcPr>
            <w:tcW w:w="2268" w:type="dxa"/>
            <w:vAlign w:val="center"/>
          </w:tcPr>
          <w:p>
            <w:pPr>
              <w:pStyle w:val="12"/>
            </w:pPr>
            <w:r>
              <w:t>提升街道春节景观效果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受益群体的满意程度</w:t>
            </w:r>
          </w:p>
        </w:tc>
        <w:tc>
          <w:tcPr>
            <w:tcW w:w="2268" w:type="dxa"/>
            <w:vAlign w:val="center"/>
          </w:tcPr>
          <w:p>
            <w:pPr>
              <w:pStyle w:val="12"/>
            </w:pPr>
            <w:r>
              <w:t>≥95</w:t>
            </w:r>
            <w:r>
              <w:rPr>
                <w:rFonts w:hint="default"/>
                <w:lang w:val="en-US"/>
              </w:rPr>
              <w:t>%</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13011026P00156410585U</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11.49</w:t>
            </w:r>
          </w:p>
        </w:tc>
        <w:tc>
          <w:tcPr>
            <w:tcW w:w="2835" w:type="dxa"/>
            <w:vAlign w:val="center"/>
          </w:tcPr>
          <w:p>
            <w:pPr>
              <w:pStyle w:val="10"/>
            </w:pPr>
            <w:r>
              <w:t>其中：财政    资金</w:t>
            </w:r>
          </w:p>
        </w:tc>
        <w:tc>
          <w:tcPr>
            <w:tcW w:w="2551" w:type="dxa"/>
            <w:vAlign w:val="center"/>
          </w:tcPr>
          <w:p>
            <w:pPr>
              <w:pStyle w:val="12"/>
            </w:pPr>
            <w:r>
              <w:t>11.49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1.我单位共有军队退役人员劳务派遣2人，工资8.16万元/年，社保及管理费2.889336万元/年，过冬费0.4万元/年。2026年涉军劳务派遣共需资金11.49万元。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发放退役军人数量</w:t>
            </w:r>
          </w:p>
        </w:tc>
        <w:tc>
          <w:tcPr>
            <w:tcW w:w="5386" w:type="dxa"/>
            <w:vAlign w:val="center"/>
          </w:tcPr>
          <w:p>
            <w:pPr>
              <w:pStyle w:val="12"/>
            </w:pPr>
            <w:r>
              <w:t>涉军劳务派遣岗位补贴人数</w:t>
            </w:r>
          </w:p>
        </w:tc>
        <w:tc>
          <w:tcPr>
            <w:tcW w:w="2268" w:type="dxa"/>
            <w:vAlign w:val="center"/>
          </w:tcPr>
          <w:p>
            <w:pPr>
              <w:pStyle w:val="12"/>
            </w:pPr>
            <w:r>
              <w:t>2人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就业援助工作完成率</w:t>
            </w:r>
          </w:p>
        </w:tc>
        <w:tc>
          <w:tcPr>
            <w:tcW w:w="5386" w:type="dxa"/>
            <w:vAlign w:val="center"/>
          </w:tcPr>
          <w:p>
            <w:pPr>
              <w:pStyle w:val="12"/>
            </w:pPr>
            <w:r>
              <w:t>对安排的符合条件的退役军人就业援助工作完成率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退役军人扶助资金发放率</w:t>
            </w:r>
          </w:p>
        </w:tc>
        <w:tc>
          <w:tcPr>
            <w:tcW w:w="5386" w:type="dxa"/>
            <w:vAlign w:val="center"/>
          </w:tcPr>
          <w:p>
            <w:pPr>
              <w:pStyle w:val="12"/>
            </w:pPr>
            <w:r>
              <w:t>每月按时发放救助资金效率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人均财政年补助标准</w:t>
            </w:r>
          </w:p>
        </w:tc>
        <w:tc>
          <w:tcPr>
            <w:tcW w:w="5386" w:type="dxa"/>
            <w:vAlign w:val="center"/>
          </w:tcPr>
          <w:p>
            <w:pPr>
              <w:pStyle w:val="12"/>
            </w:pPr>
            <w:r>
              <w:t>退役军人每人每年财政投入资金</w:t>
            </w:r>
          </w:p>
        </w:tc>
        <w:tc>
          <w:tcPr>
            <w:tcW w:w="2268" w:type="dxa"/>
            <w:vAlign w:val="center"/>
          </w:tcPr>
          <w:p>
            <w:pPr>
              <w:pStyle w:val="12"/>
            </w:pPr>
            <w:r>
              <w:t>≥57450元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帮扶救助就业困难人数</w:t>
            </w:r>
          </w:p>
        </w:tc>
        <w:tc>
          <w:tcPr>
            <w:tcW w:w="5386" w:type="dxa"/>
            <w:vAlign w:val="center"/>
          </w:tcPr>
          <w:p>
            <w:pPr>
              <w:pStyle w:val="12"/>
            </w:pPr>
            <w:r>
              <w:t>派遣岗位安排退役军人人口就业数量</w:t>
            </w:r>
          </w:p>
        </w:tc>
        <w:tc>
          <w:tcPr>
            <w:tcW w:w="2268" w:type="dxa"/>
            <w:vAlign w:val="center"/>
          </w:tcPr>
          <w:p>
            <w:pPr>
              <w:pStyle w:val="12"/>
            </w:pPr>
            <w:r>
              <w:t>2人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受补助退役军人生活水平提高</w:t>
            </w:r>
          </w:p>
        </w:tc>
        <w:tc>
          <w:tcPr>
            <w:tcW w:w="5386" w:type="dxa"/>
            <w:vAlign w:val="center"/>
          </w:tcPr>
          <w:p>
            <w:pPr>
              <w:pStyle w:val="12"/>
            </w:pPr>
            <w:r>
              <w:t>受补助退役军人生活水平提高程度</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安排就业退役军人对象满意程度</w:t>
            </w:r>
          </w:p>
        </w:tc>
        <w:tc>
          <w:tcPr>
            <w:tcW w:w="5386" w:type="dxa"/>
            <w:vAlign w:val="center"/>
          </w:tcPr>
          <w:p>
            <w:pPr>
              <w:pStyle w:val="12"/>
            </w:pPr>
            <w:r>
              <w:t>安排就业退役军人的满意度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8、307国道城区段样板路综合整治工程绩效目标表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13011026P00156410607D</w:t>
            </w:r>
          </w:p>
        </w:tc>
        <w:tc>
          <w:tcPr>
            <w:tcW w:w="2835" w:type="dxa"/>
            <w:vAlign w:val="center"/>
          </w:tcPr>
          <w:p>
            <w:pPr>
              <w:pStyle w:val="10"/>
            </w:pPr>
            <w:r>
              <w:t>项目名称</w:t>
            </w:r>
          </w:p>
        </w:tc>
        <w:tc>
          <w:tcPr>
            <w:tcW w:w="6095" w:type="dxa"/>
            <w:gridSpan w:val="3"/>
            <w:vAlign w:val="center"/>
          </w:tcPr>
          <w:p>
            <w:pPr>
              <w:pStyle w:val="12"/>
            </w:pPr>
            <w:r>
              <w:t>307国道城区段样板路综合整治工程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0.74</w:t>
            </w:r>
          </w:p>
        </w:tc>
        <w:tc>
          <w:tcPr>
            <w:tcW w:w="2835" w:type="dxa"/>
            <w:vAlign w:val="center"/>
          </w:tcPr>
          <w:p>
            <w:pPr>
              <w:pStyle w:val="10"/>
            </w:pPr>
            <w:r>
              <w:t>其中：财政    资金</w:t>
            </w:r>
          </w:p>
        </w:tc>
        <w:tc>
          <w:tcPr>
            <w:tcW w:w="2551" w:type="dxa"/>
            <w:vAlign w:val="center"/>
          </w:tcPr>
          <w:p>
            <w:pPr>
              <w:pStyle w:val="12"/>
            </w:pPr>
            <w:r>
              <w:t>0.74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用于支付307国道城区段样板路综合整治工程费用。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向阳街至观景大街段绿地麦冬补栽，补栽面积2.13万平方米；完成向阳街至六街地道桥隔离带乔灌木补栽，补栽2467株；完成沥青路面、路牙石、便道维修。沥青路面维修328.19平方米，更换花砖409米长，更换便道砖42平方米，更换路牙石27米长。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麦冬补栽数量</w:t>
            </w:r>
          </w:p>
        </w:tc>
        <w:tc>
          <w:tcPr>
            <w:tcW w:w="5386" w:type="dxa"/>
            <w:vAlign w:val="center"/>
          </w:tcPr>
          <w:p>
            <w:pPr>
              <w:pStyle w:val="12"/>
            </w:pPr>
            <w:r>
              <w:t>麦冬补栽数量</w:t>
            </w:r>
          </w:p>
        </w:tc>
        <w:tc>
          <w:tcPr>
            <w:tcW w:w="2268" w:type="dxa"/>
            <w:vAlign w:val="center"/>
          </w:tcPr>
          <w:p>
            <w:pPr>
              <w:pStyle w:val="12"/>
            </w:pPr>
            <w:r>
              <w:t>≥2.13万平方米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乔灌木补栽数量</w:t>
            </w:r>
          </w:p>
        </w:tc>
        <w:tc>
          <w:tcPr>
            <w:tcW w:w="5386" w:type="dxa"/>
            <w:vAlign w:val="center"/>
          </w:tcPr>
          <w:p>
            <w:pPr>
              <w:pStyle w:val="12"/>
            </w:pPr>
            <w:r>
              <w:t>乔灌木补栽数量</w:t>
            </w:r>
          </w:p>
        </w:tc>
        <w:tc>
          <w:tcPr>
            <w:tcW w:w="2268" w:type="dxa"/>
            <w:vAlign w:val="center"/>
          </w:tcPr>
          <w:p>
            <w:pPr>
              <w:pStyle w:val="12"/>
            </w:pPr>
            <w:r>
              <w:t>≥2467株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沥青路面维修数量</w:t>
            </w:r>
          </w:p>
        </w:tc>
        <w:tc>
          <w:tcPr>
            <w:tcW w:w="5386" w:type="dxa"/>
            <w:vAlign w:val="center"/>
          </w:tcPr>
          <w:p>
            <w:pPr>
              <w:pStyle w:val="12"/>
            </w:pPr>
            <w:r>
              <w:t>沥青路面维修数量</w:t>
            </w:r>
          </w:p>
        </w:tc>
        <w:tc>
          <w:tcPr>
            <w:tcW w:w="2268" w:type="dxa"/>
            <w:vAlign w:val="center"/>
          </w:tcPr>
          <w:p>
            <w:pPr>
              <w:pStyle w:val="12"/>
            </w:pPr>
            <w:r>
              <w:t>≥328.19平方米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花砖更换数量</w:t>
            </w:r>
          </w:p>
        </w:tc>
        <w:tc>
          <w:tcPr>
            <w:tcW w:w="5386" w:type="dxa"/>
            <w:vAlign w:val="center"/>
          </w:tcPr>
          <w:p>
            <w:pPr>
              <w:pStyle w:val="12"/>
            </w:pPr>
            <w:r>
              <w:t>花砖更换数量</w:t>
            </w:r>
          </w:p>
        </w:tc>
        <w:tc>
          <w:tcPr>
            <w:tcW w:w="2268" w:type="dxa"/>
            <w:vAlign w:val="center"/>
          </w:tcPr>
          <w:p>
            <w:pPr>
              <w:pStyle w:val="12"/>
            </w:pPr>
            <w:r>
              <w:t>≥409米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便道砖更换数量</w:t>
            </w:r>
          </w:p>
        </w:tc>
        <w:tc>
          <w:tcPr>
            <w:tcW w:w="5386" w:type="dxa"/>
            <w:vAlign w:val="center"/>
          </w:tcPr>
          <w:p>
            <w:pPr>
              <w:pStyle w:val="12"/>
            </w:pPr>
            <w:r>
              <w:t>便道砖更换数量</w:t>
            </w:r>
          </w:p>
        </w:tc>
        <w:tc>
          <w:tcPr>
            <w:tcW w:w="2268" w:type="dxa"/>
            <w:vAlign w:val="center"/>
          </w:tcPr>
          <w:p>
            <w:pPr>
              <w:pStyle w:val="12"/>
            </w:pPr>
            <w:r>
              <w:t>≥42平方米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路牙石更换维修数量</w:t>
            </w:r>
          </w:p>
        </w:tc>
        <w:tc>
          <w:tcPr>
            <w:tcW w:w="5386" w:type="dxa"/>
            <w:vAlign w:val="center"/>
          </w:tcPr>
          <w:p>
            <w:pPr>
              <w:pStyle w:val="12"/>
            </w:pPr>
            <w:r>
              <w:t>路牙石更换维修数量</w:t>
            </w:r>
          </w:p>
        </w:tc>
        <w:tc>
          <w:tcPr>
            <w:tcW w:w="2268" w:type="dxa"/>
            <w:vAlign w:val="center"/>
          </w:tcPr>
          <w:p>
            <w:pPr>
              <w:pStyle w:val="12"/>
            </w:pPr>
            <w:r>
              <w:t>≥27米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花池新建数量</w:t>
            </w:r>
          </w:p>
        </w:tc>
        <w:tc>
          <w:tcPr>
            <w:tcW w:w="5386" w:type="dxa"/>
            <w:vAlign w:val="center"/>
          </w:tcPr>
          <w:p>
            <w:pPr>
              <w:pStyle w:val="12"/>
            </w:pPr>
            <w:r>
              <w:t>花池新建数量</w:t>
            </w:r>
          </w:p>
        </w:tc>
        <w:tc>
          <w:tcPr>
            <w:tcW w:w="2268" w:type="dxa"/>
            <w:vAlign w:val="center"/>
          </w:tcPr>
          <w:p>
            <w:pPr>
              <w:pStyle w:val="12"/>
            </w:pPr>
            <w:r>
              <w:t>≥45米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工程的验收合格率</w:t>
            </w:r>
          </w:p>
        </w:tc>
        <w:tc>
          <w:tcPr>
            <w:tcW w:w="5386" w:type="dxa"/>
            <w:vAlign w:val="center"/>
          </w:tcPr>
          <w:p>
            <w:pPr>
              <w:pStyle w:val="12"/>
            </w:pPr>
            <w:r>
              <w:t>验收合格的工程量占实际完成工程量的比例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工程的完工率</w:t>
            </w:r>
          </w:p>
        </w:tc>
        <w:tc>
          <w:tcPr>
            <w:tcW w:w="5386" w:type="dxa"/>
            <w:vAlign w:val="center"/>
          </w:tcPr>
          <w:p>
            <w:pPr>
              <w:pStyle w:val="12"/>
            </w:pPr>
            <w:r>
              <w:t>工程实际完成的工程量占计划完成工程量的比例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整治提升成本</w:t>
            </w:r>
          </w:p>
        </w:tc>
        <w:tc>
          <w:tcPr>
            <w:tcW w:w="5386" w:type="dxa"/>
            <w:vAlign w:val="center"/>
          </w:tcPr>
          <w:p>
            <w:pPr>
              <w:pStyle w:val="12"/>
            </w:pPr>
            <w:r>
              <w:t>整治提升成本</w:t>
            </w:r>
          </w:p>
        </w:tc>
        <w:tc>
          <w:tcPr>
            <w:tcW w:w="2268" w:type="dxa"/>
            <w:vAlign w:val="center"/>
          </w:tcPr>
          <w:p>
            <w:pPr>
              <w:pStyle w:val="12"/>
            </w:pPr>
            <w:r>
              <w:t>≤44.68万元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方便市民出行，改善交通条件</w:t>
            </w:r>
          </w:p>
        </w:tc>
        <w:tc>
          <w:tcPr>
            <w:tcW w:w="5386" w:type="dxa"/>
            <w:vAlign w:val="center"/>
          </w:tcPr>
          <w:p>
            <w:pPr>
              <w:pStyle w:val="12"/>
            </w:pPr>
            <w:r>
              <w:t>方便市民出行，改善交通条件</w:t>
            </w:r>
          </w:p>
        </w:tc>
        <w:tc>
          <w:tcPr>
            <w:tcW w:w="2268" w:type="dxa"/>
            <w:vAlign w:val="center"/>
          </w:tcPr>
          <w:p>
            <w:pPr>
              <w:pStyle w:val="12"/>
            </w:pPr>
            <w:r>
              <w:t>方便市民出行，改善交通条件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整治提升后的基础设施使用年限</w:t>
            </w:r>
          </w:p>
        </w:tc>
        <w:tc>
          <w:tcPr>
            <w:tcW w:w="5386" w:type="dxa"/>
            <w:vAlign w:val="center"/>
          </w:tcPr>
          <w:p>
            <w:pPr>
              <w:pStyle w:val="12"/>
            </w:pPr>
            <w:r>
              <w:t>整治提升后的基础设施使用年限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群众对整治提升的满意程度</w:t>
            </w:r>
          </w:p>
        </w:tc>
        <w:tc>
          <w:tcPr>
            <w:tcW w:w="5386" w:type="dxa"/>
            <w:vAlign w:val="center"/>
          </w:tcPr>
          <w:p>
            <w:pPr>
              <w:pStyle w:val="12"/>
            </w:pPr>
            <w:r>
              <w:t>群众对整治提升的满意程度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9、北外环绿地安装雾森设施及喷灌管线绩效目标表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13011026P001564106275</w:t>
            </w:r>
          </w:p>
        </w:tc>
        <w:tc>
          <w:tcPr>
            <w:tcW w:w="2835" w:type="dxa"/>
            <w:vAlign w:val="center"/>
          </w:tcPr>
          <w:p>
            <w:pPr>
              <w:pStyle w:val="10"/>
            </w:pPr>
            <w:r>
              <w:t>项目名称</w:t>
            </w:r>
          </w:p>
        </w:tc>
        <w:tc>
          <w:tcPr>
            <w:tcW w:w="6095" w:type="dxa"/>
            <w:gridSpan w:val="3"/>
            <w:vAlign w:val="center"/>
          </w:tcPr>
          <w:p>
            <w:pPr>
              <w:pStyle w:val="12"/>
            </w:pPr>
            <w:r>
              <w:t>北外环绿地安装雾森设施及喷灌管线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4.08</w:t>
            </w:r>
          </w:p>
        </w:tc>
        <w:tc>
          <w:tcPr>
            <w:tcW w:w="2835" w:type="dxa"/>
            <w:vAlign w:val="center"/>
          </w:tcPr>
          <w:p>
            <w:pPr>
              <w:pStyle w:val="10"/>
            </w:pPr>
            <w:r>
              <w:t>其中：财政    资金</w:t>
            </w:r>
          </w:p>
        </w:tc>
        <w:tc>
          <w:tcPr>
            <w:tcW w:w="2551" w:type="dxa"/>
            <w:vAlign w:val="center"/>
          </w:tcPr>
          <w:p>
            <w:pPr>
              <w:pStyle w:val="12"/>
            </w:pPr>
            <w:r>
              <w:t>4.08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用于支付北外环绿地安装雾森设施及喷灌管线费用。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1.完成安装雾森设施34套、铺设喷灌管线3400米，按时完成安装，合格率达到100%，投资金额≤58.35万元。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完成安装雾森设施34套</w:t>
            </w:r>
          </w:p>
        </w:tc>
        <w:tc>
          <w:tcPr>
            <w:tcW w:w="5386" w:type="dxa"/>
            <w:vAlign w:val="center"/>
          </w:tcPr>
          <w:p>
            <w:pPr>
              <w:pStyle w:val="12"/>
            </w:pPr>
            <w:r>
              <w:t>完成安装雾森设施34套</w:t>
            </w:r>
          </w:p>
        </w:tc>
        <w:tc>
          <w:tcPr>
            <w:tcW w:w="2268" w:type="dxa"/>
            <w:vAlign w:val="center"/>
          </w:tcPr>
          <w:p>
            <w:pPr>
              <w:pStyle w:val="12"/>
            </w:pPr>
            <w:r>
              <w:t>34套</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完成铺设喷灌管线3400米</w:t>
            </w:r>
          </w:p>
        </w:tc>
        <w:tc>
          <w:tcPr>
            <w:tcW w:w="5386" w:type="dxa"/>
            <w:vAlign w:val="center"/>
          </w:tcPr>
          <w:p>
            <w:pPr>
              <w:pStyle w:val="12"/>
            </w:pPr>
            <w:r>
              <w:t>完成铺设喷灌管线3400米</w:t>
            </w:r>
          </w:p>
        </w:tc>
        <w:tc>
          <w:tcPr>
            <w:tcW w:w="2268" w:type="dxa"/>
            <w:vAlign w:val="center"/>
          </w:tcPr>
          <w:p>
            <w:pPr>
              <w:pStyle w:val="12"/>
            </w:pPr>
            <w:r>
              <w:t>≥3400米</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安装合格率达到100%</w:t>
            </w:r>
          </w:p>
        </w:tc>
        <w:tc>
          <w:tcPr>
            <w:tcW w:w="5386" w:type="dxa"/>
            <w:vAlign w:val="center"/>
          </w:tcPr>
          <w:p>
            <w:pPr>
              <w:pStyle w:val="12"/>
            </w:pPr>
            <w:r>
              <w:t>安装合格率达到100%</w:t>
            </w:r>
          </w:p>
        </w:tc>
        <w:tc>
          <w:tcPr>
            <w:tcW w:w="2268" w:type="dxa"/>
            <w:vAlign w:val="center"/>
          </w:tcPr>
          <w:p>
            <w:pPr>
              <w:pStyle w:val="12"/>
            </w:pPr>
            <w:r>
              <w:t>100%</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按时完成率达到100%</w:t>
            </w:r>
          </w:p>
        </w:tc>
        <w:tc>
          <w:tcPr>
            <w:tcW w:w="5386" w:type="dxa"/>
            <w:vAlign w:val="center"/>
          </w:tcPr>
          <w:p>
            <w:pPr>
              <w:pStyle w:val="12"/>
            </w:pPr>
            <w:r>
              <w:t>按时完成率达到100%</w:t>
            </w:r>
          </w:p>
        </w:tc>
        <w:tc>
          <w:tcPr>
            <w:tcW w:w="2268" w:type="dxa"/>
            <w:vAlign w:val="center"/>
          </w:tcPr>
          <w:p>
            <w:pPr>
              <w:pStyle w:val="12"/>
            </w:pPr>
            <w:r>
              <w:t>100%</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投资金额≤58.25万元</w:t>
            </w:r>
          </w:p>
        </w:tc>
        <w:tc>
          <w:tcPr>
            <w:tcW w:w="5386" w:type="dxa"/>
            <w:vAlign w:val="center"/>
          </w:tcPr>
          <w:p>
            <w:pPr>
              <w:pStyle w:val="12"/>
            </w:pPr>
            <w:r>
              <w:t>投资金额≤58.25万元</w:t>
            </w:r>
          </w:p>
        </w:tc>
        <w:tc>
          <w:tcPr>
            <w:tcW w:w="2268" w:type="dxa"/>
            <w:vAlign w:val="center"/>
          </w:tcPr>
          <w:p>
            <w:pPr>
              <w:pStyle w:val="12"/>
            </w:pPr>
            <w:r>
              <w:t>≤58.25万元</w:t>
            </w:r>
          </w:p>
        </w:tc>
        <w:tc>
          <w:tcPr>
            <w:tcW w:w="1276" w:type="dxa"/>
            <w:vAlign w:val="center"/>
          </w:tcPr>
          <w:p>
            <w:pPr>
              <w:pStyle w:val="12"/>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安装喷灌管线后，减少水车浇水及绿化苗木死亡补栽的投资额</w:t>
            </w:r>
          </w:p>
        </w:tc>
        <w:tc>
          <w:tcPr>
            <w:tcW w:w="5386" w:type="dxa"/>
            <w:vAlign w:val="center"/>
          </w:tcPr>
          <w:p>
            <w:pPr>
              <w:pStyle w:val="12"/>
            </w:pPr>
            <w:r>
              <w:t>安装喷灌管线后，减少水车浇水及绿化苗木死亡补栽的投资额</w:t>
            </w:r>
          </w:p>
        </w:tc>
        <w:tc>
          <w:tcPr>
            <w:tcW w:w="2268" w:type="dxa"/>
            <w:vAlign w:val="center"/>
          </w:tcPr>
          <w:p>
            <w:pPr>
              <w:pStyle w:val="12"/>
            </w:pPr>
            <w:r>
              <w:t>安装喷灌管线后，减少水车浇水及绿化苗木死亡补栽的投资额</w:t>
            </w:r>
          </w:p>
        </w:tc>
        <w:tc>
          <w:tcPr>
            <w:tcW w:w="1276" w:type="dxa"/>
            <w:vAlign w:val="center"/>
          </w:tcPr>
          <w:p>
            <w:pPr>
              <w:pStyle w:val="12"/>
            </w:pPr>
            <w:r>
              <w:t>专业测算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抑制扬尘，改善生态环境</w:t>
            </w:r>
          </w:p>
        </w:tc>
        <w:tc>
          <w:tcPr>
            <w:tcW w:w="5386" w:type="dxa"/>
            <w:vAlign w:val="center"/>
          </w:tcPr>
          <w:p>
            <w:pPr>
              <w:pStyle w:val="12"/>
            </w:pPr>
            <w:r>
              <w:t>抑制扬尘，改善生态环境</w:t>
            </w:r>
          </w:p>
        </w:tc>
        <w:tc>
          <w:tcPr>
            <w:tcW w:w="2268" w:type="dxa"/>
            <w:vAlign w:val="center"/>
          </w:tcPr>
          <w:p>
            <w:pPr>
              <w:pStyle w:val="12"/>
            </w:pPr>
            <w:r>
              <w:t>抑制扬尘，改善生态环境</w:t>
            </w:r>
          </w:p>
        </w:tc>
        <w:tc>
          <w:tcPr>
            <w:tcW w:w="1276" w:type="dxa"/>
            <w:vAlign w:val="center"/>
          </w:tcPr>
          <w:p>
            <w:pPr>
              <w:pStyle w:val="12"/>
            </w:pPr>
            <w:r>
              <w:t>社会满意度调查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抑制扬尘，改善生态环境</w:t>
            </w:r>
          </w:p>
        </w:tc>
        <w:tc>
          <w:tcPr>
            <w:tcW w:w="5386" w:type="dxa"/>
            <w:vAlign w:val="center"/>
          </w:tcPr>
          <w:p>
            <w:pPr>
              <w:pStyle w:val="12"/>
            </w:pPr>
            <w:r>
              <w:t>抑制扬尘，改善生态环境</w:t>
            </w:r>
          </w:p>
        </w:tc>
        <w:tc>
          <w:tcPr>
            <w:tcW w:w="2268" w:type="dxa"/>
            <w:vAlign w:val="center"/>
          </w:tcPr>
          <w:p>
            <w:pPr>
              <w:pStyle w:val="12"/>
            </w:pPr>
            <w:r>
              <w:t>抑制扬尘，改善生态环境</w:t>
            </w:r>
          </w:p>
        </w:tc>
        <w:tc>
          <w:tcPr>
            <w:tcW w:w="1276" w:type="dxa"/>
            <w:vAlign w:val="center"/>
          </w:tcPr>
          <w:p>
            <w:pPr>
              <w:pStyle w:val="12"/>
            </w:pPr>
            <w:r>
              <w:t>社会满意度调查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10、更换补栽北斗路部分绿篱植物绩效目标表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13011026P00155810013J</w:t>
            </w:r>
          </w:p>
        </w:tc>
        <w:tc>
          <w:tcPr>
            <w:tcW w:w="2835" w:type="dxa"/>
            <w:vAlign w:val="center"/>
          </w:tcPr>
          <w:p>
            <w:pPr>
              <w:pStyle w:val="10"/>
            </w:pPr>
            <w:r>
              <w:t>项目名称</w:t>
            </w:r>
          </w:p>
        </w:tc>
        <w:tc>
          <w:tcPr>
            <w:tcW w:w="6095" w:type="dxa"/>
            <w:gridSpan w:val="3"/>
            <w:vAlign w:val="center"/>
          </w:tcPr>
          <w:p>
            <w:pPr>
              <w:pStyle w:val="12"/>
            </w:pPr>
            <w:r>
              <w:t>更换补栽北斗路部分绿篱植物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0.67</w:t>
            </w:r>
          </w:p>
        </w:tc>
        <w:tc>
          <w:tcPr>
            <w:tcW w:w="2835" w:type="dxa"/>
            <w:vAlign w:val="center"/>
          </w:tcPr>
          <w:p>
            <w:pPr>
              <w:pStyle w:val="10"/>
            </w:pPr>
            <w:r>
              <w:t>其中：财政    资金</w:t>
            </w:r>
          </w:p>
        </w:tc>
        <w:tc>
          <w:tcPr>
            <w:tcW w:w="2551" w:type="dxa"/>
            <w:vAlign w:val="center"/>
          </w:tcPr>
          <w:p>
            <w:pPr>
              <w:pStyle w:val="12"/>
            </w:pPr>
            <w:r>
              <w:t>0.67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用于支付补栽北斗路绿篱植物费用。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1.植物进行更换补栽，主要更换金叶女贞色块1040㎡，补栽大叶黄杨篱380㎡、月季300㎡、樱花树147棵等，保证街道道路景观效果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更换栽植女贞数量</w:t>
            </w:r>
          </w:p>
        </w:tc>
        <w:tc>
          <w:tcPr>
            <w:tcW w:w="5386" w:type="dxa"/>
            <w:vAlign w:val="center"/>
          </w:tcPr>
          <w:p>
            <w:pPr>
              <w:pStyle w:val="12"/>
            </w:pPr>
            <w:r>
              <w:t>更换栽植女贞的数量</w:t>
            </w:r>
          </w:p>
        </w:tc>
        <w:tc>
          <w:tcPr>
            <w:tcW w:w="2268" w:type="dxa"/>
            <w:vAlign w:val="center"/>
          </w:tcPr>
          <w:p>
            <w:pPr>
              <w:pStyle w:val="12"/>
            </w:pPr>
            <w:r>
              <w:t>≥1040平方米</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更换栽植大叶黄杨数量</w:t>
            </w:r>
          </w:p>
        </w:tc>
        <w:tc>
          <w:tcPr>
            <w:tcW w:w="5386" w:type="dxa"/>
            <w:vAlign w:val="center"/>
          </w:tcPr>
          <w:p>
            <w:pPr>
              <w:pStyle w:val="12"/>
            </w:pPr>
            <w:r>
              <w:t>更换栽植大叶黄杨的数量</w:t>
            </w:r>
          </w:p>
        </w:tc>
        <w:tc>
          <w:tcPr>
            <w:tcW w:w="2268" w:type="dxa"/>
            <w:vAlign w:val="center"/>
          </w:tcPr>
          <w:p>
            <w:pPr>
              <w:pStyle w:val="12"/>
            </w:pPr>
            <w:r>
              <w:t>≥380平方米</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更换栽植月季数量</w:t>
            </w:r>
          </w:p>
        </w:tc>
        <w:tc>
          <w:tcPr>
            <w:tcW w:w="5386" w:type="dxa"/>
            <w:vAlign w:val="center"/>
          </w:tcPr>
          <w:p>
            <w:pPr>
              <w:pStyle w:val="12"/>
            </w:pPr>
            <w:r>
              <w:t>更换栽植月季的数量</w:t>
            </w:r>
          </w:p>
        </w:tc>
        <w:tc>
          <w:tcPr>
            <w:tcW w:w="2268" w:type="dxa"/>
            <w:vAlign w:val="center"/>
          </w:tcPr>
          <w:p>
            <w:pPr>
              <w:pStyle w:val="12"/>
            </w:pPr>
            <w:r>
              <w:t>≥300平方米</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栽植樱花数量</w:t>
            </w:r>
          </w:p>
        </w:tc>
        <w:tc>
          <w:tcPr>
            <w:tcW w:w="5386" w:type="dxa"/>
            <w:vAlign w:val="center"/>
          </w:tcPr>
          <w:p>
            <w:pPr>
              <w:pStyle w:val="12"/>
            </w:pPr>
            <w:r>
              <w:t>栽植樱花的数量</w:t>
            </w:r>
          </w:p>
        </w:tc>
        <w:tc>
          <w:tcPr>
            <w:tcW w:w="2268" w:type="dxa"/>
            <w:vAlign w:val="center"/>
          </w:tcPr>
          <w:p>
            <w:pPr>
              <w:pStyle w:val="12"/>
            </w:pPr>
            <w:r>
              <w:t>≥147株</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苗木补栽合格率</w:t>
            </w:r>
          </w:p>
        </w:tc>
        <w:tc>
          <w:tcPr>
            <w:tcW w:w="5386" w:type="dxa"/>
            <w:vAlign w:val="center"/>
          </w:tcPr>
          <w:p>
            <w:pPr>
              <w:pStyle w:val="12"/>
            </w:pPr>
            <w:r>
              <w:t>合格的苗木补栽工程量占工程完工总量的比率</w:t>
            </w:r>
          </w:p>
        </w:tc>
        <w:tc>
          <w:tcPr>
            <w:tcW w:w="2268" w:type="dxa"/>
            <w:vAlign w:val="center"/>
          </w:tcPr>
          <w:p>
            <w:pPr>
              <w:pStyle w:val="12"/>
            </w:pPr>
            <w:r>
              <w:t>≥95%</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苗木栽植完工及时率</w:t>
            </w:r>
          </w:p>
        </w:tc>
        <w:tc>
          <w:tcPr>
            <w:tcW w:w="5386" w:type="dxa"/>
            <w:vAlign w:val="center"/>
          </w:tcPr>
          <w:p>
            <w:pPr>
              <w:pStyle w:val="12"/>
            </w:pPr>
            <w:r>
              <w:t>按时完成女贞、大叶黄杨、女贞等苗木补栽占补栽计划的比率</w:t>
            </w:r>
          </w:p>
        </w:tc>
        <w:tc>
          <w:tcPr>
            <w:tcW w:w="2268" w:type="dxa"/>
            <w:vAlign w:val="center"/>
          </w:tcPr>
          <w:p>
            <w:pPr>
              <w:pStyle w:val="12"/>
            </w:pPr>
            <w:r>
              <w:t>100%</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更换栽植投资费用</w:t>
            </w:r>
          </w:p>
        </w:tc>
        <w:tc>
          <w:tcPr>
            <w:tcW w:w="5386" w:type="dxa"/>
            <w:vAlign w:val="center"/>
          </w:tcPr>
          <w:p>
            <w:pPr>
              <w:pStyle w:val="12"/>
            </w:pPr>
            <w:r>
              <w:t>更换栽植的投资费用</w:t>
            </w:r>
          </w:p>
        </w:tc>
        <w:tc>
          <w:tcPr>
            <w:tcW w:w="2268" w:type="dxa"/>
            <w:vAlign w:val="center"/>
          </w:tcPr>
          <w:p>
            <w:pPr>
              <w:pStyle w:val="12"/>
            </w:pPr>
            <w:r>
              <w:t>≤19.61万元</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栽植苗木的社会影响力</w:t>
            </w:r>
          </w:p>
        </w:tc>
        <w:tc>
          <w:tcPr>
            <w:tcW w:w="5386" w:type="dxa"/>
            <w:vAlign w:val="center"/>
          </w:tcPr>
          <w:p>
            <w:pPr>
              <w:pStyle w:val="12"/>
            </w:pPr>
            <w:r>
              <w:t>更换补栽苗木的社会影响力</w:t>
            </w:r>
          </w:p>
        </w:tc>
        <w:tc>
          <w:tcPr>
            <w:tcW w:w="2268" w:type="dxa"/>
            <w:vAlign w:val="center"/>
          </w:tcPr>
          <w:p>
            <w:pPr>
              <w:pStyle w:val="12"/>
            </w:pPr>
            <w:r>
              <w:t>提升社会影响力</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栽植苗木提升绿化景观效果</w:t>
            </w:r>
          </w:p>
        </w:tc>
        <w:tc>
          <w:tcPr>
            <w:tcW w:w="5386" w:type="dxa"/>
            <w:vAlign w:val="center"/>
          </w:tcPr>
          <w:p>
            <w:pPr>
              <w:pStyle w:val="12"/>
            </w:pPr>
            <w:r>
              <w:t>更换补栽苗木提升我区城市形象</w:t>
            </w:r>
          </w:p>
        </w:tc>
        <w:tc>
          <w:tcPr>
            <w:tcW w:w="2268" w:type="dxa"/>
            <w:vAlign w:val="center"/>
          </w:tcPr>
          <w:p>
            <w:pPr>
              <w:pStyle w:val="12"/>
            </w:pPr>
            <w:r>
              <w:t>提升城市绿化形象</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栽植苗木受益群体的满意程度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11、挖掘便道、绿地押金绩效目标表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13011026P00156410621F</w:t>
            </w:r>
          </w:p>
        </w:tc>
        <w:tc>
          <w:tcPr>
            <w:tcW w:w="2835" w:type="dxa"/>
            <w:vAlign w:val="center"/>
          </w:tcPr>
          <w:p>
            <w:pPr>
              <w:pStyle w:val="10"/>
            </w:pPr>
            <w:r>
              <w:t>项目名称</w:t>
            </w:r>
          </w:p>
        </w:tc>
        <w:tc>
          <w:tcPr>
            <w:tcW w:w="6095" w:type="dxa"/>
            <w:gridSpan w:val="3"/>
            <w:vAlign w:val="center"/>
          </w:tcPr>
          <w:p>
            <w:pPr>
              <w:pStyle w:val="12"/>
            </w:pPr>
            <w:r>
              <w:t>挖掘便道、绿地押金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3.19</w:t>
            </w:r>
          </w:p>
        </w:tc>
        <w:tc>
          <w:tcPr>
            <w:tcW w:w="2835" w:type="dxa"/>
            <w:vAlign w:val="center"/>
          </w:tcPr>
          <w:p>
            <w:pPr>
              <w:pStyle w:val="10"/>
            </w:pPr>
            <w:r>
              <w:t>其中：财政    资金</w:t>
            </w:r>
          </w:p>
        </w:tc>
        <w:tc>
          <w:tcPr>
            <w:tcW w:w="2551" w:type="dxa"/>
            <w:vAlign w:val="center"/>
          </w:tcPr>
          <w:p>
            <w:pPr>
              <w:pStyle w:val="12"/>
            </w:pPr>
            <w:r>
              <w:t>3.19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用于退还企业交来的押金。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1.便道、绿地及时恢复保证质量的前提下，退还企业和个人交来的押金，维护单位的良好信誉。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需退还押金的单位数量</w:t>
            </w:r>
          </w:p>
        </w:tc>
        <w:tc>
          <w:tcPr>
            <w:tcW w:w="5386" w:type="dxa"/>
            <w:vAlign w:val="center"/>
          </w:tcPr>
          <w:p>
            <w:pPr>
              <w:pStyle w:val="12"/>
            </w:pPr>
            <w:r>
              <w:t>需退还押金的单位数量</w:t>
            </w:r>
          </w:p>
        </w:tc>
        <w:tc>
          <w:tcPr>
            <w:tcW w:w="2268" w:type="dxa"/>
            <w:vAlign w:val="center"/>
          </w:tcPr>
          <w:p>
            <w:pPr>
              <w:pStyle w:val="12"/>
            </w:pPr>
            <w:r>
              <w:t>32个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便道绿地恢复达到的管护标准率</w:t>
            </w:r>
          </w:p>
        </w:tc>
        <w:tc>
          <w:tcPr>
            <w:tcW w:w="5386" w:type="dxa"/>
            <w:vAlign w:val="center"/>
          </w:tcPr>
          <w:p>
            <w:pPr>
              <w:pStyle w:val="12"/>
            </w:pPr>
            <w:r>
              <w:t>便道绿地恢复达到的管护标准率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资金退还及时率</w:t>
            </w:r>
          </w:p>
        </w:tc>
        <w:tc>
          <w:tcPr>
            <w:tcW w:w="5386" w:type="dxa"/>
            <w:vAlign w:val="center"/>
          </w:tcPr>
          <w:p>
            <w:pPr>
              <w:pStyle w:val="12"/>
            </w:pPr>
            <w:r>
              <w:t>资金退还及时率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需退还的押金金额</w:t>
            </w:r>
          </w:p>
        </w:tc>
        <w:tc>
          <w:tcPr>
            <w:tcW w:w="5386" w:type="dxa"/>
            <w:vAlign w:val="center"/>
          </w:tcPr>
          <w:p>
            <w:pPr>
              <w:pStyle w:val="12"/>
            </w:pPr>
            <w:r>
              <w:t>需退还的押金金额</w:t>
            </w:r>
          </w:p>
        </w:tc>
        <w:tc>
          <w:tcPr>
            <w:tcW w:w="2268" w:type="dxa"/>
            <w:vAlign w:val="center"/>
          </w:tcPr>
          <w:p>
            <w:pPr>
              <w:pStyle w:val="12"/>
            </w:pPr>
            <w:r>
              <w:t>≤45.62万元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提升城市品位，改善城市环境</w:t>
            </w:r>
          </w:p>
        </w:tc>
        <w:tc>
          <w:tcPr>
            <w:tcW w:w="5386" w:type="dxa"/>
            <w:vAlign w:val="center"/>
          </w:tcPr>
          <w:p>
            <w:pPr>
              <w:pStyle w:val="12"/>
            </w:pPr>
            <w:r>
              <w:t>提升城市品位，改善城市环境</w:t>
            </w:r>
          </w:p>
        </w:tc>
        <w:tc>
          <w:tcPr>
            <w:tcW w:w="2268" w:type="dxa"/>
            <w:vAlign w:val="center"/>
          </w:tcPr>
          <w:p>
            <w:pPr>
              <w:pStyle w:val="12"/>
            </w:pPr>
            <w:r>
              <w:t>提升、改善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市民对城区维护的满意度</w:t>
            </w:r>
          </w:p>
        </w:tc>
        <w:tc>
          <w:tcPr>
            <w:tcW w:w="5386" w:type="dxa"/>
            <w:vAlign w:val="center"/>
          </w:tcPr>
          <w:p>
            <w:pPr>
              <w:pStyle w:val="12"/>
            </w:pPr>
            <w:r>
              <w:t>市民对城区维护的满意度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12、新能源（燃油）专项作业车租赁项目绩效目标表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13011026P00156410623N</w:t>
            </w:r>
          </w:p>
        </w:tc>
        <w:tc>
          <w:tcPr>
            <w:tcW w:w="2835" w:type="dxa"/>
            <w:vAlign w:val="center"/>
          </w:tcPr>
          <w:p>
            <w:pPr>
              <w:pStyle w:val="10"/>
            </w:pPr>
            <w:r>
              <w:t>项目名称</w:t>
            </w:r>
          </w:p>
        </w:tc>
        <w:tc>
          <w:tcPr>
            <w:tcW w:w="6095" w:type="dxa"/>
            <w:gridSpan w:val="3"/>
            <w:vAlign w:val="center"/>
          </w:tcPr>
          <w:p>
            <w:pPr>
              <w:pStyle w:val="12"/>
            </w:pPr>
            <w:r>
              <w:t>新能源（燃油）专项作业车租赁项目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用于支付租赁专业作业车费用。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1.2026年租赁专业作业车14辆，租赁费用263.52万元。具体：普通柴油洒水车5辆、柴油高空作业车1辆、柴油清淤车1辆、新能源洒水车6辆、高压冲洗车1辆。2026年財政預算安排50萬元.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租赁普通柴油洒水车数量</w:t>
            </w:r>
          </w:p>
        </w:tc>
        <w:tc>
          <w:tcPr>
            <w:tcW w:w="5386" w:type="dxa"/>
            <w:vAlign w:val="center"/>
          </w:tcPr>
          <w:p>
            <w:pPr>
              <w:pStyle w:val="12"/>
            </w:pPr>
            <w:r>
              <w:t>租赁普通柴油洒水车数量</w:t>
            </w:r>
          </w:p>
        </w:tc>
        <w:tc>
          <w:tcPr>
            <w:tcW w:w="2268" w:type="dxa"/>
            <w:vAlign w:val="center"/>
          </w:tcPr>
          <w:p>
            <w:pPr>
              <w:pStyle w:val="12"/>
            </w:pPr>
            <w:r>
              <w:t>5辆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租赁柴油高空作业车数量</w:t>
            </w:r>
          </w:p>
        </w:tc>
        <w:tc>
          <w:tcPr>
            <w:tcW w:w="5386" w:type="dxa"/>
            <w:vAlign w:val="center"/>
          </w:tcPr>
          <w:p>
            <w:pPr>
              <w:pStyle w:val="12"/>
            </w:pPr>
            <w:r>
              <w:t>租赁柴油高空作业车数量</w:t>
            </w:r>
          </w:p>
        </w:tc>
        <w:tc>
          <w:tcPr>
            <w:tcW w:w="2268" w:type="dxa"/>
            <w:vAlign w:val="center"/>
          </w:tcPr>
          <w:p>
            <w:pPr>
              <w:pStyle w:val="12"/>
            </w:pPr>
            <w:r>
              <w:t>1辆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租赁柴油清淤车数量</w:t>
            </w:r>
          </w:p>
        </w:tc>
        <w:tc>
          <w:tcPr>
            <w:tcW w:w="5386" w:type="dxa"/>
            <w:vAlign w:val="center"/>
          </w:tcPr>
          <w:p>
            <w:pPr>
              <w:pStyle w:val="12"/>
            </w:pPr>
            <w:r>
              <w:t>租赁柴油清淤车数量</w:t>
            </w:r>
          </w:p>
        </w:tc>
        <w:tc>
          <w:tcPr>
            <w:tcW w:w="2268" w:type="dxa"/>
            <w:vAlign w:val="center"/>
          </w:tcPr>
          <w:p>
            <w:pPr>
              <w:pStyle w:val="12"/>
            </w:pPr>
            <w:r>
              <w:t>1辆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租赁新能源洒水车数量</w:t>
            </w:r>
          </w:p>
        </w:tc>
        <w:tc>
          <w:tcPr>
            <w:tcW w:w="5386" w:type="dxa"/>
            <w:vAlign w:val="center"/>
          </w:tcPr>
          <w:p>
            <w:pPr>
              <w:pStyle w:val="12"/>
            </w:pPr>
            <w:r>
              <w:t>租赁新能源洒水车数量</w:t>
            </w:r>
          </w:p>
        </w:tc>
        <w:tc>
          <w:tcPr>
            <w:tcW w:w="2268" w:type="dxa"/>
            <w:vAlign w:val="center"/>
          </w:tcPr>
          <w:p>
            <w:pPr>
              <w:pStyle w:val="12"/>
            </w:pPr>
            <w:r>
              <w:t>6辆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租赁高压冲洗车数量</w:t>
            </w:r>
          </w:p>
        </w:tc>
        <w:tc>
          <w:tcPr>
            <w:tcW w:w="5386" w:type="dxa"/>
            <w:vAlign w:val="center"/>
          </w:tcPr>
          <w:p>
            <w:pPr>
              <w:pStyle w:val="12"/>
            </w:pPr>
            <w:r>
              <w:t>租赁高压冲洗车数量</w:t>
            </w:r>
          </w:p>
        </w:tc>
        <w:tc>
          <w:tcPr>
            <w:tcW w:w="2268" w:type="dxa"/>
            <w:vAlign w:val="center"/>
          </w:tcPr>
          <w:p>
            <w:pPr>
              <w:pStyle w:val="12"/>
            </w:pPr>
            <w:r>
              <w:t>1辆</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租赁车辆合格率</w:t>
            </w:r>
          </w:p>
        </w:tc>
        <w:tc>
          <w:tcPr>
            <w:tcW w:w="5386" w:type="dxa"/>
            <w:vAlign w:val="center"/>
          </w:tcPr>
          <w:p>
            <w:pPr>
              <w:pStyle w:val="12"/>
            </w:pPr>
            <w:r>
              <w:t>租赁合格车辆占租赁总量的比例</w:t>
            </w:r>
          </w:p>
        </w:tc>
        <w:tc>
          <w:tcPr>
            <w:tcW w:w="2268" w:type="dxa"/>
            <w:vAlign w:val="center"/>
          </w:tcPr>
          <w:p>
            <w:pPr>
              <w:pStyle w:val="12"/>
            </w:pPr>
            <w:r>
              <w:t>≥100百分比</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租赁车辆期限</w:t>
            </w:r>
          </w:p>
        </w:tc>
        <w:tc>
          <w:tcPr>
            <w:tcW w:w="5386" w:type="dxa"/>
            <w:vAlign w:val="center"/>
          </w:tcPr>
          <w:p>
            <w:pPr>
              <w:pStyle w:val="12"/>
            </w:pPr>
            <w:r>
              <w:t>租赁车辆期限</w:t>
            </w:r>
          </w:p>
        </w:tc>
        <w:tc>
          <w:tcPr>
            <w:tcW w:w="2268" w:type="dxa"/>
            <w:vAlign w:val="center"/>
          </w:tcPr>
          <w:p>
            <w:pPr>
              <w:pStyle w:val="12"/>
            </w:pPr>
            <w:r>
              <w:t>≥1年</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租赁车辆费用</w:t>
            </w:r>
          </w:p>
        </w:tc>
        <w:tc>
          <w:tcPr>
            <w:tcW w:w="5386" w:type="dxa"/>
            <w:vAlign w:val="center"/>
          </w:tcPr>
          <w:p>
            <w:pPr>
              <w:pStyle w:val="12"/>
            </w:pPr>
            <w:r>
              <w:t>租赁车辆费用</w:t>
            </w:r>
          </w:p>
        </w:tc>
        <w:tc>
          <w:tcPr>
            <w:tcW w:w="2268" w:type="dxa"/>
            <w:vAlign w:val="center"/>
          </w:tcPr>
          <w:p>
            <w:pPr>
              <w:pStyle w:val="12"/>
            </w:pPr>
            <w:r>
              <w:t>≤263.52万元</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租赁车辆社会影响力</w:t>
            </w:r>
          </w:p>
        </w:tc>
        <w:tc>
          <w:tcPr>
            <w:tcW w:w="5386" w:type="dxa"/>
            <w:vAlign w:val="center"/>
          </w:tcPr>
          <w:p>
            <w:pPr>
              <w:pStyle w:val="12"/>
            </w:pPr>
            <w:r>
              <w:t>租赁车辆社会影响力</w:t>
            </w:r>
          </w:p>
        </w:tc>
        <w:tc>
          <w:tcPr>
            <w:tcW w:w="2268" w:type="dxa"/>
            <w:vAlign w:val="center"/>
          </w:tcPr>
          <w:p>
            <w:pPr>
              <w:pStyle w:val="12"/>
            </w:pPr>
            <w:r>
              <w:t>提升城市品味</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提升工作效率</w:t>
            </w:r>
          </w:p>
        </w:tc>
        <w:tc>
          <w:tcPr>
            <w:tcW w:w="5386" w:type="dxa"/>
            <w:vAlign w:val="center"/>
          </w:tcPr>
          <w:p>
            <w:pPr>
              <w:pStyle w:val="12"/>
            </w:pPr>
            <w:r>
              <w:t>提升工作效率</w:t>
            </w:r>
          </w:p>
        </w:tc>
        <w:tc>
          <w:tcPr>
            <w:tcW w:w="2268" w:type="dxa"/>
            <w:vAlign w:val="center"/>
          </w:tcPr>
          <w:p>
            <w:pPr>
              <w:pStyle w:val="12"/>
            </w:pPr>
            <w:r>
              <w:t>提升工作效率</w:t>
            </w:r>
          </w:p>
        </w:tc>
        <w:tc>
          <w:tcPr>
            <w:tcW w:w="1276" w:type="dxa"/>
            <w:vAlign w:val="center"/>
          </w:tcPr>
          <w:p>
            <w:pPr>
              <w:pStyle w:val="12"/>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13、应付给退休去世人员路来来款项绩效目标表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13011026P001564106056</w:t>
            </w:r>
          </w:p>
        </w:tc>
        <w:tc>
          <w:tcPr>
            <w:tcW w:w="2835" w:type="dxa"/>
            <w:vAlign w:val="center"/>
          </w:tcPr>
          <w:p>
            <w:pPr>
              <w:pStyle w:val="10"/>
            </w:pPr>
            <w:r>
              <w:t>项目名称</w:t>
            </w:r>
          </w:p>
        </w:tc>
        <w:tc>
          <w:tcPr>
            <w:tcW w:w="6095" w:type="dxa"/>
            <w:gridSpan w:val="3"/>
            <w:vAlign w:val="center"/>
          </w:tcPr>
          <w:p>
            <w:pPr>
              <w:pStyle w:val="12"/>
            </w:pPr>
            <w:r>
              <w:t>应付给退休去世人员路来来款项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用于支付退休去世人员路来来款项。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1.我单位退休职工路来来2020年4月9日去世，应支付：1、丧葬费和抚恤金28956元；2、2019年精神文明奖14400元；3、2019年绩效考核奖金15000元；4、2020年1-4月绩效考核奖5000元 ；5、退休人员绩效奖金套改后应发金额4733元；6、扣除社保多支付给路来来的医保金8186元。1-6总计59903元。此费用在2022年10月上缴存量资金时，已全部上交国库。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丧葬费和抚恤金</w:t>
            </w:r>
          </w:p>
        </w:tc>
        <w:tc>
          <w:tcPr>
            <w:tcW w:w="5386" w:type="dxa"/>
            <w:vAlign w:val="center"/>
          </w:tcPr>
          <w:p>
            <w:pPr>
              <w:pStyle w:val="12"/>
            </w:pPr>
            <w:r>
              <w:t>丧葬费和抚恤金</w:t>
            </w:r>
          </w:p>
        </w:tc>
        <w:tc>
          <w:tcPr>
            <w:tcW w:w="2268" w:type="dxa"/>
            <w:vAlign w:val="center"/>
          </w:tcPr>
          <w:p>
            <w:pPr>
              <w:pStyle w:val="12"/>
            </w:pPr>
            <w:r>
              <w:t>≥28956元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2019年精神文明奖</w:t>
            </w:r>
          </w:p>
        </w:tc>
        <w:tc>
          <w:tcPr>
            <w:tcW w:w="5386" w:type="dxa"/>
            <w:vAlign w:val="center"/>
          </w:tcPr>
          <w:p>
            <w:pPr>
              <w:pStyle w:val="12"/>
            </w:pPr>
            <w:r>
              <w:t>2019年精神文明奖</w:t>
            </w:r>
          </w:p>
        </w:tc>
        <w:tc>
          <w:tcPr>
            <w:tcW w:w="2268" w:type="dxa"/>
            <w:vAlign w:val="center"/>
          </w:tcPr>
          <w:p>
            <w:pPr>
              <w:pStyle w:val="12"/>
            </w:pPr>
            <w:r>
              <w:t>14400元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2019年目标奖</w:t>
            </w:r>
          </w:p>
        </w:tc>
        <w:tc>
          <w:tcPr>
            <w:tcW w:w="5386" w:type="dxa"/>
            <w:vAlign w:val="center"/>
          </w:tcPr>
          <w:p>
            <w:pPr>
              <w:pStyle w:val="12"/>
            </w:pPr>
            <w:r>
              <w:t>2019年目标奖</w:t>
            </w:r>
          </w:p>
        </w:tc>
        <w:tc>
          <w:tcPr>
            <w:tcW w:w="2268" w:type="dxa"/>
            <w:vAlign w:val="center"/>
          </w:tcPr>
          <w:p>
            <w:pPr>
              <w:pStyle w:val="12"/>
            </w:pPr>
            <w:r>
              <w:t>15000元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2020年目标奖</w:t>
            </w:r>
          </w:p>
        </w:tc>
        <w:tc>
          <w:tcPr>
            <w:tcW w:w="5386" w:type="dxa"/>
            <w:vAlign w:val="center"/>
          </w:tcPr>
          <w:p>
            <w:pPr>
              <w:pStyle w:val="12"/>
            </w:pPr>
            <w:r>
              <w:t>2020年目标奖</w:t>
            </w:r>
          </w:p>
        </w:tc>
        <w:tc>
          <w:tcPr>
            <w:tcW w:w="2268" w:type="dxa"/>
            <w:vAlign w:val="center"/>
          </w:tcPr>
          <w:p>
            <w:pPr>
              <w:pStyle w:val="12"/>
            </w:pPr>
            <w:r>
              <w:t>5000元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退休人员绩效奖金套改后应发金額</w:t>
            </w:r>
          </w:p>
        </w:tc>
        <w:tc>
          <w:tcPr>
            <w:tcW w:w="5386" w:type="dxa"/>
            <w:vAlign w:val="center"/>
          </w:tcPr>
          <w:p>
            <w:pPr>
              <w:pStyle w:val="12"/>
            </w:pPr>
            <w:r>
              <w:t>退休人员绩效奖金套改后应发金額</w:t>
            </w:r>
          </w:p>
        </w:tc>
        <w:tc>
          <w:tcPr>
            <w:tcW w:w="2268" w:type="dxa"/>
            <w:vAlign w:val="center"/>
          </w:tcPr>
          <w:p>
            <w:pPr>
              <w:pStyle w:val="12"/>
            </w:pPr>
            <w:r>
              <w:t>4733元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扣除：社保多支付給路來來的醫保金</w:t>
            </w:r>
          </w:p>
        </w:tc>
        <w:tc>
          <w:tcPr>
            <w:tcW w:w="5386" w:type="dxa"/>
            <w:vAlign w:val="center"/>
          </w:tcPr>
          <w:p>
            <w:pPr>
              <w:pStyle w:val="12"/>
            </w:pPr>
            <w:r>
              <w:t>扣除：社保多支付給路來來的醫保金</w:t>
            </w:r>
          </w:p>
        </w:tc>
        <w:tc>
          <w:tcPr>
            <w:tcW w:w="2268" w:type="dxa"/>
            <w:vAlign w:val="center"/>
          </w:tcPr>
          <w:p>
            <w:pPr>
              <w:pStyle w:val="12"/>
            </w:pPr>
            <w:r>
              <w:t>8186元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發放正確率</w:t>
            </w:r>
          </w:p>
        </w:tc>
        <w:tc>
          <w:tcPr>
            <w:tcW w:w="5386" w:type="dxa"/>
            <w:vAlign w:val="center"/>
          </w:tcPr>
          <w:p>
            <w:pPr>
              <w:pStyle w:val="12"/>
            </w:pPr>
            <w:r>
              <w:t>發放正確率</w:t>
            </w:r>
          </w:p>
        </w:tc>
        <w:tc>
          <w:tcPr>
            <w:tcW w:w="2268" w:type="dxa"/>
            <w:vAlign w:val="center"/>
          </w:tcPr>
          <w:p>
            <w:pPr>
              <w:pStyle w:val="12"/>
            </w:pPr>
            <w:r>
              <w:t>100%</w:t>
            </w:r>
          </w:p>
        </w:tc>
        <w:tc>
          <w:tcPr>
            <w:tcW w:w="1276" w:type="dxa"/>
            <w:vAlign w:val="center"/>
          </w:tcPr>
          <w:p>
            <w:pPr>
              <w:pStyle w:val="12"/>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發放及時率</w:t>
            </w:r>
          </w:p>
        </w:tc>
        <w:tc>
          <w:tcPr>
            <w:tcW w:w="5386" w:type="dxa"/>
            <w:vAlign w:val="center"/>
          </w:tcPr>
          <w:p>
            <w:pPr>
              <w:pStyle w:val="12"/>
            </w:pPr>
            <w:r>
              <w:t>及時發放</w:t>
            </w:r>
          </w:p>
        </w:tc>
        <w:tc>
          <w:tcPr>
            <w:tcW w:w="2268" w:type="dxa"/>
            <w:vAlign w:val="center"/>
          </w:tcPr>
          <w:p>
            <w:pPr>
              <w:pStyle w:val="12"/>
            </w:pPr>
            <w:r>
              <w:t>100%</w:t>
            </w:r>
          </w:p>
        </w:tc>
        <w:tc>
          <w:tcPr>
            <w:tcW w:w="1276" w:type="dxa"/>
            <w:vAlign w:val="center"/>
          </w:tcPr>
          <w:p>
            <w:pPr>
              <w:pStyle w:val="12"/>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发放金额</w:t>
            </w:r>
          </w:p>
        </w:tc>
        <w:tc>
          <w:tcPr>
            <w:tcW w:w="5386" w:type="dxa"/>
            <w:vAlign w:val="center"/>
          </w:tcPr>
          <w:p>
            <w:pPr>
              <w:pStyle w:val="12"/>
            </w:pPr>
            <w:r>
              <w:t>发放金额</w:t>
            </w:r>
          </w:p>
        </w:tc>
        <w:tc>
          <w:tcPr>
            <w:tcW w:w="2268" w:type="dxa"/>
            <w:vAlign w:val="center"/>
          </w:tcPr>
          <w:p>
            <w:pPr>
              <w:pStyle w:val="12"/>
            </w:pPr>
            <w:r>
              <w:t>≥59903元</w:t>
            </w:r>
          </w:p>
        </w:tc>
        <w:tc>
          <w:tcPr>
            <w:tcW w:w="1276" w:type="dxa"/>
            <w:vAlign w:val="center"/>
          </w:tcPr>
          <w:p>
            <w:pPr>
              <w:pStyle w:val="12"/>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社會影響力</w:t>
            </w:r>
          </w:p>
        </w:tc>
        <w:tc>
          <w:tcPr>
            <w:tcW w:w="5386" w:type="dxa"/>
            <w:vAlign w:val="center"/>
          </w:tcPr>
          <w:p>
            <w:pPr>
              <w:pStyle w:val="12"/>
            </w:pPr>
            <w:r>
              <w:t>發放工作產生的社會影響力</w:t>
            </w:r>
          </w:p>
        </w:tc>
        <w:tc>
          <w:tcPr>
            <w:tcW w:w="2268" w:type="dxa"/>
            <w:vAlign w:val="center"/>
          </w:tcPr>
          <w:p>
            <w:pPr>
              <w:pStyle w:val="12"/>
            </w:pPr>
            <w:r>
              <w:t>社會影響力</w:t>
            </w:r>
          </w:p>
        </w:tc>
        <w:tc>
          <w:tcPr>
            <w:tcW w:w="1276" w:type="dxa"/>
            <w:vAlign w:val="center"/>
          </w:tcPr>
          <w:p>
            <w:pPr>
              <w:pStyle w:val="12"/>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提升工作質量和水平</w:t>
            </w:r>
          </w:p>
        </w:tc>
        <w:tc>
          <w:tcPr>
            <w:tcW w:w="5386" w:type="dxa"/>
            <w:vAlign w:val="center"/>
          </w:tcPr>
          <w:p>
            <w:pPr>
              <w:pStyle w:val="12"/>
            </w:pPr>
            <w:r>
              <w:t>提升工作質量和水平</w:t>
            </w:r>
          </w:p>
        </w:tc>
        <w:tc>
          <w:tcPr>
            <w:tcW w:w="2268" w:type="dxa"/>
            <w:vAlign w:val="center"/>
          </w:tcPr>
          <w:p>
            <w:pPr>
              <w:pStyle w:val="12"/>
            </w:pPr>
            <w:r>
              <w:t>提升工作效率</w:t>
            </w:r>
          </w:p>
        </w:tc>
        <w:tc>
          <w:tcPr>
            <w:tcW w:w="1276" w:type="dxa"/>
            <w:vAlign w:val="center"/>
          </w:tcPr>
          <w:p>
            <w:pPr>
              <w:pStyle w:val="12"/>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工作經驗</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石家庄市鹿泉区市政公用设施管理维护中心上年末固定资产金额为368.00万元（详见下表）。本年度拟购置固定资产总额为0.00万元，已按要求列入政府采购预算，详见政府采购预算表。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566005石家庄市鹿泉区市政公用设施管理维护中心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3580.60</w:t>
            </w:r>
          </w:p>
        </w:tc>
        <w:tc>
          <w:tcPr>
            <w:tcW w:w="2835" w:type="dxa"/>
            <w:vAlign w:val="center"/>
          </w:tcPr>
          <w:p>
            <w:pPr>
              <w:pStyle w:val="11"/>
            </w:pPr>
            <w:r>
              <w:t>174.11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37.45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419</w:t>
            </w:r>
          </w:p>
        </w:tc>
        <w:tc>
          <w:tcPr>
            <w:tcW w:w="2835" w:type="dxa"/>
            <w:vAlign w:val="center"/>
          </w:tcPr>
          <w:p>
            <w:pPr>
              <w:pStyle w:val="11"/>
            </w:pPr>
            <w:r>
              <w:t>156.44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11777"/>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、石家庄市鹿泉区石柏公园收支预算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566006石家庄市鹿泉区石柏公园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747.91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565.40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747.91</w:t>
            </w:r>
          </w:p>
        </w:tc>
        <w:tc>
          <w:tcPr>
            <w:tcW w:w="4535" w:type="dxa"/>
            <w:vAlign w:val="center"/>
          </w:tcPr>
          <w:p>
            <w:pPr>
              <w:pStyle w:val="14"/>
            </w:pPr>
            <w:r>
              <w:t>本年支出合计</w:t>
            </w:r>
          </w:p>
        </w:tc>
        <w:tc>
          <w:tcPr>
            <w:tcW w:w="2126" w:type="dxa"/>
            <w:vAlign w:val="center"/>
          </w:tcPr>
          <w:p>
            <w:pPr>
              <w:pStyle w:val="15"/>
            </w:pPr>
            <w:r>
              <w:t>747.91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747.91</w:t>
            </w:r>
          </w:p>
        </w:tc>
        <w:tc>
          <w:tcPr>
            <w:tcW w:w="4535" w:type="dxa"/>
            <w:vAlign w:val="center"/>
          </w:tcPr>
          <w:p>
            <w:pPr>
              <w:pStyle w:val="14"/>
            </w:pPr>
            <w:r>
              <w:t>支出总计</w:t>
            </w:r>
          </w:p>
        </w:tc>
        <w:tc>
          <w:tcPr>
            <w:tcW w:w="2126" w:type="dxa"/>
            <w:vAlign w:val="center"/>
          </w:tcPr>
          <w:p>
            <w:pPr>
              <w:pStyle w:val="15"/>
            </w:pPr>
            <w:r>
              <w:t>747.91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566006石家庄市鹿泉区石柏公园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747.91</w:t>
            </w:r>
          </w:p>
        </w:tc>
        <w:tc>
          <w:tcPr>
            <w:tcW w:w="1134" w:type="dxa"/>
            <w:vAlign w:val="center"/>
          </w:tcPr>
          <w:p>
            <w:pPr>
              <w:pStyle w:val="15"/>
            </w:pPr>
            <w:r>
              <w:t>747.91</w:t>
            </w:r>
          </w:p>
        </w:tc>
        <w:tc>
          <w:tcPr>
            <w:tcW w:w="1134" w:type="dxa"/>
            <w:vAlign w:val="center"/>
          </w:tcPr>
          <w:p>
            <w:pPr>
              <w:pStyle w:val="15"/>
            </w:pPr>
            <w:r>
              <w:t>747.91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97.65</w:t>
            </w:r>
          </w:p>
        </w:tc>
        <w:tc>
          <w:tcPr>
            <w:tcW w:w="1134" w:type="dxa"/>
            <w:vAlign w:val="center"/>
          </w:tcPr>
          <w:p>
            <w:pPr>
              <w:pStyle w:val="11"/>
            </w:pPr>
            <w:r>
              <w:t>97.65</w:t>
            </w:r>
          </w:p>
        </w:tc>
        <w:tc>
          <w:tcPr>
            <w:tcW w:w="1134" w:type="dxa"/>
            <w:vAlign w:val="center"/>
          </w:tcPr>
          <w:p>
            <w:pPr>
              <w:pStyle w:val="11"/>
            </w:pPr>
            <w:r>
              <w:t>97.65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85.40</w:t>
            </w:r>
          </w:p>
        </w:tc>
        <w:tc>
          <w:tcPr>
            <w:tcW w:w="1134" w:type="dxa"/>
            <w:vAlign w:val="center"/>
          </w:tcPr>
          <w:p>
            <w:pPr>
              <w:pStyle w:val="11"/>
            </w:pPr>
            <w:r>
              <w:t>85.40</w:t>
            </w:r>
          </w:p>
        </w:tc>
        <w:tc>
          <w:tcPr>
            <w:tcW w:w="1134" w:type="dxa"/>
            <w:vAlign w:val="center"/>
          </w:tcPr>
          <w:p>
            <w:pPr>
              <w:pStyle w:val="11"/>
            </w:pPr>
            <w:r>
              <w:t>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5.06</w:t>
            </w:r>
          </w:p>
        </w:tc>
        <w:tc>
          <w:tcPr>
            <w:tcW w:w="1134" w:type="dxa"/>
            <w:vAlign w:val="center"/>
          </w:tcPr>
          <w:p>
            <w:pPr>
              <w:pStyle w:val="11"/>
            </w:pPr>
            <w:r>
              <w:t>5.06</w:t>
            </w:r>
          </w:p>
        </w:tc>
        <w:tc>
          <w:tcPr>
            <w:tcW w:w="1134" w:type="dxa"/>
            <w:vAlign w:val="center"/>
          </w:tcPr>
          <w:p>
            <w:pPr>
              <w:pStyle w:val="11"/>
            </w:pPr>
            <w:r>
              <w:t>5.06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53.56</w:t>
            </w:r>
          </w:p>
        </w:tc>
        <w:tc>
          <w:tcPr>
            <w:tcW w:w="1134" w:type="dxa"/>
            <w:vAlign w:val="center"/>
          </w:tcPr>
          <w:p>
            <w:pPr>
              <w:pStyle w:val="11"/>
            </w:pPr>
            <w:r>
              <w:t>53.56</w:t>
            </w:r>
          </w:p>
        </w:tc>
        <w:tc>
          <w:tcPr>
            <w:tcW w:w="1134" w:type="dxa"/>
            <w:vAlign w:val="center"/>
          </w:tcPr>
          <w:p>
            <w:pPr>
              <w:pStyle w:val="11"/>
            </w:pPr>
            <w:r>
              <w:t>53.56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26.78</w:t>
            </w:r>
          </w:p>
        </w:tc>
        <w:tc>
          <w:tcPr>
            <w:tcW w:w="1134" w:type="dxa"/>
            <w:vAlign w:val="center"/>
          </w:tcPr>
          <w:p>
            <w:pPr>
              <w:pStyle w:val="11"/>
            </w:pPr>
            <w:r>
              <w:t>26.78</w:t>
            </w:r>
          </w:p>
        </w:tc>
        <w:tc>
          <w:tcPr>
            <w:tcW w:w="1134" w:type="dxa"/>
            <w:vAlign w:val="center"/>
          </w:tcPr>
          <w:p>
            <w:pPr>
              <w:pStyle w:val="11"/>
            </w:pPr>
            <w:r>
              <w:t>26.78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12.25</w:t>
            </w:r>
          </w:p>
        </w:tc>
        <w:tc>
          <w:tcPr>
            <w:tcW w:w="1134" w:type="dxa"/>
            <w:vAlign w:val="center"/>
          </w:tcPr>
          <w:p>
            <w:pPr>
              <w:pStyle w:val="11"/>
            </w:pPr>
            <w:r>
              <w:t>12.25</w:t>
            </w:r>
          </w:p>
        </w:tc>
        <w:tc>
          <w:tcPr>
            <w:tcW w:w="1134" w:type="dxa"/>
            <w:vAlign w:val="center"/>
          </w:tcPr>
          <w:p>
            <w:pPr>
              <w:pStyle w:val="11"/>
            </w:pPr>
            <w:r>
              <w:t>12.25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12.25</w:t>
            </w:r>
          </w:p>
        </w:tc>
        <w:tc>
          <w:tcPr>
            <w:tcW w:w="1134" w:type="dxa"/>
            <w:vAlign w:val="center"/>
          </w:tcPr>
          <w:p>
            <w:pPr>
              <w:pStyle w:val="11"/>
            </w:pPr>
            <w:r>
              <w:t>12.25</w:t>
            </w:r>
          </w:p>
        </w:tc>
        <w:tc>
          <w:tcPr>
            <w:tcW w:w="1134" w:type="dxa"/>
            <w:vAlign w:val="center"/>
          </w:tcPr>
          <w:p>
            <w:pPr>
              <w:pStyle w:val="11"/>
            </w:pPr>
            <w:r>
              <w:t>12.25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r>
              <w:t>35.22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565.40</w:t>
            </w:r>
          </w:p>
        </w:tc>
        <w:tc>
          <w:tcPr>
            <w:tcW w:w="1134" w:type="dxa"/>
            <w:vAlign w:val="center"/>
          </w:tcPr>
          <w:p>
            <w:pPr>
              <w:pStyle w:val="11"/>
            </w:pPr>
            <w:r>
              <w:t>565.40</w:t>
            </w:r>
          </w:p>
        </w:tc>
        <w:tc>
          <w:tcPr>
            <w:tcW w:w="1134" w:type="dxa"/>
            <w:vAlign w:val="center"/>
          </w:tcPr>
          <w:p>
            <w:pPr>
              <w:pStyle w:val="11"/>
            </w:pPr>
            <w:r>
              <w:t>565.40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444.88</w:t>
            </w:r>
          </w:p>
        </w:tc>
        <w:tc>
          <w:tcPr>
            <w:tcW w:w="1134" w:type="dxa"/>
            <w:vAlign w:val="center"/>
          </w:tcPr>
          <w:p>
            <w:pPr>
              <w:pStyle w:val="11"/>
            </w:pPr>
            <w:r>
              <w:t>444.88</w:t>
            </w:r>
          </w:p>
        </w:tc>
        <w:tc>
          <w:tcPr>
            <w:tcW w:w="1134" w:type="dxa"/>
            <w:vAlign w:val="center"/>
          </w:tcPr>
          <w:p>
            <w:pPr>
              <w:pStyle w:val="11"/>
            </w:pPr>
            <w:r>
              <w:t>444.88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444.88</w:t>
            </w:r>
          </w:p>
        </w:tc>
        <w:tc>
          <w:tcPr>
            <w:tcW w:w="1134" w:type="dxa"/>
            <w:vAlign w:val="center"/>
          </w:tcPr>
          <w:p>
            <w:pPr>
              <w:pStyle w:val="11"/>
            </w:pPr>
            <w:r>
              <w:t>444.88</w:t>
            </w:r>
          </w:p>
        </w:tc>
        <w:tc>
          <w:tcPr>
            <w:tcW w:w="1134" w:type="dxa"/>
            <w:vAlign w:val="center"/>
          </w:tcPr>
          <w:p>
            <w:pPr>
              <w:pStyle w:val="11"/>
            </w:pPr>
            <w:r>
              <w:t>444.88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120.52</w:t>
            </w:r>
          </w:p>
        </w:tc>
        <w:tc>
          <w:tcPr>
            <w:tcW w:w="1134" w:type="dxa"/>
            <w:vAlign w:val="center"/>
          </w:tcPr>
          <w:p>
            <w:pPr>
              <w:pStyle w:val="11"/>
            </w:pPr>
            <w:r>
              <w:t>120.52</w:t>
            </w:r>
          </w:p>
        </w:tc>
        <w:tc>
          <w:tcPr>
            <w:tcW w:w="1134" w:type="dxa"/>
            <w:vAlign w:val="center"/>
          </w:tcPr>
          <w:p>
            <w:pPr>
              <w:pStyle w:val="11"/>
            </w:pPr>
            <w:r>
              <w:t>120.52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120.52</w:t>
            </w:r>
          </w:p>
        </w:tc>
        <w:tc>
          <w:tcPr>
            <w:tcW w:w="1134" w:type="dxa"/>
            <w:vAlign w:val="center"/>
          </w:tcPr>
          <w:p>
            <w:pPr>
              <w:pStyle w:val="11"/>
            </w:pPr>
            <w:r>
              <w:t>120.52</w:t>
            </w:r>
          </w:p>
        </w:tc>
        <w:tc>
          <w:tcPr>
            <w:tcW w:w="1134" w:type="dxa"/>
            <w:vAlign w:val="center"/>
          </w:tcPr>
          <w:p>
            <w:pPr>
              <w:pStyle w:val="11"/>
            </w:pPr>
            <w:r>
              <w:t>120.52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r>
              <w:t>49.64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747.91</w:t>
            </w:r>
          </w:p>
        </w:tc>
        <w:tc>
          <w:tcPr>
            <w:tcW w:w="1361" w:type="dxa"/>
            <w:vAlign w:val="center"/>
          </w:tcPr>
          <w:p>
            <w:pPr>
              <w:pStyle w:val="15"/>
            </w:pPr>
            <w:r>
              <w:t>614.99</w:t>
            </w:r>
          </w:p>
        </w:tc>
        <w:tc>
          <w:tcPr>
            <w:tcW w:w="1361" w:type="dxa"/>
            <w:vAlign w:val="center"/>
          </w:tcPr>
          <w:p>
            <w:pPr>
              <w:pStyle w:val="15"/>
            </w:pPr>
            <w:r>
              <w:t>132.91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97.65</w:t>
            </w:r>
          </w:p>
        </w:tc>
        <w:tc>
          <w:tcPr>
            <w:tcW w:w="1361" w:type="dxa"/>
            <w:vAlign w:val="center"/>
          </w:tcPr>
          <w:p>
            <w:pPr>
              <w:pStyle w:val="11"/>
            </w:pPr>
            <w:r>
              <w:t>85.40</w:t>
            </w: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85.40</w:t>
            </w:r>
          </w:p>
        </w:tc>
        <w:tc>
          <w:tcPr>
            <w:tcW w:w="1361" w:type="dxa"/>
            <w:vAlign w:val="center"/>
          </w:tcPr>
          <w:p>
            <w:pPr>
              <w:pStyle w:val="11"/>
            </w:pPr>
            <w:r>
              <w:t>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5.06</w:t>
            </w:r>
          </w:p>
        </w:tc>
        <w:tc>
          <w:tcPr>
            <w:tcW w:w="1361" w:type="dxa"/>
            <w:vAlign w:val="center"/>
          </w:tcPr>
          <w:p>
            <w:pPr>
              <w:pStyle w:val="11"/>
            </w:pPr>
            <w:r>
              <w:t>5.06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53.56</w:t>
            </w:r>
          </w:p>
        </w:tc>
        <w:tc>
          <w:tcPr>
            <w:tcW w:w="1361" w:type="dxa"/>
            <w:vAlign w:val="center"/>
          </w:tcPr>
          <w:p>
            <w:pPr>
              <w:pStyle w:val="11"/>
            </w:pPr>
            <w:r>
              <w:t>53.56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26.78</w:t>
            </w:r>
          </w:p>
        </w:tc>
        <w:tc>
          <w:tcPr>
            <w:tcW w:w="1361" w:type="dxa"/>
            <w:vAlign w:val="center"/>
          </w:tcPr>
          <w:p>
            <w:pPr>
              <w:pStyle w:val="11"/>
            </w:pPr>
            <w:r>
              <w:t>26.78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r>
              <w:t>12.25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35.22</w:t>
            </w:r>
          </w:p>
        </w:tc>
        <w:tc>
          <w:tcPr>
            <w:tcW w:w="1361" w:type="dxa"/>
            <w:vAlign w:val="center"/>
          </w:tcPr>
          <w:p>
            <w:pPr>
              <w:pStyle w:val="11"/>
            </w:pPr>
            <w:r>
              <w:t>35.22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35.22</w:t>
            </w:r>
          </w:p>
        </w:tc>
        <w:tc>
          <w:tcPr>
            <w:tcW w:w="1361" w:type="dxa"/>
            <w:vAlign w:val="center"/>
          </w:tcPr>
          <w:p>
            <w:pPr>
              <w:pStyle w:val="11"/>
            </w:pPr>
            <w:r>
              <w:t>35.22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35.22</w:t>
            </w:r>
          </w:p>
        </w:tc>
        <w:tc>
          <w:tcPr>
            <w:tcW w:w="1361" w:type="dxa"/>
            <w:vAlign w:val="center"/>
          </w:tcPr>
          <w:p>
            <w:pPr>
              <w:pStyle w:val="11"/>
            </w:pPr>
            <w:r>
              <w:t>35.22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565.40</w:t>
            </w:r>
          </w:p>
        </w:tc>
        <w:tc>
          <w:tcPr>
            <w:tcW w:w="1361" w:type="dxa"/>
            <w:vAlign w:val="center"/>
          </w:tcPr>
          <w:p>
            <w:pPr>
              <w:pStyle w:val="11"/>
            </w:pPr>
            <w:r>
              <w:t>444.74</w:t>
            </w:r>
          </w:p>
        </w:tc>
        <w:tc>
          <w:tcPr>
            <w:tcW w:w="1361" w:type="dxa"/>
            <w:vAlign w:val="center"/>
          </w:tcPr>
          <w:p>
            <w:pPr>
              <w:pStyle w:val="11"/>
            </w:pPr>
            <w:r>
              <w:t>120.66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444.88</w:t>
            </w:r>
          </w:p>
        </w:tc>
        <w:tc>
          <w:tcPr>
            <w:tcW w:w="1361" w:type="dxa"/>
            <w:vAlign w:val="center"/>
          </w:tcPr>
          <w:p>
            <w:pPr>
              <w:pStyle w:val="11"/>
            </w:pPr>
            <w:r>
              <w:t>444.74</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444.88</w:t>
            </w:r>
          </w:p>
        </w:tc>
        <w:tc>
          <w:tcPr>
            <w:tcW w:w="1361" w:type="dxa"/>
            <w:vAlign w:val="center"/>
          </w:tcPr>
          <w:p>
            <w:pPr>
              <w:pStyle w:val="11"/>
            </w:pPr>
            <w:r>
              <w:t>444.74</w:t>
            </w:r>
          </w:p>
        </w:tc>
        <w:tc>
          <w:tcPr>
            <w:tcW w:w="1361" w:type="dxa"/>
            <w:vAlign w:val="center"/>
          </w:tcPr>
          <w:p>
            <w:pPr>
              <w:pStyle w:val="11"/>
            </w:pPr>
            <w:r>
              <w:t>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120.52</w:t>
            </w:r>
          </w:p>
        </w:tc>
        <w:tc>
          <w:tcPr>
            <w:tcW w:w="1361" w:type="dxa"/>
            <w:vAlign w:val="center"/>
          </w:tcPr>
          <w:p>
            <w:pPr>
              <w:pStyle w:val="11"/>
            </w:pPr>
          </w:p>
        </w:tc>
        <w:tc>
          <w:tcPr>
            <w:tcW w:w="1361" w:type="dxa"/>
            <w:vAlign w:val="center"/>
          </w:tcPr>
          <w:p>
            <w:pPr>
              <w:pStyle w:val="11"/>
            </w:pPr>
            <w:r>
              <w:t>120.52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120.52</w:t>
            </w:r>
          </w:p>
        </w:tc>
        <w:tc>
          <w:tcPr>
            <w:tcW w:w="1361" w:type="dxa"/>
            <w:vAlign w:val="center"/>
          </w:tcPr>
          <w:p>
            <w:pPr>
              <w:pStyle w:val="11"/>
            </w:pPr>
          </w:p>
        </w:tc>
        <w:tc>
          <w:tcPr>
            <w:tcW w:w="1361" w:type="dxa"/>
            <w:vAlign w:val="center"/>
          </w:tcPr>
          <w:p>
            <w:pPr>
              <w:pStyle w:val="11"/>
            </w:pPr>
            <w:r>
              <w:t>120.52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49.64</w:t>
            </w:r>
          </w:p>
        </w:tc>
        <w:tc>
          <w:tcPr>
            <w:tcW w:w="1361" w:type="dxa"/>
            <w:vAlign w:val="center"/>
          </w:tcPr>
          <w:p>
            <w:pPr>
              <w:pStyle w:val="11"/>
            </w:pPr>
            <w:r>
              <w:t>49.64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49.64</w:t>
            </w:r>
          </w:p>
        </w:tc>
        <w:tc>
          <w:tcPr>
            <w:tcW w:w="1361" w:type="dxa"/>
            <w:vAlign w:val="center"/>
          </w:tcPr>
          <w:p>
            <w:pPr>
              <w:pStyle w:val="11"/>
            </w:pPr>
            <w:r>
              <w:t>49.64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49.64</w:t>
            </w:r>
          </w:p>
        </w:tc>
        <w:tc>
          <w:tcPr>
            <w:tcW w:w="1361" w:type="dxa"/>
            <w:vAlign w:val="center"/>
          </w:tcPr>
          <w:p>
            <w:pPr>
              <w:pStyle w:val="11"/>
            </w:pPr>
            <w:r>
              <w:t>49.64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747.91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97.65</w:t>
            </w:r>
          </w:p>
        </w:tc>
        <w:tc>
          <w:tcPr>
            <w:tcW w:w="1474" w:type="dxa"/>
            <w:vAlign w:val="center"/>
          </w:tcPr>
          <w:p>
            <w:pPr>
              <w:pStyle w:val="11"/>
            </w:pPr>
            <w:r>
              <w:t>97.65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35.22</w:t>
            </w:r>
          </w:p>
        </w:tc>
        <w:tc>
          <w:tcPr>
            <w:tcW w:w="1474" w:type="dxa"/>
            <w:vAlign w:val="center"/>
          </w:tcPr>
          <w:p>
            <w:pPr>
              <w:pStyle w:val="11"/>
            </w:pPr>
            <w:r>
              <w:t>35.22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565.40</w:t>
            </w:r>
          </w:p>
        </w:tc>
        <w:tc>
          <w:tcPr>
            <w:tcW w:w="1474" w:type="dxa"/>
            <w:vAlign w:val="center"/>
          </w:tcPr>
          <w:p>
            <w:pPr>
              <w:pStyle w:val="11"/>
            </w:pPr>
            <w:r>
              <w:t>565.40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49.64</w:t>
            </w:r>
          </w:p>
        </w:tc>
        <w:tc>
          <w:tcPr>
            <w:tcW w:w="1474" w:type="dxa"/>
            <w:vAlign w:val="center"/>
          </w:tcPr>
          <w:p>
            <w:pPr>
              <w:pStyle w:val="11"/>
            </w:pPr>
            <w:r>
              <w:t>49.64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747.91</w:t>
            </w:r>
          </w:p>
        </w:tc>
        <w:tc>
          <w:tcPr>
            <w:tcW w:w="3402" w:type="dxa"/>
            <w:vAlign w:val="center"/>
          </w:tcPr>
          <w:p>
            <w:pPr>
              <w:pStyle w:val="14"/>
            </w:pPr>
            <w:r>
              <w:t>本年支出合计</w:t>
            </w:r>
          </w:p>
        </w:tc>
        <w:tc>
          <w:tcPr>
            <w:tcW w:w="1474" w:type="dxa"/>
            <w:vAlign w:val="center"/>
          </w:tcPr>
          <w:p>
            <w:pPr>
              <w:pStyle w:val="15"/>
            </w:pPr>
            <w:r>
              <w:t>747.91</w:t>
            </w:r>
          </w:p>
        </w:tc>
        <w:tc>
          <w:tcPr>
            <w:tcW w:w="1474" w:type="dxa"/>
            <w:vAlign w:val="center"/>
          </w:tcPr>
          <w:p>
            <w:pPr>
              <w:pStyle w:val="15"/>
            </w:pPr>
            <w:r>
              <w:t>747.91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747.91</w:t>
            </w:r>
          </w:p>
        </w:tc>
        <w:tc>
          <w:tcPr>
            <w:tcW w:w="3402" w:type="dxa"/>
            <w:vAlign w:val="center"/>
          </w:tcPr>
          <w:p>
            <w:pPr>
              <w:pStyle w:val="14"/>
            </w:pPr>
            <w:r>
              <w:t>支出总计</w:t>
            </w:r>
          </w:p>
        </w:tc>
        <w:tc>
          <w:tcPr>
            <w:tcW w:w="1474" w:type="dxa"/>
            <w:vAlign w:val="center"/>
          </w:tcPr>
          <w:p>
            <w:pPr>
              <w:pStyle w:val="15"/>
            </w:pPr>
            <w:r>
              <w:t>747.91</w:t>
            </w:r>
          </w:p>
        </w:tc>
        <w:tc>
          <w:tcPr>
            <w:tcW w:w="1474" w:type="dxa"/>
            <w:vAlign w:val="center"/>
          </w:tcPr>
          <w:p>
            <w:pPr>
              <w:pStyle w:val="15"/>
            </w:pPr>
            <w:r>
              <w:t>747.91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747.91</w:t>
            </w:r>
          </w:p>
        </w:tc>
        <w:tc>
          <w:tcPr>
            <w:tcW w:w="2551" w:type="dxa"/>
            <w:vAlign w:val="center"/>
          </w:tcPr>
          <w:p>
            <w:pPr>
              <w:pStyle w:val="15"/>
            </w:pPr>
            <w:r>
              <w:t>614.99</w:t>
            </w:r>
          </w:p>
        </w:tc>
        <w:tc>
          <w:tcPr>
            <w:tcW w:w="2551" w:type="dxa"/>
            <w:vAlign w:val="center"/>
          </w:tcPr>
          <w:p>
            <w:pPr>
              <w:pStyle w:val="15"/>
            </w:pPr>
            <w:r>
              <w:t>132.91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97.65</w:t>
            </w:r>
          </w:p>
        </w:tc>
        <w:tc>
          <w:tcPr>
            <w:tcW w:w="2551" w:type="dxa"/>
            <w:vAlign w:val="center"/>
          </w:tcPr>
          <w:p>
            <w:pPr>
              <w:pStyle w:val="11"/>
            </w:pPr>
            <w:r>
              <w:t>85.40</w:t>
            </w:r>
          </w:p>
        </w:tc>
        <w:tc>
          <w:tcPr>
            <w:tcW w:w="2551" w:type="dxa"/>
            <w:vAlign w:val="center"/>
          </w:tcPr>
          <w:p>
            <w:pPr>
              <w:pStyle w:val="11"/>
            </w:pPr>
            <w:r>
              <w:t>12.25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85.40</w:t>
            </w:r>
          </w:p>
        </w:tc>
        <w:tc>
          <w:tcPr>
            <w:tcW w:w="2551" w:type="dxa"/>
            <w:vAlign w:val="center"/>
          </w:tcPr>
          <w:p>
            <w:pPr>
              <w:pStyle w:val="11"/>
            </w:pPr>
            <w:r>
              <w:t>85.40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5.06</w:t>
            </w:r>
          </w:p>
        </w:tc>
        <w:tc>
          <w:tcPr>
            <w:tcW w:w="2551" w:type="dxa"/>
            <w:vAlign w:val="center"/>
          </w:tcPr>
          <w:p>
            <w:pPr>
              <w:pStyle w:val="11"/>
            </w:pPr>
            <w:r>
              <w:t>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53.56</w:t>
            </w:r>
          </w:p>
        </w:tc>
        <w:tc>
          <w:tcPr>
            <w:tcW w:w="2551" w:type="dxa"/>
            <w:vAlign w:val="center"/>
          </w:tcPr>
          <w:p>
            <w:pPr>
              <w:pStyle w:val="11"/>
            </w:pPr>
            <w:r>
              <w:t>53.56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26.78</w:t>
            </w:r>
          </w:p>
        </w:tc>
        <w:tc>
          <w:tcPr>
            <w:tcW w:w="2551" w:type="dxa"/>
            <w:vAlign w:val="center"/>
          </w:tcPr>
          <w:p>
            <w:pPr>
              <w:pStyle w:val="11"/>
            </w:pPr>
            <w:r>
              <w:t>26.78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12.25</w:t>
            </w:r>
          </w:p>
        </w:tc>
        <w:tc>
          <w:tcPr>
            <w:tcW w:w="2551" w:type="dxa"/>
            <w:vAlign w:val="center"/>
          </w:tcPr>
          <w:p>
            <w:pPr>
              <w:pStyle w:val="11"/>
            </w:pPr>
          </w:p>
        </w:tc>
        <w:tc>
          <w:tcPr>
            <w:tcW w:w="2551" w:type="dxa"/>
            <w:vAlign w:val="center"/>
          </w:tcPr>
          <w:p>
            <w:pPr>
              <w:pStyle w:val="11"/>
            </w:pPr>
            <w:r>
              <w:t>12.25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12.25</w:t>
            </w:r>
          </w:p>
        </w:tc>
        <w:tc>
          <w:tcPr>
            <w:tcW w:w="2551" w:type="dxa"/>
            <w:vAlign w:val="center"/>
          </w:tcPr>
          <w:p>
            <w:pPr>
              <w:pStyle w:val="11"/>
            </w:pPr>
          </w:p>
        </w:tc>
        <w:tc>
          <w:tcPr>
            <w:tcW w:w="2551" w:type="dxa"/>
            <w:vAlign w:val="center"/>
          </w:tcPr>
          <w:p>
            <w:pPr>
              <w:pStyle w:val="11"/>
            </w:pPr>
            <w:r>
              <w:t>12.25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35.22</w:t>
            </w:r>
          </w:p>
        </w:tc>
        <w:tc>
          <w:tcPr>
            <w:tcW w:w="2551" w:type="dxa"/>
            <w:vAlign w:val="center"/>
          </w:tcPr>
          <w:p>
            <w:pPr>
              <w:pStyle w:val="11"/>
            </w:pPr>
            <w:r>
              <w:t>35.22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35.22</w:t>
            </w:r>
          </w:p>
        </w:tc>
        <w:tc>
          <w:tcPr>
            <w:tcW w:w="2551" w:type="dxa"/>
            <w:vAlign w:val="center"/>
          </w:tcPr>
          <w:p>
            <w:pPr>
              <w:pStyle w:val="11"/>
            </w:pPr>
            <w:r>
              <w:t>35.22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35.22</w:t>
            </w:r>
          </w:p>
        </w:tc>
        <w:tc>
          <w:tcPr>
            <w:tcW w:w="2551" w:type="dxa"/>
            <w:vAlign w:val="center"/>
          </w:tcPr>
          <w:p>
            <w:pPr>
              <w:pStyle w:val="11"/>
            </w:pPr>
            <w:r>
              <w:t>35.22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565.40</w:t>
            </w:r>
          </w:p>
        </w:tc>
        <w:tc>
          <w:tcPr>
            <w:tcW w:w="2551" w:type="dxa"/>
            <w:vAlign w:val="center"/>
          </w:tcPr>
          <w:p>
            <w:pPr>
              <w:pStyle w:val="11"/>
            </w:pPr>
            <w:r>
              <w:t>444.74</w:t>
            </w:r>
          </w:p>
        </w:tc>
        <w:tc>
          <w:tcPr>
            <w:tcW w:w="2551" w:type="dxa"/>
            <w:vAlign w:val="center"/>
          </w:tcPr>
          <w:p>
            <w:pPr>
              <w:pStyle w:val="11"/>
            </w:pPr>
            <w:r>
              <w:t>120.66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444.88</w:t>
            </w:r>
          </w:p>
        </w:tc>
        <w:tc>
          <w:tcPr>
            <w:tcW w:w="2551" w:type="dxa"/>
            <w:vAlign w:val="center"/>
          </w:tcPr>
          <w:p>
            <w:pPr>
              <w:pStyle w:val="11"/>
            </w:pPr>
            <w:r>
              <w:t>444.74</w:t>
            </w: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444.88</w:t>
            </w:r>
          </w:p>
        </w:tc>
        <w:tc>
          <w:tcPr>
            <w:tcW w:w="2551" w:type="dxa"/>
            <w:vAlign w:val="center"/>
          </w:tcPr>
          <w:p>
            <w:pPr>
              <w:pStyle w:val="11"/>
            </w:pPr>
            <w:r>
              <w:t>444.74</w:t>
            </w: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120.52</w:t>
            </w:r>
          </w:p>
        </w:tc>
        <w:tc>
          <w:tcPr>
            <w:tcW w:w="2551" w:type="dxa"/>
            <w:vAlign w:val="center"/>
          </w:tcPr>
          <w:p>
            <w:pPr>
              <w:pStyle w:val="11"/>
            </w:pPr>
          </w:p>
        </w:tc>
        <w:tc>
          <w:tcPr>
            <w:tcW w:w="2551" w:type="dxa"/>
            <w:vAlign w:val="center"/>
          </w:tcPr>
          <w:p>
            <w:pPr>
              <w:pStyle w:val="11"/>
            </w:pPr>
            <w:r>
              <w:t>120.52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120.52</w:t>
            </w:r>
          </w:p>
        </w:tc>
        <w:tc>
          <w:tcPr>
            <w:tcW w:w="2551" w:type="dxa"/>
            <w:vAlign w:val="center"/>
          </w:tcPr>
          <w:p>
            <w:pPr>
              <w:pStyle w:val="11"/>
            </w:pPr>
          </w:p>
        </w:tc>
        <w:tc>
          <w:tcPr>
            <w:tcW w:w="2551" w:type="dxa"/>
            <w:vAlign w:val="center"/>
          </w:tcPr>
          <w:p>
            <w:pPr>
              <w:pStyle w:val="11"/>
            </w:pPr>
            <w:r>
              <w:t>120.52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49.64</w:t>
            </w:r>
          </w:p>
        </w:tc>
        <w:tc>
          <w:tcPr>
            <w:tcW w:w="2551" w:type="dxa"/>
            <w:vAlign w:val="center"/>
          </w:tcPr>
          <w:p>
            <w:pPr>
              <w:pStyle w:val="11"/>
            </w:pPr>
            <w:r>
              <w:t>49.64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49.64</w:t>
            </w:r>
          </w:p>
        </w:tc>
        <w:tc>
          <w:tcPr>
            <w:tcW w:w="2551" w:type="dxa"/>
            <w:vAlign w:val="center"/>
          </w:tcPr>
          <w:p>
            <w:pPr>
              <w:pStyle w:val="11"/>
            </w:pPr>
            <w:r>
              <w:t>49.64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49.64</w:t>
            </w:r>
          </w:p>
        </w:tc>
        <w:tc>
          <w:tcPr>
            <w:tcW w:w="2551" w:type="dxa"/>
            <w:vAlign w:val="center"/>
          </w:tcPr>
          <w:p>
            <w:pPr>
              <w:pStyle w:val="11"/>
            </w:pPr>
            <w:r>
              <w:t>49.64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614.99</w:t>
            </w:r>
          </w:p>
        </w:tc>
        <w:tc>
          <w:tcPr>
            <w:tcW w:w="2551" w:type="dxa"/>
            <w:vAlign w:val="center"/>
          </w:tcPr>
          <w:p>
            <w:pPr>
              <w:pStyle w:val="15"/>
            </w:pPr>
            <w:r>
              <w:t>586.96</w:t>
            </w:r>
          </w:p>
        </w:tc>
        <w:tc>
          <w:tcPr>
            <w:tcW w:w="2551" w:type="dxa"/>
            <w:vAlign w:val="center"/>
          </w:tcPr>
          <w:p>
            <w:pPr>
              <w:pStyle w:val="15"/>
            </w:pPr>
            <w:r>
              <w:t>28.03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581.96</w:t>
            </w:r>
          </w:p>
        </w:tc>
        <w:tc>
          <w:tcPr>
            <w:tcW w:w="2551" w:type="dxa"/>
            <w:vAlign w:val="center"/>
          </w:tcPr>
          <w:p>
            <w:pPr>
              <w:pStyle w:val="11"/>
            </w:pPr>
            <w:r>
              <w:t>581.96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139.55</w:t>
            </w:r>
          </w:p>
        </w:tc>
        <w:tc>
          <w:tcPr>
            <w:tcW w:w="2551" w:type="dxa"/>
            <w:vAlign w:val="center"/>
          </w:tcPr>
          <w:p>
            <w:pPr>
              <w:pStyle w:val="11"/>
            </w:pPr>
            <w:r>
              <w:t>139.55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27.58</w:t>
            </w:r>
          </w:p>
        </w:tc>
        <w:tc>
          <w:tcPr>
            <w:tcW w:w="2551" w:type="dxa"/>
            <w:vAlign w:val="center"/>
          </w:tcPr>
          <w:p>
            <w:pPr>
              <w:pStyle w:val="11"/>
            </w:pPr>
            <w:r>
              <w:t>27.58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246.64</w:t>
            </w:r>
          </w:p>
        </w:tc>
        <w:tc>
          <w:tcPr>
            <w:tcW w:w="2551" w:type="dxa"/>
            <w:vAlign w:val="center"/>
          </w:tcPr>
          <w:p>
            <w:pPr>
              <w:pStyle w:val="11"/>
            </w:pPr>
            <w:r>
              <w:t>246.64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53.56</w:t>
            </w:r>
          </w:p>
        </w:tc>
        <w:tc>
          <w:tcPr>
            <w:tcW w:w="2551" w:type="dxa"/>
            <w:vAlign w:val="center"/>
          </w:tcPr>
          <w:p>
            <w:pPr>
              <w:pStyle w:val="11"/>
            </w:pPr>
            <w:r>
              <w:t>53.56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26.78</w:t>
            </w:r>
          </w:p>
        </w:tc>
        <w:tc>
          <w:tcPr>
            <w:tcW w:w="2551" w:type="dxa"/>
            <w:vAlign w:val="center"/>
          </w:tcPr>
          <w:p>
            <w:pPr>
              <w:pStyle w:val="11"/>
            </w:pPr>
            <w:r>
              <w:t>26.78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18.14</w:t>
            </w:r>
          </w:p>
        </w:tc>
        <w:tc>
          <w:tcPr>
            <w:tcW w:w="2551" w:type="dxa"/>
            <w:vAlign w:val="center"/>
          </w:tcPr>
          <w:p>
            <w:pPr>
              <w:pStyle w:val="11"/>
            </w:pPr>
            <w:r>
              <w:t>18.14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17.08</w:t>
            </w:r>
          </w:p>
        </w:tc>
        <w:tc>
          <w:tcPr>
            <w:tcW w:w="2551" w:type="dxa"/>
            <w:vAlign w:val="center"/>
          </w:tcPr>
          <w:p>
            <w:pPr>
              <w:pStyle w:val="11"/>
            </w:pPr>
            <w:r>
              <w:t>17.08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2.99</w:t>
            </w:r>
          </w:p>
        </w:tc>
        <w:tc>
          <w:tcPr>
            <w:tcW w:w="2551" w:type="dxa"/>
            <w:vAlign w:val="center"/>
          </w:tcPr>
          <w:p>
            <w:pPr>
              <w:pStyle w:val="11"/>
            </w:pPr>
            <w:r>
              <w:t>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49.64</w:t>
            </w:r>
          </w:p>
        </w:tc>
        <w:tc>
          <w:tcPr>
            <w:tcW w:w="2551" w:type="dxa"/>
            <w:vAlign w:val="center"/>
          </w:tcPr>
          <w:p>
            <w:pPr>
              <w:pStyle w:val="11"/>
            </w:pPr>
            <w:r>
              <w:t>49.64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26.93</w:t>
            </w:r>
          </w:p>
        </w:tc>
        <w:tc>
          <w:tcPr>
            <w:tcW w:w="2551" w:type="dxa"/>
            <w:vAlign w:val="center"/>
          </w:tcPr>
          <w:p>
            <w:pPr>
              <w:pStyle w:val="11"/>
            </w:pPr>
          </w:p>
        </w:tc>
        <w:tc>
          <w:tcPr>
            <w:tcW w:w="2551" w:type="dxa"/>
            <w:vAlign w:val="center"/>
          </w:tcPr>
          <w:p>
            <w:pPr>
              <w:pStyle w:val="11"/>
            </w:pPr>
            <w:r>
              <w:t>26.93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19.40</w:t>
            </w:r>
          </w:p>
        </w:tc>
        <w:tc>
          <w:tcPr>
            <w:tcW w:w="2551" w:type="dxa"/>
            <w:vAlign w:val="center"/>
          </w:tcPr>
          <w:p>
            <w:pPr>
              <w:pStyle w:val="11"/>
            </w:pPr>
          </w:p>
        </w:tc>
        <w:tc>
          <w:tcPr>
            <w:tcW w:w="2551" w:type="dxa"/>
            <w:vAlign w:val="center"/>
          </w:tcPr>
          <w:p>
            <w:pPr>
              <w:pStyle w:val="11"/>
            </w:pPr>
            <w:r>
              <w:t>19.40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2.99</w:t>
            </w:r>
          </w:p>
        </w:tc>
        <w:tc>
          <w:tcPr>
            <w:tcW w:w="2551" w:type="dxa"/>
            <w:vAlign w:val="center"/>
          </w:tcPr>
          <w:p>
            <w:pPr>
              <w:pStyle w:val="11"/>
            </w:pPr>
          </w:p>
        </w:tc>
        <w:tc>
          <w:tcPr>
            <w:tcW w:w="2551" w:type="dxa"/>
            <w:vAlign w:val="center"/>
          </w:tcPr>
          <w:p>
            <w:pPr>
              <w:pStyle w:val="11"/>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4.04</w:t>
            </w:r>
          </w:p>
        </w:tc>
        <w:tc>
          <w:tcPr>
            <w:tcW w:w="2551" w:type="dxa"/>
            <w:vAlign w:val="center"/>
          </w:tcPr>
          <w:p>
            <w:pPr>
              <w:pStyle w:val="11"/>
            </w:pPr>
          </w:p>
        </w:tc>
        <w:tc>
          <w:tcPr>
            <w:tcW w:w="2551" w:type="dxa"/>
            <w:vAlign w:val="center"/>
          </w:tcPr>
          <w:p>
            <w:pPr>
              <w:pStyle w:val="11"/>
            </w:pPr>
            <w:r>
              <w:t>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566006石家庄市鹿泉区石柏公园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石家庄市鹿泉区石柏公园2026年单位预算信息公开情况说明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按照《中华人民共和国预算法》、《地方预决算公开操作规程》和《关于进一步推进预算公开工作的实施意见》规定，现将石家庄市鹿泉区石柏公园2026年单位预算公开如下：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石家庄市鹿泉区石柏公园主要职责为：负责石柏公园及生态文化广场的公园管理、设施维护，养护公园花草、树木、便道等。美化环境，提高园容园貌。使各种设施充分发挥其功能，更好为市民提供服务。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石家庄市鹿泉区石柏公园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747.91万元，其中：一般公共预算收入747.91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石柏公园年度单位预算中支出预算的总体情况。2026年支出预算747.91万元，其中基本支出614.99万元，包括人员经费586.96万元和日常公用经费28.03万元；项目支出132.91万元，主要为日常维护费、工程旧欠、租赁生产用车旧欠款、2026年涉军人员工资及保险资金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747.91万元，较2025年预算减少10.21万元，其中：基本支出增加18.52万元，主要为工资调整以及保险基数调整导致人员经费增加。项目支出减少28.73万元，主要为生产租赁用车项目、石柏公园专项维修项目、益智园维护费项目减少导致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2026年，我单位机关运行经费共计安排28.03万元，主要用于日常维修、办公用房水电费、办公用房取暖费、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安排，2025年与2026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13011026P00156410561M</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12.25</w:t>
            </w:r>
          </w:p>
        </w:tc>
        <w:tc>
          <w:tcPr>
            <w:tcW w:w="2835" w:type="dxa"/>
            <w:vAlign w:val="center"/>
          </w:tcPr>
          <w:p>
            <w:pPr>
              <w:pStyle w:val="10"/>
            </w:pPr>
            <w:r>
              <w:t>其中：财政    资金</w:t>
            </w:r>
          </w:p>
        </w:tc>
        <w:tc>
          <w:tcPr>
            <w:tcW w:w="2551" w:type="dxa"/>
            <w:vAlign w:val="center"/>
          </w:tcPr>
          <w:p>
            <w:pPr>
              <w:pStyle w:val="12"/>
            </w:pPr>
            <w:r>
              <w:t>12.25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2026年涉军人员工资及社保支出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1.对我单位2名军队退役人员，实施托管安置，帮扶救助到位，实现就业。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涉军劳务派遣人数</w:t>
            </w:r>
          </w:p>
        </w:tc>
        <w:tc>
          <w:tcPr>
            <w:tcW w:w="5386" w:type="dxa"/>
            <w:vAlign w:val="center"/>
          </w:tcPr>
          <w:p>
            <w:pPr>
              <w:pStyle w:val="12"/>
            </w:pPr>
            <w:r>
              <w:t>涉军劳务派遣人数</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发放工资金额</w:t>
            </w:r>
          </w:p>
        </w:tc>
        <w:tc>
          <w:tcPr>
            <w:tcW w:w="5386" w:type="dxa"/>
            <w:vAlign w:val="center"/>
          </w:tcPr>
          <w:p>
            <w:pPr>
              <w:pStyle w:val="12"/>
            </w:pPr>
            <w:r>
              <w:t>发放工资金额</w:t>
            </w:r>
          </w:p>
        </w:tc>
        <w:tc>
          <w:tcPr>
            <w:tcW w:w="2268" w:type="dxa"/>
            <w:vAlign w:val="center"/>
          </w:tcPr>
          <w:p>
            <w:pPr>
              <w:pStyle w:val="12"/>
            </w:pPr>
            <w:r>
              <w:t>87000元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单位缴纳社保费</w:t>
            </w:r>
          </w:p>
        </w:tc>
        <w:tc>
          <w:tcPr>
            <w:tcW w:w="5386" w:type="dxa"/>
            <w:vAlign w:val="center"/>
          </w:tcPr>
          <w:p>
            <w:pPr>
              <w:pStyle w:val="12"/>
            </w:pPr>
            <w:r>
              <w:t>单位缴纳社保费</w:t>
            </w:r>
          </w:p>
        </w:tc>
        <w:tc>
          <w:tcPr>
            <w:tcW w:w="2268" w:type="dxa"/>
            <w:vAlign w:val="center"/>
          </w:tcPr>
          <w:p>
            <w:pPr>
              <w:pStyle w:val="12"/>
            </w:pPr>
            <w:r>
              <w:t>≤30077.52元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管理费</w:t>
            </w:r>
          </w:p>
        </w:tc>
        <w:tc>
          <w:tcPr>
            <w:tcW w:w="5386" w:type="dxa"/>
            <w:vAlign w:val="center"/>
          </w:tcPr>
          <w:p>
            <w:pPr>
              <w:pStyle w:val="12"/>
            </w:pPr>
            <w:r>
              <w:t>管理费</w:t>
            </w:r>
          </w:p>
        </w:tc>
        <w:tc>
          <w:tcPr>
            <w:tcW w:w="2268" w:type="dxa"/>
            <w:vAlign w:val="center"/>
          </w:tcPr>
          <w:p>
            <w:pPr>
              <w:pStyle w:val="12"/>
            </w:pPr>
            <w:r>
              <w:t>960元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取暖补贴</w:t>
            </w:r>
          </w:p>
        </w:tc>
        <w:tc>
          <w:tcPr>
            <w:tcW w:w="5386" w:type="dxa"/>
            <w:vAlign w:val="center"/>
          </w:tcPr>
          <w:p>
            <w:pPr>
              <w:pStyle w:val="12"/>
            </w:pPr>
            <w:r>
              <w:t>取暖补贴</w:t>
            </w:r>
          </w:p>
        </w:tc>
        <w:tc>
          <w:tcPr>
            <w:tcW w:w="2268" w:type="dxa"/>
            <w:vAlign w:val="center"/>
          </w:tcPr>
          <w:p>
            <w:pPr>
              <w:pStyle w:val="12"/>
            </w:pPr>
            <w:r>
              <w:t>4400元</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工资待遇发放率</w:t>
            </w:r>
          </w:p>
        </w:tc>
        <w:tc>
          <w:tcPr>
            <w:tcW w:w="5386" w:type="dxa"/>
            <w:vAlign w:val="center"/>
          </w:tcPr>
          <w:p>
            <w:pPr>
              <w:pStyle w:val="12"/>
            </w:pPr>
            <w:r>
              <w:t>工资待遇发放率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审批发放及时率</w:t>
            </w:r>
          </w:p>
        </w:tc>
        <w:tc>
          <w:tcPr>
            <w:tcW w:w="5386" w:type="dxa"/>
            <w:vAlign w:val="center"/>
          </w:tcPr>
          <w:p>
            <w:pPr>
              <w:pStyle w:val="12"/>
            </w:pPr>
            <w:r>
              <w:t>审批发放及时率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改善退役军人就业环境</w:t>
            </w:r>
          </w:p>
        </w:tc>
        <w:tc>
          <w:tcPr>
            <w:tcW w:w="5386" w:type="dxa"/>
            <w:vAlign w:val="center"/>
          </w:tcPr>
          <w:p>
            <w:pPr>
              <w:pStyle w:val="12"/>
            </w:pPr>
            <w:r>
              <w:t>改善退役军人就业环境</w:t>
            </w:r>
          </w:p>
        </w:tc>
        <w:tc>
          <w:tcPr>
            <w:tcW w:w="2268" w:type="dxa"/>
            <w:vAlign w:val="center"/>
          </w:tcPr>
          <w:p>
            <w:pPr>
              <w:pStyle w:val="12"/>
            </w:pPr>
            <w:r>
              <w:t>改善</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持续改善退役军人就业保障，提高退役军人社会认可度。</w:t>
            </w:r>
          </w:p>
        </w:tc>
        <w:tc>
          <w:tcPr>
            <w:tcW w:w="5386" w:type="dxa"/>
            <w:vAlign w:val="center"/>
          </w:tcPr>
          <w:p>
            <w:pPr>
              <w:pStyle w:val="12"/>
            </w:pPr>
            <w:r>
              <w:t>持续改善退役军人就业保障，提高退役军人社会认可度。</w:t>
            </w:r>
          </w:p>
        </w:tc>
        <w:tc>
          <w:tcPr>
            <w:tcW w:w="2268" w:type="dxa"/>
            <w:vAlign w:val="center"/>
          </w:tcPr>
          <w:p>
            <w:pPr>
              <w:pStyle w:val="12"/>
            </w:pPr>
            <w:r>
              <w:t>持续改善、提高</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派遣岗位上退役军人的满意度</w:t>
            </w:r>
          </w:p>
        </w:tc>
        <w:tc>
          <w:tcPr>
            <w:tcW w:w="5386" w:type="dxa"/>
            <w:vAlign w:val="center"/>
          </w:tcPr>
          <w:p>
            <w:pPr>
              <w:pStyle w:val="12"/>
            </w:pPr>
            <w:r>
              <w:t>派遣岗位上退役军人的满意度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2、工程旧欠绩效目标表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13011026P00156410635R</w:t>
            </w:r>
          </w:p>
        </w:tc>
        <w:tc>
          <w:tcPr>
            <w:tcW w:w="2835" w:type="dxa"/>
            <w:vAlign w:val="center"/>
          </w:tcPr>
          <w:p>
            <w:pPr>
              <w:pStyle w:val="10"/>
            </w:pPr>
            <w:r>
              <w:t>项目名称</w:t>
            </w:r>
          </w:p>
        </w:tc>
        <w:tc>
          <w:tcPr>
            <w:tcW w:w="6095" w:type="dxa"/>
            <w:gridSpan w:val="3"/>
            <w:vAlign w:val="center"/>
          </w:tcPr>
          <w:p>
            <w:pPr>
              <w:pStyle w:val="12"/>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0.52</w:t>
            </w:r>
          </w:p>
        </w:tc>
        <w:tc>
          <w:tcPr>
            <w:tcW w:w="2835" w:type="dxa"/>
            <w:vAlign w:val="center"/>
          </w:tcPr>
          <w:p>
            <w:pPr>
              <w:pStyle w:val="10"/>
            </w:pPr>
            <w:r>
              <w:t>其中：财政    资金</w:t>
            </w:r>
          </w:p>
        </w:tc>
        <w:tc>
          <w:tcPr>
            <w:tcW w:w="2551" w:type="dxa"/>
            <w:vAlign w:val="center"/>
          </w:tcPr>
          <w:p>
            <w:pPr>
              <w:pStyle w:val="12"/>
            </w:pPr>
            <w:r>
              <w:t>0.52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支付工程旧欠款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1.根据预算安排支付工程旧欠项目1项，2026年财政预算安排5238.8元。根据财政拨付进度及时支付。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旧欠项目成本</w:t>
            </w:r>
          </w:p>
        </w:tc>
        <w:tc>
          <w:tcPr>
            <w:tcW w:w="5386" w:type="dxa"/>
            <w:vAlign w:val="center"/>
          </w:tcPr>
          <w:p>
            <w:pPr>
              <w:pStyle w:val="12"/>
            </w:pPr>
            <w:r>
              <w:t>2026年预算安排</w:t>
            </w:r>
          </w:p>
        </w:tc>
        <w:tc>
          <w:tcPr>
            <w:tcW w:w="2268" w:type="dxa"/>
            <w:vAlign w:val="center"/>
          </w:tcPr>
          <w:p>
            <w:pPr>
              <w:pStyle w:val="12"/>
            </w:pPr>
            <w:r>
              <w:t>5238.8元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旧欠项目数</w:t>
            </w:r>
          </w:p>
        </w:tc>
        <w:tc>
          <w:tcPr>
            <w:tcW w:w="5386" w:type="dxa"/>
            <w:vAlign w:val="center"/>
          </w:tcPr>
          <w:p>
            <w:pPr>
              <w:pStyle w:val="12"/>
            </w:pPr>
            <w:r>
              <w:t>旧欠项目数</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资金及时支付率</w:t>
            </w:r>
          </w:p>
        </w:tc>
        <w:tc>
          <w:tcPr>
            <w:tcW w:w="5386" w:type="dxa"/>
            <w:vAlign w:val="center"/>
          </w:tcPr>
          <w:p>
            <w:pPr>
              <w:pStyle w:val="12"/>
            </w:pPr>
            <w:r>
              <w:t>资金及时支付率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保持欠款资金及时支付到位，保证合同履约进度。</w:t>
            </w:r>
          </w:p>
        </w:tc>
        <w:tc>
          <w:tcPr>
            <w:tcW w:w="5386" w:type="dxa"/>
            <w:vAlign w:val="center"/>
          </w:tcPr>
          <w:p>
            <w:pPr>
              <w:pStyle w:val="12"/>
            </w:pPr>
            <w:r>
              <w:t>保持欠款资金及时支付到位，保证合同履约进度。</w:t>
            </w:r>
          </w:p>
        </w:tc>
        <w:tc>
          <w:tcPr>
            <w:tcW w:w="2268" w:type="dxa"/>
            <w:vAlign w:val="center"/>
          </w:tcPr>
          <w:p>
            <w:pPr>
              <w:pStyle w:val="12"/>
            </w:pPr>
            <w:r>
              <w:t>及时、保证履约进度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合同对象满意度</w:t>
            </w:r>
          </w:p>
        </w:tc>
        <w:tc>
          <w:tcPr>
            <w:tcW w:w="5386" w:type="dxa"/>
            <w:vAlign w:val="center"/>
          </w:tcPr>
          <w:p>
            <w:pPr>
              <w:pStyle w:val="12"/>
            </w:pPr>
            <w:r>
              <w:t>合同对象满意度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3、日常维护费绩效目标表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13011026P00156410630P</w:t>
            </w:r>
          </w:p>
        </w:tc>
        <w:tc>
          <w:tcPr>
            <w:tcW w:w="2835" w:type="dxa"/>
            <w:vAlign w:val="center"/>
          </w:tcPr>
          <w:p>
            <w:pPr>
              <w:pStyle w:val="10"/>
            </w:pPr>
            <w:r>
              <w:t>项目名称</w:t>
            </w:r>
          </w:p>
        </w:tc>
        <w:tc>
          <w:tcPr>
            <w:tcW w:w="6095" w:type="dxa"/>
            <w:gridSpan w:val="3"/>
            <w:vAlign w:val="center"/>
          </w:tcPr>
          <w:p>
            <w:pPr>
              <w:pStyle w:val="12"/>
            </w:pPr>
            <w:r>
              <w:t>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公园日常维护支出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柏公园日常维护费使用，公园5.8万平方米绿地和花卉的养护，确保植被成活率达到90%，保持园区广场、路面、湖水以及公厕干净整洁，保障公园基础设施功能健全，照明、维护等设备安全运行。为市民提供优美、舒适的休闲娱乐场所，保障游园市民的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完成公园管护绿地面积数</w:t>
            </w:r>
          </w:p>
        </w:tc>
        <w:tc>
          <w:tcPr>
            <w:tcW w:w="5386" w:type="dxa"/>
            <w:vAlign w:val="center"/>
          </w:tcPr>
          <w:p>
            <w:pPr>
              <w:pStyle w:val="12"/>
            </w:pPr>
            <w:r>
              <w:t>完成公园管护绿地面积数</w:t>
            </w:r>
          </w:p>
        </w:tc>
        <w:tc>
          <w:tcPr>
            <w:tcW w:w="2268" w:type="dxa"/>
            <w:vAlign w:val="center"/>
          </w:tcPr>
          <w:p>
            <w:pPr>
              <w:pStyle w:val="12"/>
            </w:pPr>
            <w:r>
              <w:t>5.8万平方米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完成公园广场、路面保洁面积数</w:t>
            </w:r>
          </w:p>
        </w:tc>
        <w:tc>
          <w:tcPr>
            <w:tcW w:w="5386" w:type="dxa"/>
            <w:vAlign w:val="center"/>
          </w:tcPr>
          <w:p>
            <w:pPr>
              <w:pStyle w:val="12"/>
            </w:pPr>
            <w:r>
              <w:t>完成公园广场、路面保洁面积数</w:t>
            </w:r>
          </w:p>
        </w:tc>
        <w:tc>
          <w:tcPr>
            <w:tcW w:w="2268" w:type="dxa"/>
            <w:vAlign w:val="center"/>
          </w:tcPr>
          <w:p>
            <w:pPr>
              <w:pStyle w:val="12"/>
            </w:pPr>
            <w:r>
              <w:t>2万平方米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完成公园水面清洁面积数</w:t>
            </w:r>
          </w:p>
        </w:tc>
        <w:tc>
          <w:tcPr>
            <w:tcW w:w="5386" w:type="dxa"/>
            <w:vAlign w:val="center"/>
          </w:tcPr>
          <w:p>
            <w:pPr>
              <w:pStyle w:val="12"/>
            </w:pPr>
            <w:r>
              <w:t>完成公园水面清洁面积数</w:t>
            </w:r>
          </w:p>
        </w:tc>
        <w:tc>
          <w:tcPr>
            <w:tcW w:w="2268" w:type="dxa"/>
            <w:vAlign w:val="center"/>
          </w:tcPr>
          <w:p>
            <w:pPr>
              <w:pStyle w:val="12"/>
            </w:pPr>
            <w:r>
              <w:t>7.5万平方米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保证公园广场、路面、公厕环境卫生干净整洁质量</w:t>
            </w:r>
          </w:p>
        </w:tc>
        <w:tc>
          <w:tcPr>
            <w:tcW w:w="5386" w:type="dxa"/>
            <w:vAlign w:val="center"/>
          </w:tcPr>
          <w:p>
            <w:pPr>
              <w:pStyle w:val="12"/>
            </w:pPr>
            <w:r>
              <w:t>保证公园广场、路面、公厕环境卫生干净整洁质量</w:t>
            </w:r>
          </w:p>
        </w:tc>
        <w:tc>
          <w:tcPr>
            <w:tcW w:w="2268" w:type="dxa"/>
            <w:vAlign w:val="center"/>
          </w:tcPr>
          <w:p>
            <w:pPr>
              <w:pStyle w:val="12"/>
            </w:pPr>
            <w:r>
              <w:t>干净整洁</w:t>
            </w: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公园基础设施正常使用质量</w:t>
            </w:r>
          </w:p>
        </w:tc>
        <w:tc>
          <w:tcPr>
            <w:tcW w:w="5386" w:type="dxa"/>
            <w:vAlign w:val="center"/>
          </w:tcPr>
          <w:p>
            <w:pPr>
              <w:pStyle w:val="12"/>
            </w:pPr>
            <w:r>
              <w:t>公园基础设施正常使用率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绿化成活率</w:t>
            </w:r>
          </w:p>
        </w:tc>
        <w:tc>
          <w:tcPr>
            <w:tcW w:w="5386" w:type="dxa"/>
            <w:vAlign w:val="center"/>
          </w:tcPr>
          <w:p>
            <w:pPr>
              <w:pStyle w:val="12"/>
            </w:pPr>
            <w:r>
              <w:t>绿化成活率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公园基础设施维修及时率</w:t>
            </w:r>
          </w:p>
        </w:tc>
        <w:tc>
          <w:tcPr>
            <w:tcW w:w="5386" w:type="dxa"/>
            <w:vAlign w:val="center"/>
          </w:tcPr>
          <w:p>
            <w:pPr>
              <w:pStyle w:val="12"/>
            </w:pPr>
            <w:r>
              <w:t>公园基础设施维修及时率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公园管护实际成本</w:t>
            </w:r>
          </w:p>
        </w:tc>
        <w:tc>
          <w:tcPr>
            <w:tcW w:w="5386" w:type="dxa"/>
            <w:vAlign w:val="center"/>
          </w:tcPr>
          <w:p>
            <w:pPr>
              <w:pStyle w:val="12"/>
            </w:pPr>
            <w:r>
              <w:t>公园管护实际成本</w:t>
            </w:r>
          </w:p>
        </w:tc>
        <w:tc>
          <w:tcPr>
            <w:tcW w:w="2268" w:type="dxa"/>
            <w:vAlign w:val="center"/>
          </w:tcPr>
          <w:p>
            <w:pPr>
              <w:pStyle w:val="12"/>
            </w:pPr>
            <w:r>
              <w:t>≤120万元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保障公园生态环境质量，达到预期效果</w:t>
            </w:r>
          </w:p>
        </w:tc>
        <w:tc>
          <w:tcPr>
            <w:tcW w:w="5386" w:type="dxa"/>
            <w:vAlign w:val="center"/>
          </w:tcPr>
          <w:p>
            <w:pPr>
              <w:pStyle w:val="12"/>
            </w:pPr>
            <w:r>
              <w:t>提升公园生态环境质量，达到巩固 卫生城市标准</w:t>
            </w:r>
          </w:p>
        </w:tc>
        <w:tc>
          <w:tcPr>
            <w:tcW w:w="2268" w:type="dxa"/>
            <w:vAlign w:val="center"/>
          </w:tcPr>
          <w:p>
            <w:pPr>
              <w:pStyle w:val="12"/>
            </w:pPr>
            <w:r>
              <w:t>提升质量 达到巩固标准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持续为市民提供优美游园环境</w:t>
            </w:r>
          </w:p>
        </w:tc>
        <w:tc>
          <w:tcPr>
            <w:tcW w:w="5386" w:type="dxa"/>
            <w:vAlign w:val="center"/>
          </w:tcPr>
          <w:p>
            <w:pPr>
              <w:pStyle w:val="12"/>
            </w:pPr>
            <w:r>
              <w:t>持续为市民提供优美游园环境</w:t>
            </w:r>
          </w:p>
        </w:tc>
        <w:tc>
          <w:tcPr>
            <w:tcW w:w="2268" w:type="dxa"/>
            <w:vAlign w:val="center"/>
          </w:tcPr>
          <w:p>
            <w:pPr>
              <w:pStyle w:val="12"/>
            </w:pPr>
            <w:r>
              <w:t>持续提供优美环境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游园群众满意度</w:t>
            </w:r>
          </w:p>
        </w:tc>
        <w:tc>
          <w:tcPr>
            <w:tcW w:w="5386" w:type="dxa"/>
            <w:vAlign w:val="center"/>
          </w:tcPr>
          <w:p>
            <w:pPr>
              <w:pStyle w:val="12"/>
            </w:pPr>
            <w:r>
              <w:t>通过问卷调查，满意和较满意的石柏公园游园群众占所有调查石柏公园游园群众的比例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4、租赁生产用车绩效目标表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13011026P00156410632Y</w:t>
            </w:r>
          </w:p>
        </w:tc>
        <w:tc>
          <w:tcPr>
            <w:tcW w:w="2835" w:type="dxa"/>
            <w:vAlign w:val="center"/>
          </w:tcPr>
          <w:p>
            <w:pPr>
              <w:pStyle w:val="10"/>
            </w:pPr>
            <w:r>
              <w:t>项目名称</w:t>
            </w:r>
          </w:p>
        </w:tc>
        <w:tc>
          <w:tcPr>
            <w:tcW w:w="6095" w:type="dxa"/>
            <w:gridSpan w:val="3"/>
            <w:vAlign w:val="center"/>
          </w:tcPr>
          <w:p>
            <w:pPr>
              <w:pStyle w:val="12"/>
            </w:pPr>
            <w:r>
              <w:t>租赁生产用车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偿还租赁生产用车租车费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1.2025年租赁新能源生产用车1台，费用4万元，已支付2万元，尚有欠款2万元，根据财政预算安排，2026年安排预算0.14万元，以保障后续合同履约进度。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租赁生产用车数量</w:t>
            </w:r>
          </w:p>
        </w:tc>
        <w:tc>
          <w:tcPr>
            <w:tcW w:w="5386" w:type="dxa"/>
            <w:vAlign w:val="center"/>
          </w:tcPr>
          <w:p>
            <w:pPr>
              <w:pStyle w:val="12"/>
            </w:pPr>
            <w:r>
              <w:t>租赁生产用车数量</w:t>
            </w:r>
          </w:p>
        </w:tc>
        <w:tc>
          <w:tcPr>
            <w:tcW w:w="2268" w:type="dxa"/>
            <w:vAlign w:val="center"/>
          </w:tcPr>
          <w:p>
            <w:pPr>
              <w:pStyle w:val="12"/>
            </w:pPr>
            <w:r>
              <w:t>1台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根据预算安排资金支出率</w:t>
            </w:r>
          </w:p>
        </w:tc>
        <w:tc>
          <w:tcPr>
            <w:tcW w:w="5386" w:type="dxa"/>
            <w:vAlign w:val="center"/>
          </w:tcPr>
          <w:p>
            <w:pPr>
              <w:pStyle w:val="12"/>
            </w:pPr>
            <w:r>
              <w:t>根据预算安排资金支出率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资金支出及时率</w:t>
            </w:r>
          </w:p>
        </w:tc>
        <w:tc>
          <w:tcPr>
            <w:tcW w:w="5386" w:type="dxa"/>
            <w:vAlign w:val="center"/>
          </w:tcPr>
          <w:p>
            <w:pPr>
              <w:pStyle w:val="12"/>
            </w:pPr>
            <w:r>
              <w:t>资金支出及时率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2026年支出成本</w:t>
            </w:r>
          </w:p>
        </w:tc>
        <w:tc>
          <w:tcPr>
            <w:tcW w:w="5386" w:type="dxa"/>
            <w:vAlign w:val="center"/>
          </w:tcPr>
          <w:p>
            <w:pPr>
              <w:pStyle w:val="12"/>
            </w:pPr>
            <w:r>
              <w:t>2026年支出成本</w:t>
            </w:r>
          </w:p>
        </w:tc>
        <w:tc>
          <w:tcPr>
            <w:tcW w:w="2268" w:type="dxa"/>
            <w:vAlign w:val="center"/>
          </w:tcPr>
          <w:p>
            <w:pPr>
              <w:pStyle w:val="12"/>
            </w:pPr>
            <w:r>
              <w:t>0.14万元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保持欠款资金及时支付到位，保证合同履约进度。</w:t>
            </w:r>
          </w:p>
        </w:tc>
        <w:tc>
          <w:tcPr>
            <w:tcW w:w="5386" w:type="dxa"/>
            <w:vAlign w:val="center"/>
          </w:tcPr>
          <w:p>
            <w:pPr>
              <w:pStyle w:val="12"/>
            </w:pPr>
            <w:r>
              <w:t>保持欠款资金及时支付到位，保证合同履约进度。</w:t>
            </w:r>
          </w:p>
        </w:tc>
        <w:tc>
          <w:tcPr>
            <w:tcW w:w="2268" w:type="dxa"/>
            <w:vAlign w:val="center"/>
          </w:tcPr>
          <w:p>
            <w:pPr>
              <w:pStyle w:val="12"/>
            </w:pPr>
            <w:r>
              <w:t>及时、保证履约进度</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合同对象满意度</w:t>
            </w:r>
          </w:p>
        </w:tc>
        <w:tc>
          <w:tcPr>
            <w:tcW w:w="5386" w:type="dxa"/>
            <w:vAlign w:val="center"/>
          </w:tcPr>
          <w:p>
            <w:pPr>
              <w:pStyle w:val="12"/>
            </w:pPr>
            <w:r>
              <w:t>合同对象满意度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566006石家庄市鹿泉区石柏公园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1.91</w:t>
            </w:r>
          </w:p>
        </w:tc>
        <w:tc>
          <w:tcPr>
            <w:tcW w:w="964" w:type="dxa"/>
            <w:vAlign w:val="center"/>
          </w:tcPr>
          <w:p>
            <w:pPr>
              <w:pStyle w:val="15"/>
            </w:pPr>
            <w:r>
              <w:t>1.91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石家庄市鹿泉区石柏公园小计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1.91</w:t>
            </w:r>
          </w:p>
        </w:tc>
        <w:tc>
          <w:tcPr>
            <w:tcW w:w="964" w:type="dxa"/>
            <w:vAlign w:val="center"/>
          </w:tcPr>
          <w:p>
            <w:pPr>
              <w:pStyle w:val="15"/>
            </w:pPr>
            <w:r>
              <w:t>1.91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0.14</w:t>
            </w:r>
          </w:p>
        </w:tc>
        <w:tc>
          <w:tcPr>
            <w:tcW w:w="964" w:type="dxa"/>
            <w:vAlign w:val="center"/>
          </w:tcPr>
          <w:p>
            <w:pPr>
              <w:pStyle w:val="11"/>
            </w:pPr>
            <w:r>
              <w:t>0.14</w:t>
            </w:r>
          </w:p>
        </w:tc>
        <w:tc>
          <w:tcPr>
            <w:tcW w:w="964" w:type="dxa"/>
            <w:vAlign w:val="center"/>
          </w:tcPr>
          <w:p>
            <w:pPr>
              <w:pStyle w:val="11"/>
            </w:pPr>
            <w:r>
              <w:t>0.14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其他柜类</w:t>
            </w:r>
          </w:p>
        </w:tc>
        <w:tc>
          <w:tcPr>
            <w:tcW w:w="1134" w:type="dxa"/>
            <w:vAlign w:val="center"/>
          </w:tcPr>
          <w:p>
            <w:pPr>
              <w:pStyle w:val="12"/>
            </w:pPr>
            <w:r>
              <w:t>A05010599</w:t>
            </w:r>
          </w:p>
        </w:tc>
        <w:tc>
          <w:tcPr>
            <w:tcW w:w="709" w:type="dxa"/>
            <w:vAlign w:val="center"/>
          </w:tcPr>
          <w:p>
            <w:pPr>
              <w:pStyle w:val="13"/>
            </w:pPr>
            <w:r>
              <w:t>件</w:t>
            </w:r>
          </w:p>
        </w:tc>
        <w:tc>
          <w:tcPr>
            <w:tcW w:w="850" w:type="dxa"/>
            <w:vAlign w:val="center"/>
          </w:tcPr>
          <w:p>
            <w:pPr>
              <w:pStyle w:val="11"/>
            </w:pPr>
            <w:r>
              <w:t>4</w:t>
            </w:r>
          </w:p>
        </w:tc>
        <w:tc>
          <w:tcPr>
            <w:tcW w:w="850" w:type="dxa"/>
            <w:vAlign w:val="center"/>
          </w:tcPr>
          <w:p>
            <w:pPr>
              <w:pStyle w:val="11"/>
            </w:pPr>
            <w:r>
              <w:t>0.08</w:t>
            </w:r>
          </w:p>
        </w:tc>
        <w:tc>
          <w:tcPr>
            <w:tcW w:w="964" w:type="dxa"/>
            <w:vAlign w:val="center"/>
          </w:tcPr>
          <w:p>
            <w:pPr>
              <w:pStyle w:val="11"/>
            </w:pPr>
            <w:r>
              <w:t>0.32</w:t>
            </w:r>
          </w:p>
        </w:tc>
        <w:tc>
          <w:tcPr>
            <w:tcW w:w="964" w:type="dxa"/>
            <w:vAlign w:val="center"/>
          </w:tcPr>
          <w:p>
            <w:pPr>
              <w:pStyle w:val="11"/>
            </w:pPr>
            <w:r>
              <w:t>0.32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21.00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0.00</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石家庄市鹿泉区石柏公园上年末固定资产金额为170.31万元（详见下表）。本年度拟购置固定资产总额为2.65万元，已按要求列入政府采购预算，详见政府采购预算表。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566006石家庄市鹿泉区石柏公园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480</w:t>
            </w:r>
          </w:p>
        </w:tc>
        <w:tc>
          <w:tcPr>
            <w:tcW w:w="2835" w:type="dxa"/>
            <w:vAlign w:val="center"/>
          </w:tcPr>
          <w:p>
            <w:pPr>
              <w:pStyle w:val="11"/>
            </w:pPr>
            <w:r>
              <w:t>82.81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300</w:t>
            </w:r>
          </w:p>
        </w:tc>
        <w:tc>
          <w:tcPr>
            <w:tcW w:w="2835" w:type="dxa"/>
            <w:vAlign w:val="center"/>
          </w:tcPr>
          <w:p>
            <w:pPr>
              <w:pStyle w:val="11"/>
            </w:pPr>
            <w:r>
              <w:t>58.93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403</w:t>
            </w:r>
          </w:p>
        </w:tc>
        <w:tc>
          <w:tcPr>
            <w:tcW w:w="2835" w:type="dxa"/>
            <w:vAlign w:val="center"/>
          </w:tcPr>
          <w:p>
            <w:pPr>
              <w:pStyle w:val="11"/>
            </w:pPr>
            <w:r>
              <w:t>87.50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22506"/>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、石家庄市鹿泉区供热服务中心收支预算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716.55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457.89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716.55</w:t>
            </w:r>
          </w:p>
        </w:tc>
        <w:tc>
          <w:tcPr>
            <w:tcW w:w="4535" w:type="dxa"/>
            <w:vAlign w:val="center"/>
          </w:tcPr>
          <w:p>
            <w:pPr>
              <w:pStyle w:val="14"/>
            </w:pPr>
            <w:r>
              <w:t>本年支出合计</w:t>
            </w:r>
          </w:p>
        </w:tc>
        <w:tc>
          <w:tcPr>
            <w:tcW w:w="2126" w:type="dxa"/>
            <w:vAlign w:val="center"/>
          </w:tcPr>
          <w:p>
            <w:pPr>
              <w:pStyle w:val="15"/>
            </w:pPr>
            <w:r>
              <w:t>716.55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716.55</w:t>
            </w:r>
          </w:p>
        </w:tc>
        <w:tc>
          <w:tcPr>
            <w:tcW w:w="4535" w:type="dxa"/>
            <w:vAlign w:val="center"/>
          </w:tcPr>
          <w:p>
            <w:pPr>
              <w:pStyle w:val="14"/>
            </w:pPr>
            <w:r>
              <w:t>支出总计</w:t>
            </w:r>
          </w:p>
        </w:tc>
        <w:tc>
          <w:tcPr>
            <w:tcW w:w="2126" w:type="dxa"/>
            <w:vAlign w:val="center"/>
          </w:tcPr>
          <w:p>
            <w:pPr>
              <w:pStyle w:val="15"/>
            </w:pPr>
            <w:r>
              <w:t>716.55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716.55</w:t>
            </w:r>
          </w:p>
        </w:tc>
        <w:tc>
          <w:tcPr>
            <w:tcW w:w="1134" w:type="dxa"/>
            <w:vAlign w:val="center"/>
          </w:tcPr>
          <w:p>
            <w:pPr>
              <w:pStyle w:val="15"/>
            </w:pPr>
            <w:r>
              <w:t>716.55</w:t>
            </w:r>
          </w:p>
        </w:tc>
        <w:tc>
          <w:tcPr>
            <w:tcW w:w="1134" w:type="dxa"/>
            <w:vAlign w:val="center"/>
          </w:tcPr>
          <w:p>
            <w:pPr>
              <w:pStyle w:val="15"/>
            </w:pPr>
            <w:r>
              <w:t>716.55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170.44</w:t>
            </w:r>
          </w:p>
        </w:tc>
        <w:tc>
          <w:tcPr>
            <w:tcW w:w="1134" w:type="dxa"/>
            <w:vAlign w:val="center"/>
          </w:tcPr>
          <w:p>
            <w:pPr>
              <w:pStyle w:val="11"/>
            </w:pPr>
            <w:r>
              <w:t>170.44</w:t>
            </w:r>
          </w:p>
        </w:tc>
        <w:tc>
          <w:tcPr>
            <w:tcW w:w="1134" w:type="dxa"/>
            <w:vAlign w:val="center"/>
          </w:tcPr>
          <w:p>
            <w:pPr>
              <w:pStyle w:val="11"/>
            </w:pPr>
            <w:r>
              <w:t>170.44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152.74</w:t>
            </w:r>
          </w:p>
        </w:tc>
        <w:tc>
          <w:tcPr>
            <w:tcW w:w="1134" w:type="dxa"/>
            <w:vAlign w:val="center"/>
          </w:tcPr>
          <w:p>
            <w:pPr>
              <w:pStyle w:val="11"/>
            </w:pPr>
            <w:r>
              <w:t>152.74</w:t>
            </w:r>
          </w:p>
        </w:tc>
        <w:tc>
          <w:tcPr>
            <w:tcW w:w="1134" w:type="dxa"/>
            <w:vAlign w:val="center"/>
          </w:tcPr>
          <w:p>
            <w:pPr>
              <w:pStyle w:val="11"/>
            </w:pPr>
            <w:r>
              <w:t>152.74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69.43</w:t>
            </w:r>
          </w:p>
        </w:tc>
        <w:tc>
          <w:tcPr>
            <w:tcW w:w="1134" w:type="dxa"/>
            <w:vAlign w:val="center"/>
          </w:tcPr>
          <w:p>
            <w:pPr>
              <w:pStyle w:val="11"/>
            </w:pPr>
            <w:r>
              <w:t>69.43</w:t>
            </w:r>
          </w:p>
        </w:tc>
        <w:tc>
          <w:tcPr>
            <w:tcW w:w="1134" w:type="dxa"/>
            <w:vAlign w:val="center"/>
          </w:tcPr>
          <w:p>
            <w:pPr>
              <w:pStyle w:val="11"/>
            </w:pPr>
            <w:r>
              <w:t>69.43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55.53</w:t>
            </w:r>
          </w:p>
        </w:tc>
        <w:tc>
          <w:tcPr>
            <w:tcW w:w="1134" w:type="dxa"/>
            <w:vAlign w:val="center"/>
          </w:tcPr>
          <w:p>
            <w:pPr>
              <w:pStyle w:val="11"/>
            </w:pPr>
            <w:r>
              <w:t>55.53</w:t>
            </w:r>
          </w:p>
        </w:tc>
        <w:tc>
          <w:tcPr>
            <w:tcW w:w="1134" w:type="dxa"/>
            <w:vAlign w:val="center"/>
          </w:tcPr>
          <w:p>
            <w:pPr>
              <w:pStyle w:val="11"/>
            </w:pPr>
            <w:r>
              <w:t>55.53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27.77</w:t>
            </w:r>
          </w:p>
        </w:tc>
        <w:tc>
          <w:tcPr>
            <w:tcW w:w="1134" w:type="dxa"/>
            <w:vAlign w:val="center"/>
          </w:tcPr>
          <w:p>
            <w:pPr>
              <w:pStyle w:val="11"/>
            </w:pPr>
            <w:r>
              <w:t>27.77</w:t>
            </w:r>
          </w:p>
        </w:tc>
        <w:tc>
          <w:tcPr>
            <w:tcW w:w="1134" w:type="dxa"/>
            <w:vAlign w:val="center"/>
          </w:tcPr>
          <w:p>
            <w:pPr>
              <w:pStyle w:val="11"/>
            </w:pPr>
            <w:r>
              <w:t>27.77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r>
              <w:t>17.70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r>
              <w:t>37.49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r>
              <w:t>457.89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r>
              <w:t>50.74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716.55</w:t>
            </w:r>
          </w:p>
        </w:tc>
        <w:tc>
          <w:tcPr>
            <w:tcW w:w="1361" w:type="dxa"/>
            <w:vAlign w:val="center"/>
          </w:tcPr>
          <w:p>
            <w:pPr>
              <w:pStyle w:val="15"/>
            </w:pPr>
            <w:r>
              <w:t>695.91</w:t>
            </w:r>
          </w:p>
        </w:tc>
        <w:tc>
          <w:tcPr>
            <w:tcW w:w="1361" w:type="dxa"/>
            <w:vAlign w:val="center"/>
          </w:tcPr>
          <w:p>
            <w:pPr>
              <w:pStyle w:val="15"/>
            </w:pPr>
            <w:r>
              <w:t>20.65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170.44</w:t>
            </w:r>
          </w:p>
        </w:tc>
        <w:tc>
          <w:tcPr>
            <w:tcW w:w="1361" w:type="dxa"/>
            <w:vAlign w:val="center"/>
          </w:tcPr>
          <w:p>
            <w:pPr>
              <w:pStyle w:val="11"/>
            </w:pPr>
            <w:r>
              <w:t>152.74</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152.74</w:t>
            </w:r>
          </w:p>
        </w:tc>
        <w:tc>
          <w:tcPr>
            <w:tcW w:w="1361" w:type="dxa"/>
            <w:vAlign w:val="center"/>
          </w:tcPr>
          <w:p>
            <w:pPr>
              <w:pStyle w:val="11"/>
            </w:pPr>
            <w:r>
              <w:t>152.74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69.43</w:t>
            </w:r>
          </w:p>
        </w:tc>
        <w:tc>
          <w:tcPr>
            <w:tcW w:w="1361" w:type="dxa"/>
            <w:vAlign w:val="center"/>
          </w:tcPr>
          <w:p>
            <w:pPr>
              <w:pStyle w:val="11"/>
            </w:pPr>
            <w:r>
              <w:t>69.43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55.53</w:t>
            </w:r>
          </w:p>
        </w:tc>
        <w:tc>
          <w:tcPr>
            <w:tcW w:w="1361" w:type="dxa"/>
            <w:vAlign w:val="center"/>
          </w:tcPr>
          <w:p>
            <w:pPr>
              <w:pStyle w:val="11"/>
            </w:pPr>
            <w:r>
              <w:t>55.53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27.77</w:t>
            </w:r>
          </w:p>
        </w:tc>
        <w:tc>
          <w:tcPr>
            <w:tcW w:w="1361" w:type="dxa"/>
            <w:vAlign w:val="center"/>
          </w:tcPr>
          <w:p>
            <w:pPr>
              <w:pStyle w:val="11"/>
            </w:pPr>
            <w:r>
              <w:t>27.77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r>
              <w:t>17.70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37.49</w:t>
            </w:r>
          </w:p>
        </w:tc>
        <w:tc>
          <w:tcPr>
            <w:tcW w:w="1361" w:type="dxa"/>
            <w:vAlign w:val="center"/>
          </w:tcPr>
          <w:p>
            <w:pPr>
              <w:pStyle w:val="11"/>
            </w:pPr>
            <w:r>
              <w:t>37.49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457.89</w:t>
            </w:r>
          </w:p>
        </w:tc>
        <w:tc>
          <w:tcPr>
            <w:tcW w:w="1361" w:type="dxa"/>
            <w:vAlign w:val="center"/>
          </w:tcPr>
          <w:p>
            <w:pPr>
              <w:pStyle w:val="11"/>
            </w:pPr>
            <w:r>
              <w:t>454.94</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457.89</w:t>
            </w:r>
          </w:p>
        </w:tc>
        <w:tc>
          <w:tcPr>
            <w:tcW w:w="1361" w:type="dxa"/>
            <w:vAlign w:val="center"/>
          </w:tcPr>
          <w:p>
            <w:pPr>
              <w:pStyle w:val="11"/>
            </w:pPr>
            <w:r>
              <w:t>454.94</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457.89</w:t>
            </w:r>
          </w:p>
        </w:tc>
        <w:tc>
          <w:tcPr>
            <w:tcW w:w="1361" w:type="dxa"/>
            <w:vAlign w:val="center"/>
          </w:tcPr>
          <w:p>
            <w:pPr>
              <w:pStyle w:val="11"/>
            </w:pPr>
            <w:r>
              <w:t>454.94</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50.74</w:t>
            </w:r>
          </w:p>
        </w:tc>
        <w:tc>
          <w:tcPr>
            <w:tcW w:w="1361" w:type="dxa"/>
            <w:vAlign w:val="center"/>
          </w:tcPr>
          <w:p>
            <w:pPr>
              <w:pStyle w:val="11"/>
            </w:pPr>
            <w:r>
              <w:t>50.74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50.74</w:t>
            </w:r>
          </w:p>
        </w:tc>
        <w:tc>
          <w:tcPr>
            <w:tcW w:w="1361" w:type="dxa"/>
            <w:vAlign w:val="center"/>
          </w:tcPr>
          <w:p>
            <w:pPr>
              <w:pStyle w:val="11"/>
            </w:pPr>
            <w:r>
              <w:t>50.74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50.74</w:t>
            </w:r>
          </w:p>
        </w:tc>
        <w:tc>
          <w:tcPr>
            <w:tcW w:w="1361" w:type="dxa"/>
            <w:vAlign w:val="center"/>
          </w:tcPr>
          <w:p>
            <w:pPr>
              <w:pStyle w:val="11"/>
            </w:pPr>
            <w:r>
              <w:t>50.74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716.55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170.44</w:t>
            </w:r>
          </w:p>
        </w:tc>
        <w:tc>
          <w:tcPr>
            <w:tcW w:w="1474" w:type="dxa"/>
            <w:vAlign w:val="center"/>
          </w:tcPr>
          <w:p>
            <w:pPr>
              <w:pStyle w:val="11"/>
            </w:pPr>
            <w:r>
              <w:t>170.44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37.49</w:t>
            </w:r>
          </w:p>
        </w:tc>
        <w:tc>
          <w:tcPr>
            <w:tcW w:w="1474" w:type="dxa"/>
            <w:vAlign w:val="center"/>
          </w:tcPr>
          <w:p>
            <w:pPr>
              <w:pStyle w:val="11"/>
            </w:pPr>
            <w:r>
              <w:t>37.49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457.89</w:t>
            </w:r>
          </w:p>
        </w:tc>
        <w:tc>
          <w:tcPr>
            <w:tcW w:w="1474" w:type="dxa"/>
            <w:vAlign w:val="center"/>
          </w:tcPr>
          <w:p>
            <w:pPr>
              <w:pStyle w:val="11"/>
            </w:pPr>
            <w:r>
              <w:t>457.89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50.74</w:t>
            </w:r>
          </w:p>
        </w:tc>
        <w:tc>
          <w:tcPr>
            <w:tcW w:w="1474" w:type="dxa"/>
            <w:vAlign w:val="center"/>
          </w:tcPr>
          <w:p>
            <w:pPr>
              <w:pStyle w:val="11"/>
            </w:pPr>
            <w:r>
              <w:t>50.74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716.55</w:t>
            </w:r>
          </w:p>
        </w:tc>
        <w:tc>
          <w:tcPr>
            <w:tcW w:w="3402" w:type="dxa"/>
            <w:vAlign w:val="center"/>
          </w:tcPr>
          <w:p>
            <w:pPr>
              <w:pStyle w:val="14"/>
            </w:pPr>
            <w:r>
              <w:t>本年支出合计</w:t>
            </w:r>
          </w:p>
        </w:tc>
        <w:tc>
          <w:tcPr>
            <w:tcW w:w="1474" w:type="dxa"/>
            <w:vAlign w:val="center"/>
          </w:tcPr>
          <w:p>
            <w:pPr>
              <w:pStyle w:val="15"/>
            </w:pPr>
            <w:r>
              <w:t>716.55</w:t>
            </w:r>
          </w:p>
        </w:tc>
        <w:tc>
          <w:tcPr>
            <w:tcW w:w="1474" w:type="dxa"/>
            <w:vAlign w:val="center"/>
          </w:tcPr>
          <w:p>
            <w:pPr>
              <w:pStyle w:val="15"/>
            </w:pPr>
            <w:r>
              <w:t>716.55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716.55</w:t>
            </w:r>
          </w:p>
        </w:tc>
        <w:tc>
          <w:tcPr>
            <w:tcW w:w="3402" w:type="dxa"/>
            <w:vAlign w:val="center"/>
          </w:tcPr>
          <w:p>
            <w:pPr>
              <w:pStyle w:val="14"/>
            </w:pPr>
            <w:r>
              <w:t>支出总计</w:t>
            </w:r>
          </w:p>
        </w:tc>
        <w:tc>
          <w:tcPr>
            <w:tcW w:w="1474" w:type="dxa"/>
            <w:vAlign w:val="center"/>
          </w:tcPr>
          <w:p>
            <w:pPr>
              <w:pStyle w:val="15"/>
            </w:pPr>
            <w:r>
              <w:t>716.55</w:t>
            </w:r>
          </w:p>
        </w:tc>
        <w:tc>
          <w:tcPr>
            <w:tcW w:w="1474" w:type="dxa"/>
            <w:vAlign w:val="center"/>
          </w:tcPr>
          <w:p>
            <w:pPr>
              <w:pStyle w:val="15"/>
            </w:pPr>
            <w:r>
              <w:t>716.55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716.55</w:t>
            </w:r>
          </w:p>
        </w:tc>
        <w:tc>
          <w:tcPr>
            <w:tcW w:w="2551" w:type="dxa"/>
            <w:vAlign w:val="center"/>
          </w:tcPr>
          <w:p>
            <w:pPr>
              <w:pStyle w:val="15"/>
            </w:pPr>
            <w:r>
              <w:t>695.91</w:t>
            </w:r>
          </w:p>
        </w:tc>
        <w:tc>
          <w:tcPr>
            <w:tcW w:w="2551" w:type="dxa"/>
            <w:vAlign w:val="center"/>
          </w:tcPr>
          <w:p>
            <w:pPr>
              <w:pStyle w:val="15"/>
            </w:pPr>
            <w:r>
              <w:t>20.65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170.44</w:t>
            </w:r>
          </w:p>
        </w:tc>
        <w:tc>
          <w:tcPr>
            <w:tcW w:w="2551" w:type="dxa"/>
            <w:vAlign w:val="center"/>
          </w:tcPr>
          <w:p>
            <w:pPr>
              <w:pStyle w:val="11"/>
            </w:pPr>
            <w:r>
              <w:t>152.74</w:t>
            </w:r>
          </w:p>
        </w:tc>
        <w:tc>
          <w:tcPr>
            <w:tcW w:w="2551" w:type="dxa"/>
            <w:vAlign w:val="center"/>
          </w:tcPr>
          <w:p>
            <w:pPr>
              <w:pStyle w:val="11"/>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152.74</w:t>
            </w:r>
          </w:p>
        </w:tc>
        <w:tc>
          <w:tcPr>
            <w:tcW w:w="2551" w:type="dxa"/>
            <w:vAlign w:val="center"/>
          </w:tcPr>
          <w:p>
            <w:pPr>
              <w:pStyle w:val="11"/>
            </w:pPr>
            <w:r>
              <w:t>152.74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69.43</w:t>
            </w:r>
          </w:p>
        </w:tc>
        <w:tc>
          <w:tcPr>
            <w:tcW w:w="2551" w:type="dxa"/>
            <w:vAlign w:val="center"/>
          </w:tcPr>
          <w:p>
            <w:pPr>
              <w:pStyle w:val="11"/>
            </w:pPr>
            <w:r>
              <w:t>69.43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55.53</w:t>
            </w:r>
          </w:p>
        </w:tc>
        <w:tc>
          <w:tcPr>
            <w:tcW w:w="2551" w:type="dxa"/>
            <w:vAlign w:val="center"/>
          </w:tcPr>
          <w:p>
            <w:pPr>
              <w:pStyle w:val="11"/>
            </w:pPr>
            <w:r>
              <w:t>55.53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27.77</w:t>
            </w:r>
          </w:p>
        </w:tc>
        <w:tc>
          <w:tcPr>
            <w:tcW w:w="2551" w:type="dxa"/>
            <w:vAlign w:val="center"/>
          </w:tcPr>
          <w:p>
            <w:pPr>
              <w:pStyle w:val="11"/>
            </w:pPr>
            <w:r>
              <w:t>27.77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17.70</w:t>
            </w:r>
          </w:p>
        </w:tc>
        <w:tc>
          <w:tcPr>
            <w:tcW w:w="2551" w:type="dxa"/>
            <w:vAlign w:val="center"/>
          </w:tcPr>
          <w:p>
            <w:pPr>
              <w:pStyle w:val="11"/>
            </w:pPr>
          </w:p>
        </w:tc>
        <w:tc>
          <w:tcPr>
            <w:tcW w:w="2551" w:type="dxa"/>
            <w:vAlign w:val="center"/>
          </w:tcPr>
          <w:p>
            <w:pPr>
              <w:pStyle w:val="11"/>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17.70</w:t>
            </w:r>
          </w:p>
        </w:tc>
        <w:tc>
          <w:tcPr>
            <w:tcW w:w="2551" w:type="dxa"/>
            <w:vAlign w:val="center"/>
          </w:tcPr>
          <w:p>
            <w:pPr>
              <w:pStyle w:val="11"/>
            </w:pPr>
          </w:p>
        </w:tc>
        <w:tc>
          <w:tcPr>
            <w:tcW w:w="2551" w:type="dxa"/>
            <w:vAlign w:val="center"/>
          </w:tcPr>
          <w:p>
            <w:pPr>
              <w:pStyle w:val="11"/>
            </w:pPr>
            <w:r>
              <w:t>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37.49</w:t>
            </w:r>
          </w:p>
        </w:tc>
        <w:tc>
          <w:tcPr>
            <w:tcW w:w="2551" w:type="dxa"/>
            <w:vAlign w:val="center"/>
          </w:tcPr>
          <w:p>
            <w:pPr>
              <w:pStyle w:val="11"/>
            </w:pPr>
            <w:r>
              <w:t>37.49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457.89</w:t>
            </w:r>
          </w:p>
        </w:tc>
        <w:tc>
          <w:tcPr>
            <w:tcW w:w="2551" w:type="dxa"/>
            <w:vAlign w:val="center"/>
          </w:tcPr>
          <w:p>
            <w:pPr>
              <w:pStyle w:val="11"/>
            </w:pPr>
            <w:r>
              <w:t>454.94</w:t>
            </w:r>
          </w:p>
        </w:tc>
        <w:tc>
          <w:tcPr>
            <w:tcW w:w="2551" w:type="dxa"/>
            <w:vAlign w:val="center"/>
          </w:tcPr>
          <w:p>
            <w:pPr>
              <w:pStyle w:val="11"/>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457.89</w:t>
            </w:r>
          </w:p>
        </w:tc>
        <w:tc>
          <w:tcPr>
            <w:tcW w:w="2551" w:type="dxa"/>
            <w:vAlign w:val="center"/>
          </w:tcPr>
          <w:p>
            <w:pPr>
              <w:pStyle w:val="11"/>
            </w:pPr>
            <w:r>
              <w:t>454.94</w:t>
            </w:r>
          </w:p>
        </w:tc>
        <w:tc>
          <w:tcPr>
            <w:tcW w:w="2551" w:type="dxa"/>
            <w:vAlign w:val="center"/>
          </w:tcPr>
          <w:p>
            <w:pPr>
              <w:pStyle w:val="11"/>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457.89</w:t>
            </w:r>
          </w:p>
        </w:tc>
        <w:tc>
          <w:tcPr>
            <w:tcW w:w="2551" w:type="dxa"/>
            <w:vAlign w:val="center"/>
          </w:tcPr>
          <w:p>
            <w:pPr>
              <w:pStyle w:val="11"/>
            </w:pPr>
            <w:r>
              <w:t>454.94</w:t>
            </w:r>
          </w:p>
        </w:tc>
        <w:tc>
          <w:tcPr>
            <w:tcW w:w="2551" w:type="dxa"/>
            <w:vAlign w:val="center"/>
          </w:tcPr>
          <w:p>
            <w:pPr>
              <w:pStyle w:val="11"/>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50.74</w:t>
            </w:r>
          </w:p>
        </w:tc>
        <w:tc>
          <w:tcPr>
            <w:tcW w:w="2551" w:type="dxa"/>
            <w:vAlign w:val="center"/>
          </w:tcPr>
          <w:p>
            <w:pPr>
              <w:pStyle w:val="11"/>
            </w:pPr>
            <w:r>
              <w:t>50.74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50.74</w:t>
            </w:r>
          </w:p>
        </w:tc>
        <w:tc>
          <w:tcPr>
            <w:tcW w:w="2551" w:type="dxa"/>
            <w:vAlign w:val="center"/>
          </w:tcPr>
          <w:p>
            <w:pPr>
              <w:pStyle w:val="11"/>
            </w:pPr>
            <w:r>
              <w:t>50.74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50.74</w:t>
            </w:r>
          </w:p>
        </w:tc>
        <w:tc>
          <w:tcPr>
            <w:tcW w:w="2551" w:type="dxa"/>
            <w:vAlign w:val="center"/>
          </w:tcPr>
          <w:p>
            <w:pPr>
              <w:pStyle w:val="11"/>
            </w:pPr>
            <w:r>
              <w:t>50.74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695.91</w:t>
            </w:r>
          </w:p>
        </w:tc>
        <w:tc>
          <w:tcPr>
            <w:tcW w:w="2551" w:type="dxa"/>
            <w:vAlign w:val="center"/>
          </w:tcPr>
          <w:p>
            <w:pPr>
              <w:pStyle w:val="15"/>
            </w:pPr>
            <w:r>
              <w:t>667.59</w:t>
            </w:r>
          </w:p>
        </w:tc>
        <w:tc>
          <w:tcPr>
            <w:tcW w:w="2551" w:type="dxa"/>
            <w:vAlign w:val="center"/>
          </w:tcPr>
          <w:p>
            <w:pPr>
              <w:pStyle w:val="15"/>
            </w:pPr>
            <w:r>
              <w:t>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597.86</w:t>
            </w:r>
          </w:p>
        </w:tc>
        <w:tc>
          <w:tcPr>
            <w:tcW w:w="2551" w:type="dxa"/>
            <w:vAlign w:val="center"/>
          </w:tcPr>
          <w:p>
            <w:pPr>
              <w:pStyle w:val="11"/>
            </w:pPr>
            <w:r>
              <w:t>597.86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162.97</w:t>
            </w:r>
          </w:p>
        </w:tc>
        <w:tc>
          <w:tcPr>
            <w:tcW w:w="2551" w:type="dxa"/>
            <w:vAlign w:val="center"/>
          </w:tcPr>
          <w:p>
            <w:pPr>
              <w:pStyle w:val="11"/>
            </w:pPr>
            <w:r>
              <w:t>162.97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231.16</w:t>
            </w:r>
          </w:p>
        </w:tc>
        <w:tc>
          <w:tcPr>
            <w:tcW w:w="2551" w:type="dxa"/>
            <w:vAlign w:val="center"/>
          </w:tcPr>
          <w:p>
            <w:pPr>
              <w:pStyle w:val="11"/>
            </w:pPr>
            <w:r>
              <w:t>231.16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55.53</w:t>
            </w:r>
          </w:p>
        </w:tc>
        <w:tc>
          <w:tcPr>
            <w:tcW w:w="2551" w:type="dxa"/>
            <w:vAlign w:val="center"/>
          </w:tcPr>
          <w:p>
            <w:pPr>
              <w:pStyle w:val="11"/>
            </w:pPr>
            <w:r>
              <w:t>55.53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27.77</w:t>
            </w:r>
          </w:p>
        </w:tc>
        <w:tc>
          <w:tcPr>
            <w:tcW w:w="2551" w:type="dxa"/>
            <w:vAlign w:val="center"/>
          </w:tcPr>
          <w:p>
            <w:pPr>
              <w:pStyle w:val="11"/>
            </w:pPr>
            <w:r>
              <w:t>27.77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20.08</w:t>
            </w:r>
          </w:p>
        </w:tc>
        <w:tc>
          <w:tcPr>
            <w:tcW w:w="2551" w:type="dxa"/>
            <w:vAlign w:val="center"/>
          </w:tcPr>
          <w:p>
            <w:pPr>
              <w:pStyle w:val="11"/>
            </w:pPr>
            <w:r>
              <w:t>20.08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17.41</w:t>
            </w:r>
          </w:p>
        </w:tc>
        <w:tc>
          <w:tcPr>
            <w:tcW w:w="2551" w:type="dxa"/>
            <w:vAlign w:val="center"/>
          </w:tcPr>
          <w:p>
            <w:pPr>
              <w:pStyle w:val="11"/>
            </w:pPr>
            <w:r>
              <w:t>17.41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50.74</w:t>
            </w:r>
          </w:p>
        </w:tc>
        <w:tc>
          <w:tcPr>
            <w:tcW w:w="2551" w:type="dxa"/>
            <w:vAlign w:val="center"/>
          </w:tcPr>
          <w:p>
            <w:pPr>
              <w:pStyle w:val="11"/>
            </w:pPr>
            <w:r>
              <w:t>50.74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28.32</w:t>
            </w:r>
          </w:p>
        </w:tc>
        <w:tc>
          <w:tcPr>
            <w:tcW w:w="2551" w:type="dxa"/>
            <w:vAlign w:val="center"/>
          </w:tcPr>
          <w:p>
            <w:pPr>
              <w:pStyle w:val="11"/>
            </w:pPr>
          </w:p>
        </w:tc>
        <w:tc>
          <w:tcPr>
            <w:tcW w:w="2551" w:type="dxa"/>
            <w:vAlign w:val="center"/>
          </w:tcPr>
          <w:p>
            <w:pPr>
              <w:pStyle w:val="11"/>
            </w:pPr>
            <w:r>
              <w:t>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19.20</w:t>
            </w:r>
          </w:p>
        </w:tc>
        <w:tc>
          <w:tcPr>
            <w:tcW w:w="2551" w:type="dxa"/>
            <w:vAlign w:val="center"/>
          </w:tcPr>
          <w:p>
            <w:pPr>
              <w:pStyle w:val="11"/>
            </w:pPr>
          </w:p>
        </w:tc>
        <w:tc>
          <w:tcPr>
            <w:tcW w:w="2551" w:type="dxa"/>
            <w:vAlign w:val="center"/>
          </w:tcPr>
          <w:p>
            <w:pPr>
              <w:pStyle w:val="11"/>
            </w:pPr>
            <w:r>
              <w:t>19.20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3.19</w:t>
            </w:r>
          </w:p>
        </w:tc>
        <w:tc>
          <w:tcPr>
            <w:tcW w:w="2551" w:type="dxa"/>
            <w:vAlign w:val="center"/>
          </w:tcPr>
          <w:p>
            <w:pPr>
              <w:pStyle w:val="11"/>
            </w:pPr>
          </w:p>
        </w:tc>
        <w:tc>
          <w:tcPr>
            <w:tcW w:w="2551" w:type="dxa"/>
            <w:vAlign w:val="center"/>
          </w:tcPr>
          <w:p>
            <w:pPr>
              <w:pStyle w:val="11"/>
            </w:pPr>
            <w:r>
              <w:t>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5.92</w:t>
            </w:r>
          </w:p>
        </w:tc>
        <w:tc>
          <w:tcPr>
            <w:tcW w:w="2551" w:type="dxa"/>
            <w:vAlign w:val="center"/>
          </w:tcPr>
          <w:p>
            <w:pPr>
              <w:pStyle w:val="11"/>
            </w:pPr>
          </w:p>
        </w:tc>
        <w:tc>
          <w:tcPr>
            <w:tcW w:w="2551" w:type="dxa"/>
            <w:vAlign w:val="center"/>
          </w:tcPr>
          <w:p>
            <w:pPr>
              <w:pStyle w:val="11"/>
            </w:pPr>
            <w:r>
              <w:t>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69.73</w:t>
            </w:r>
          </w:p>
        </w:tc>
        <w:tc>
          <w:tcPr>
            <w:tcW w:w="2551" w:type="dxa"/>
            <w:vAlign w:val="center"/>
          </w:tcPr>
          <w:p>
            <w:pPr>
              <w:pStyle w:val="11"/>
            </w:pPr>
            <w:r>
              <w:t>69.73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69.20</w:t>
            </w:r>
          </w:p>
        </w:tc>
        <w:tc>
          <w:tcPr>
            <w:tcW w:w="2551" w:type="dxa"/>
            <w:vAlign w:val="center"/>
          </w:tcPr>
          <w:p>
            <w:pPr>
              <w:pStyle w:val="11"/>
            </w:pPr>
            <w:r>
              <w:t>69.20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0.53</w:t>
            </w:r>
          </w:p>
        </w:tc>
        <w:tc>
          <w:tcPr>
            <w:tcW w:w="2551" w:type="dxa"/>
            <w:vAlign w:val="center"/>
          </w:tcPr>
          <w:p>
            <w:pPr>
              <w:pStyle w:val="11"/>
            </w:pPr>
            <w:r>
              <w:t>0.53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石家庄市鹿泉区供热服务中心2026年单位预算信息公开情况说明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按照《中华人民共和国预算法》、《地方预决算公开操作规程》和《关于进一步推进预算公开工作的实施意见》规定，现将石家庄市鹿泉区供热服务中心2026年单位预算公开如下：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为供热与应急处置提供技术服务保障； 负责供热项目的建设管理、协调等相关事务性工作。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石家庄市鹿泉区供热服务中心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716.55万元，其中：一般公共预算收入716.55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供热服务中心年度单位预算中支出预算的总体情况。2026年支出预算716.55万元，其中基本支出695.91万元，包括人员经费667.59万元和日常公用经费28.32万元；项目支出20.65万元，主要为三个项目。1.租车0.406万元，归还上年欠款。2.区综合指挥调度中心云视频系统费用2.04万元，及设备维修保养费0.5万元。3.三名涉军派遣人员工资及社保17.7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2026年预算收支安排716.55万元，较2025年预算减少8.63万元，其中：基本支出增加0.62万元，主要为人员经费支出增加项目支出减少9.25万元，主要为减少公车租赁支出。预计下年使用的单位资金结余增加0.00万元。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2026年，我单位机关运行经费共计安排28.32万元，主要用于日常维修、办公用房水电费、办公用房取暖费、办公用房物业管理费等日常运行支出。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rPr>
          <w:rFonts w:hint="eastAsia"/>
        </w:rPr>
        <w:t>2026年，我单位财政拨款“三公”经费预算安排0.00万元，其中因公出国（境）费0.00万元； 公务用车购置及运维费0.00万元（其中：公务用车购置费为0.00万元，公务用车运维费0.00万元)； 公务接待费0.00万元。与2025年相比增加0.00万元</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1、2026年度租赁服务用车绩效目标表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13011026P00156410571H</w:t>
            </w:r>
          </w:p>
        </w:tc>
        <w:tc>
          <w:tcPr>
            <w:tcW w:w="2835" w:type="dxa"/>
            <w:vAlign w:val="center"/>
          </w:tcPr>
          <w:p>
            <w:pPr>
              <w:pStyle w:val="10"/>
            </w:pPr>
            <w:r>
              <w:t>项目名称</w:t>
            </w:r>
          </w:p>
        </w:tc>
        <w:tc>
          <w:tcPr>
            <w:tcW w:w="6095" w:type="dxa"/>
            <w:gridSpan w:val="3"/>
            <w:vAlign w:val="center"/>
          </w:tcPr>
          <w:p>
            <w:pPr>
              <w:pStyle w:val="12"/>
            </w:pPr>
            <w:r>
              <w:t>2026年度租赁服务用车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0.41</w:t>
            </w:r>
          </w:p>
        </w:tc>
        <w:tc>
          <w:tcPr>
            <w:tcW w:w="2835" w:type="dxa"/>
            <w:vAlign w:val="center"/>
          </w:tcPr>
          <w:p>
            <w:pPr>
              <w:pStyle w:val="10"/>
            </w:pPr>
            <w:r>
              <w:t>其中：财政    资金</w:t>
            </w:r>
          </w:p>
        </w:tc>
        <w:tc>
          <w:tcPr>
            <w:tcW w:w="2551" w:type="dxa"/>
            <w:vAlign w:val="center"/>
          </w:tcPr>
          <w:p>
            <w:pPr>
              <w:pStyle w:val="12"/>
            </w:pPr>
            <w:r>
              <w:t>0.41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2026年底租赁服务用车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1.2026年底租赁服务用车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租车数量</w:t>
            </w:r>
          </w:p>
        </w:tc>
        <w:tc>
          <w:tcPr>
            <w:tcW w:w="5386" w:type="dxa"/>
            <w:vAlign w:val="center"/>
          </w:tcPr>
          <w:p>
            <w:pPr>
              <w:pStyle w:val="12"/>
            </w:pPr>
            <w:r>
              <w:t>租赁车辆的数量</w:t>
            </w:r>
          </w:p>
        </w:tc>
        <w:tc>
          <w:tcPr>
            <w:tcW w:w="2268" w:type="dxa"/>
            <w:vAlign w:val="center"/>
          </w:tcPr>
          <w:p>
            <w:pPr>
              <w:pStyle w:val="12"/>
            </w:pPr>
            <w:r>
              <w:t>2辆</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租赁车辆质量情况</w:t>
            </w:r>
          </w:p>
        </w:tc>
        <w:tc>
          <w:tcPr>
            <w:tcW w:w="5386" w:type="dxa"/>
            <w:vAlign w:val="center"/>
          </w:tcPr>
          <w:p>
            <w:pPr>
              <w:pStyle w:val="12"/>
            </w:pPr>
            <w:r>
              <w:t>车辆各项设施齐全完整运转正常</w:t>
            </w:r>
          </w:p>
        </w:tc>
        <w:tc>
          <w:tcPr>
            <w:tcW w:w="2268" w:type="dxa"/>
            <w:vAlign w:val="center"/>
          </w:tcPr>
          <w:p>
            <w:pPr>
              <w:pStyle w:val="12"/>
            </w:pPr>
            <w:r>
              <w:t xml:space="preserve">设施齐全 运转正常 </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车辆租赁合同签订日期</w:t>
            </w:r>
          </w:p>
        </w:tc>
        <w:tc>
          <w:tcPr>
            <w:tcW w:w="2268" w:type="dxa"/>
            <w:vAlign w:val="center"/>
          </w:tcPr>
          <w:p>
            <w:pPr>
              <w:pStyle w:val="12"/>
            </w:pPr>
            <w:r>
              <w:t>根据上级批示时间不同</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租赁车辆的年度租赁费</w:t>
            </w:r>
          </w:p>
        </w:tc>
        <w:tc>
          <w:tcPr>
            <w:tcW w:w="5386" w:type="dxa"/>
            <w:vAlign w:val="center"/>
          </w:tcPr>
          <w:p>
            <w:pPr>
              <w:pStyle w:val="12"/>
            </w:pPr>
            <w:r>
              <w:t>车辆的年度租赁费</w:t>
            </w:r>
          </w:p>
        </w:tc>
        <w:tc>
          <w:tcPr>
            <w:tcW w:w="2268" w:type="dxa"/>
            <w:vAlign w:val="center"/>
          </w:tcPr>
          <w:p>
            <w:pPr>
              <w:pStyle w:val="12"/>
            </w:pPr>
            <w:r>
              <w:t>≤12万元</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完成供热安全生产的督导、“冬病夏治”检修、大气污染防治及解决用热投诉</w:t>
            </w:r>
          </w:p>
        </w:tc>
        <w:tc>
          <w:tcPr>
            <w:tcW w:w="5386" w:type="dxa"/>
            <w:vAlign w:val="center"/>
          </w:tcPr>
          <w:p>
            <w:pPr>
              <w:pStyle w:val="12"/>
            </w:pPr>
            <w:r>
              <w:t>租赁2辆车辆保障供热安全生产的督导、“冬病夏治”检修、大气污染防治及解决用热投诉等。</w:t>
            </w:r>
          </w:p>
        </w:tc>
        <w:tc>
          <w:tcPr>
            <w:tcW w:w="2268" w:type="dxa"/>
            <w:vAlign w:val="center"/>
          </w:tcPr>
          <w:p>
            <w:pPr>
              <w:pStyle w:val="12"/>
            </w:pPr>
            <w:r>
              <w:t>保障供热安全生产的督导、“冬病夏治”检修、大气污染防治及解决用热投诉等。</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车辆租赁期限</w:t>
            </w:r>
          </w:p>
        </w:tc>
        <w:tc>
          <w:tcPr>
            <w:tcW w:w="2268" w:type="dxa"/>
            <w:vAlign w:val="center"/>
          </w:tcPr>
          <w:p>
            <w:pPr>
              <w:pStyle w:val="12"/>
            </w:pPr>
            <w:r>
              <w:t>≥1年</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车辆使用人员满意程度</w:t>
            </w:r>
          </w:p>
        </w:tc>
        <w:tc>
          <w:tcPr>
            <w:tcW w:w="5386" w:type="dxa"/>
            <w:vAlign w:val="center"/>
          </w:tcPr>
          <w:p>
            <w:pPr>
              <w:pStyle w:val="12"/>
            </w:pPr>
            <w:r>
              <w:t>车辆使用人员满意程度</w:t>
            </w:r>
          </w:p>
        </w:tc>
        <w:tc>
          <w:tcPr>
            <w:tcW w:w="2268" w:type="dxa"/>
            <w:vAlign w:val="center"/>
          </w:tcPr>
          <w:p>
            <w:pPr>
              <w:pStyle w:val="12"/>
            </w:pPr>
            <w:r>
              <w:t>≥95%</w:t>
            </w:r>
          </w:p>
        </w:tc>
        <w:tc>
          <w:tcPr>
            <w:tcW w:w="1276" w:type="dxa"/>
            <w:vAlign w:val="center"/>
          </w:tcPr>
          <w:p>
            <w:pPr>
              <w:pStyle w:val="12"/>
            </w:pPr>
            <w:r>
              <w:t>合同约定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13011026P00156410573Q</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17.70</w:t>
            </w:r>
          </w:p>
        </w:tc>
        <w:tc>
          <w:tcPr>
            <w:tcW w:w="2835" w:type="dxa"/>
            <w:vAlign w:val="center"/>
          </w:tcPr>
          <w:p>
            <w:pPr>
              <w:pStyle w:val="10"/>
            </w:pPr>
            <w:r>
              <w:t>其中：财政    资金</w:t>
            </w:r>
          </w:p>
        </w:tc>
        <w:tc>
          <w:tcPr>
            <w:tcW w:w="2551" w:type="dxa"/>
            <w:vAlign w:val="center"/>
          </w:tcPr>
          <w:p>
            <w:pPr>
              <w:pStyle w:val="12"/>
            </w:pPr>
            <w:r>
              <w:t>17.70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1.2026年涉军人员工资及社保</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退役军人工资实际发放人数</w:t>
            </w:r>
          </w:p>
        </w:tc>
        <w:tc>
          <w:tcPr>
            <w:tcW w:w="2268" w:type="dxa"/>
            <w:vAlign w:val="center"/>
          </w:tcPr>
          <w:p>
            <w:pPr>
              <w:pStyle w:val="12"/>
            </w:pPr>
            <w:r>
              <w:t>3人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5386" w:type="dxa"/>
            <w:vAlign w:val="center"/>
          </w:tcPr>
          <w:p>
            <w:pPr>
              <w:pStyle w:val="12"/>
            </w:pPr>
            <w:r>
              <w:t>退役军人工资发放完成率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5386" w:type="dxa"/>
            <w:vAlign w:val="center"/>
          </w:tcPr>
          <w:p>
            <w:pPr>
              <w:pStyle w:val="12"/>
            </w:pPr>
            <w:r>
              <w:t>每月按时发放退役军人工资占实际发放金额的比率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月均财政发放标准</w:t>
            </w:r>
          </w:p>
        </w:tc>
        <w:tc>
          <w:tcPr>
            <w:tcW w:w="5386" w:type="dxa"/>
            <w:vAlign w:val="center"/>
          </w:tcPr>
          <w:p>
            <w:pPr>
              <w:pStyle w:val="12"/>
            </w:pPr>
            <w:r>
              <w:t>退役军人月均财政发放工资标准</w:t>
            </w:r>
          </w:p>
        </w:tc>
        <w:tc>
          <w:tcPr>
            <w:tcW w:w="2268" w:type="dxa"/>
            <w:vAlign w:val="center"/>
          </w:tcPr>
          <w:p>
            <w:pPr>
              <w:pStyle w:val="12"/>
            </w:pPr>
            <w:r>
              <w:t>按规定发放</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帮扶救助就业困难人数</w:t>
            </w:r>
          </w:p>
        </w:tc>
        <w:tc>
          <w:tcPr>
            <w:tcW w:w="5386" w:type="dxa"/>
            <w:vAlign w:val="center"/>
          </w:tcPr>
          <w:p>
            <w:pPr>
              <w:pStyle w:val="12"/>
            </w:pPr>
            <w:r>
              <w:t>实际帮扶救助退役军人数</w:t>
            </w:r>
          </w:p>
        </w:tc>
        <w:tc>
          <w:tcPr>
            <w:tcW w:w="2268" w:type="dxa"/>
            <w:vAlign w:val="center"/>
          </w:tcPr>
          <w:p>
            <w:pPr>
              <w:pStyle w:val="12"/>
            </w:pPr>
            <w:r>
              <w:t>3人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退役军人补贴发放的年限</w:t>
            </w:r>
          </w:p>
        </w:tc>
        <w:tc>
          <w:tcPr>
            <w:tcW w:w="5386" w:type="dxa"/>
            <w:vAlign w:val="center"/>
          </w:tcPr>
          <w:p>
            <w:pPr>
              <w:pStyle w:val="12"/>
            </w:pPr>
            <w:r>
              <w:t>退役军人补贴发放的年限</w:t>
            </w:r>
          </w:p>
        </w:tc>
        <w:tc>
          <w:tcPr>
            <w:tcW w:w="2268" w:type="dxa"/>
            <w:vAlign w:val="center"/>
          </w:tcPr>
          <w:p>
            <w:pPr>
              <w:pStyle w:val="12"/>
            </w:pPr>
            <w:r>
              <w:t>≥5年</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退役军人对补贴发放的满意度</w:t>
            </w:r>
          </w:p>
        </w:tc>
        <w:tc>
          <w:tcPr>
            <w:tcW w:w="5386" w:type="dxa"/>
            <w:vAlign w:val="center"/>
          </w:tcPr>
          <w:p>
            <w:pPr>
              <w:pStyle w:val="12"/>
            </w:pPr>
            <w:r>
              <w:t>退役军人对补贴发放的满意程度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3、区供热综合调度指挥中心2026年度费用绩效目标表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13011026P001564105777</w:t>
            </w:r>
          </w:p>
        </w:tc>
        <w:tc>
          <w:tcPr>
            <w:tcW w:w="2835" w:type="dxa"/>
            <w:vAlign w:val="center"/>
          </w:tcPr>
          <w:p>
            <w:pPr>
              <w:pStyle w:val="10"/>
            </w:pPr>
            <w:r>
              <w:t>项目名称</w:t>
            </w:r>
          </w:p>
        </w:tc>
        <w:tc>
          <w:tcPr>
            <w:tcW w:w="6095" w:type="dxa"/>
            <w:gridSpan w:val="3"/>
            <w:vAlign w:val="center"/>
          </w:tcPr>
          <w:p>
            <w:pPr>
              <w:pStyle w:val="12"/>
            </w:pPr>
            <w:r>
              <w:t>区供热综合调度指挥中心2026年度费用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2.54</w:t>
            </w:r>
          </w:p>
        </w:tc>
        <w:tc>
          <w:tcPr>
            <w:tcW w:w="2835" w:type="dxa"/>
            <w:vAlign w:val="center"/>
          </w:tcPr>
          <w:p>
            <w:pPr>
              <w:pStyle w:val="10"/>
            </w:pPr>
            <w:r>
              <w:t>其中：财政    资金</w:t>
            </w:r>
          </w:p>
        </w:tc>
        <w:tc>
          <w:tcPr>
            <w:tcW w:w="2551" w:type="dxa"/>
            <w:vAlign w:val="center"/>
          </w:tcPr>
          <w:p>
            <w:pPr>
              <w:pStyle w:val="12"/>
            </w:pPr>
            <w:r>
              <w:t>2.54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区供热综合指挥调度中心2026年度费用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1.区供热综合指挥调度中心2026年度费用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会议视频系统一套</w:t>
            </w:r>
          </w:p>
        </w:tc>
        <w:tc>
          <w:tcPr>
            <w:tcW w:w="5386" w:type="dxa"/>
            <w:vAlign w:val="center"/>
          </w:tcPr>
          <w:p>
            <w:pPr>
              <w:pStyle w:val="12"/>
            </w:pPr>
            <w:r>
              <w:t>会议视频系统一套</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系统稳定性</w:t>
            </w:r>
          </w:p>
        </w:tc>
        <w:tc>
          <w:tcPr>
            <w:tcW w:w="5386" w:type="dxa"/>
            <w:vAlign w:val="center"/>
          </w:tcPr>
          <w:p>
            <w:pPr>
              <w:pStyle w:val="12"/>
            </w:pPr>
            <w:r>
              <w:t>出故障的时间占总时间的比例</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处理故障时间</w:t>
            </w:r>
          </w:p>
        </w:tc>
        <w:tc>
          <w:tcPr>
            <w:tcW w:w="5386" w:type="dxa"/>
            <w:vAlign w:val="center"/>
          </w:tcPr>
          <w:p>
            <w:pPr>
              <w:pStyle w:val="12"/>
            </w:pPr>
            <w:r>
              <w:t>故障处理的时间</w:t>
            </w:r>
          </w:p>
        </w:tc>
        <w:tc>
          <w:tcPr>
            <w:tcW w:w="2268" w:type="dxa"/>
            <w:vAlign w:val="center"/>
          </w:tcPr>
          <w:p>
            <w:pPr>
              <w:pStyle w:val="12"/>
            </w:pPr>
            <w:r>
              <w:t>≤2小时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视频系统成本</w:t>
            </w:r>
          </w:p>
        </w:tc>
        <w:tc>
          <w:tcPr>
            <w:tcW w:w="5386" w:type="dxa"/>
            <w:vAlign w:val="center"/>
          </w:tcPr>
          <w:p>
            <w:pPr>
              <w:pStyle w:val="12"/>
            </w:pPr>
            <w:r>
              <w:t>视频系统成本</w:t>
            </w:r>
          </w:p>
        </w:tc>
        <w:tc>
          <w:tcPr>
            <w:tcW w:w="2268" w:type="dxa"/>
            <w:vAlign w:val="center"/>
          </w:tcPr>
          <w:p>
            <w:pPr>
              <w:pStyle w:val="12"/>
            </w:pPr>
            <w:r>
              <w:t>≤1.8万元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提高供热质量</w:t>
            </w:r>
          </w:p>
        </w:tc>
        <w:tc>
          <w:tcPr>
            <w:tcW w:w="5386" w:type="dxa"/>
            <w:vAlign w:val="center"/>
          </w:tcPr>
          <w:p>
            <w:pPr>
              <w:pStyle w:val="12"/>
            </w:pPr>
            <w:r>
              <w:t>提高供热质量</w:t>
            </w:r>
          </w:p>
        </w:tc>
        <w:tc>
          <w:tcPr>
            <w:tcW w:w="2268" w:type="dxa"/>
            <w:vAlign w:val="center"/>
          </w:tcPr>
          <w:p>
            <w:pPr>
              <w:pStyle w:val="12"/>
            </w:pPr>
            <w:r>
              <w:t>提高供热质量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供热调度指挥中心使用的期限</w:t>
            </w:r>
          </w:p>
        </w:tc>
        <w:tc>
          <w:tcPr>
            <w:tcW w:w="5386" w:type="dxa"/>
            <w:vAlign w:val="center"/>
          </w:tcPr>
          <w:p>
            <w:pPr>
              <w:pStyle w:val="12"/>
            </w:pPr>
            <w:r>
              <w:t>供热调度指挥中心使用的期限</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供热调度指挥中心使用者的满意度</w:t>
            </w:r>
          </w:p>
        </w:tc>
        <w:tc>
          <w:tcPr>
            <w:tcW w:w="5386" w:type="dxa"/>
            <w:vAlign w:val="center"/>
          </w:tcPr>
          <w:p>
            <w:pPr>
              <w:pStyle w:val="12"/>
            </w:pPr>
            <w:r>
              <w:t>供热调度指挥中心使用者的满意度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8.30</w:t>
            </w:r>
          </w:p>
        </w:tc>
        <w:tc>
          <w:tcPr>
            <w:tcW w:w="964" w:type="dxa"/>
            <w:vAlign w:val="center"/>
          </w:tcPr>
          <w:p>
            <w:pPr>
              <w:pStyle w:val="15"/>
            </w:pPr>
            <w:r>
              <w:t>8.30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石家庄市鹿泉区供热服务中心小计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8.30</w:t>
            </w:r>
          </w:p>
        </w:tc>
        <w:tc>
          <w:tcPr>
            <w:tcW w:w="964" w:type="dxa"/>
            <w:vAlign w:val="center"/>
          </w:tcPr>
          <w:p>
            <w:pPr>
              <w:pStyle w:val="15"/>
            </w:pPr>
            <w:r>
              <w:t>8.30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0.20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0.40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17</w:t>
            </w:r>
          </w:p>
        </w:tc>
        <w:tc>
          <w:tcPr>
            <w:tcW w:w="850" w:type="dxa"/>
            <w:vAlign w:val="center"/>
          </w:tcPr>
          <w:p>
            <w:pPr>
              <w:pStyle w:val="11"/>
            </w:pPr>
            <w:r>
              <w:t>0.19</w:t>
            </w:r>
          </w:p>
        </w:tc>
        <w:tc>
          <w:tcPr>
            <w:tcW w:w="964" w:type="dxa"/>
            <w:vAlign w:val="center"/>
          </w:tcPr>
          <w:p>
            <w:pPr>
              <w:pStyle w:val="11"/>
            </w:pPr>
            <w:r>
              <w:t>3.15</w:t>
            </w:r>
          </w:p>
        </w:tc>
        <w:tc>
          <w:tcPr>
            <w:tcW w:w="964" w:type="dxa"/>
            <w:vAlign w:val="center"/>
          </w:tcPr>
          <w:p>
            <w:pPr>
              <w:pStyle w:val="11"/>
            </w:pPr>
            <w:r>
              <w:t>3.15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1.35</w:t>
            </w:r>
          </w:p>
        </w:tc>
        <w:tc>
          <w:tcPr>
            <w:tcW w:w="964" w:type="dxa"/>
            <w:vAlign w:val="center"/>
          </w:tcPr>
          <w:p>
            <w:pPr>
              <w:pStyle w:val="11"/>
            </w:pPr>
            <w:r>
              <w:t>1.35</w:t>
            </w:r>
          </w:p>
        </w:tc>
        <w:tc>
          <w:tcPr>
            <w:tcW w:w="964" w:type="dxa"/>
            <w:vAlign w:val="center"/>
          </w:tcPr>
          <w:p>
            <w:pPr>
              <w:pStyle w:val="11"/>
            </w:pPr>
            <w:r>
              <w:t>1.35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19.20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7</w:t>
            </w:r>
          </w:p>
        </w:tc>
        <w:tc>
          <w:tcPr>
            <w:tcW w:w="850" w:type="dxa"/>
            <w:vAlign w:val="center"/>
          </w:tcPr>
          <w:p>
            <w:pPr>
              <w:pStyle w:val="11"/>
            </w:pPr>
            <w:r>
              <w:t>0.10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石家庄市鹿泉区供热服务中心上年末固定资产金额为12.83万元（详见下表）。本年度拟购置固定资产总额为8.30万元，已按要求列入政府采购预算，详见政府采购预算表。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566007石家庄市鹿泉区供热服务中心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22</w:t>
            </w:r>
          </w:p>
        </w:tc>
        <w:tc>
          <w:tcPr>
            <w:tcW w:w="2835" w:type="dxa"/>
            <w:vAlign w:val="center"/>
          </w:tcPr>
          <w:p>
            <w:pPr>
              <w:pStyle w:val="11"/>
            </w:pPr>
            <w:r>
              <w:t>12.83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FF1F38"/>
    <w:rsid w:val="092D6BB4"/>
    <w:rsid w:val="106B3668"/>
    <w:rsid w:val="167B1E8C"/>
    <w:rsid w:val="18353EDF"/>
    <w:rsid w:val="2EB768E2"/>
    <w:rsid w:val="4A314C3C"/>
    <w:rsid w:val="4D16251C"/>
    <w:rsid w:val="4F324E7E"/>
    <w:rsid w:val="4F9C7B3D"/>
    <w:rsid w:val="54F13D19"/>
    <w:rsid w:val="5A81155B"/>
    <w:rsid w:val="69937A15"/>
    <w:rsid w:val="73757306"/>
    <w:rsid w:val="79896D7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188</Pages>
  <TotalTime>3</TotalTime>
  <ScaleCrop>false</ScaleCrop>
  <LinksUpToDate>false</LinksUpToDate>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2026-03-11T10:49:00Z</dcterms:created>
  <dc:creator>Administrator</dc:creator>
  <cp:lastModifiedBy>Administrator</cp:lastModifiedBy>
  <dcterms:modified xsi:type="dcterms:W3CDTF">2026-03-19T01:52:58Z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3EF7DB32C68B4E41B3350140FE6D8706</vt:lpwstr>
  </property>
</Properties>
</file>