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一、石家庄市鹿泉区人民法院本级收支预算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一、石家庄市鹿泉区人民法院本级收支预算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152.06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152.06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152.06</w:t>
            </w:r>
          </w:p>
        </w:tc>
        <w:tc>
          <w:tcPr>
            <w:tcW w:w="4535" w:type="dxa"/>
            <w:vAlign w:val="center"/>
          </w:tcPr>
          <w:p>
            <w:pPr>
              <w:pStyle w:val="14"/>
            </w:pPr>
            <w:r>
              <w:t>本年支出合计</w:t>
            </w:r>
          </w:p>
        </w:tc>
        <w:tc>
          <w:tcPr>
            <w:tcW w:w="2126" w:type="dxa"/>
            <w:vAlign w:val="center"/>
          </w:tcPr>
          <w:p>
            <w:pPr>
              <w:pStyle w:val="15"/>
            </w:pPr>
            <w:r>
              <w:t>152.06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152.06</w:t>
            </w:r>
          </w:p>
        </w:tc>
        <w:tc>
          <w:tcPr>
            <w:tcW w:w="4535" w:type="dxa"/>
            <w:vAlign w:val="center"/>
          </w:tcPr>
          <w:p>
            <w:pPr>
              <w:pStyle w:val="14"/>
            </w:pPr>
            <w:r>
              <w:t>支出总计</w:t>
            </w:r>
          </w:p>
        </w:tc>
        <w:tc>
          <w:tcPr>
            <w:tcW w:w="2126" w:type="dxa"/>
            <w:vAlign w:val="center"/>
          </w:tcPr>
          <w:p>
            <w:pPr>
              <w:pStyle w:val="15"/>
            </w:pPr>
            <w:r>
              <w:t>152.06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152.06</w:t>
            </w:r>
          </w:p>
        </w:tc>
        <w:tc>
          <w:tcPr>
            <w:tcW w:w="1134" w:type="dxa"/>
            <w:vAlign w:val="center"/>
          </w:tcPr>
          <w:p>
            <w:pPr>
              <w:pStyle w:val="15"/>
            </w:pPr>
            <w:r>
              <w:t>152.06</w:t>
            </w:r>
          </w:p>
        </w:tc>
        <w:tc>
          <w:tcPr>
            <w:tcW w:w="1134" w:type="dxa"/>
            <w:vAlign w:val="center"/>
          </w:tcPr>
          <w:p>
            <w:pPr>
              <w:pStyle w:val="15"/>
            </w:pPr>
            <w:r>
              <w:t>152.06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152.06</w:t>
            </w:r>
          </w:p>
        </w:tc>
        <w:tc>
          <w:tcPr>
            <w:tcW w:w="1134" w:type="dxa"/>
            <w:vAlign w:val="center"/>
          </w:tcPr>
          <w:p>
            <w:pPr>
              <w:pStyle w:val="11"/>
            </w:pPr>
            <w:r>
              <w:t>152.06</w:t>
            </w:r>
          </w:p>
        </w:tc>
        <w:tc>
          <w:tcPr>
            <w:tcW w:w="1134" w:type="dxa"/>
            <w:vAlign w:val="center"/>
          </w:tcPr>
          <w:p>
            <w:pPr>
              <w:pStyle w:val="11"/>
            </w:pPr>
            <w:r>
              <w:t>152.06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20405</w:t>
            </w:r>
          </w:p>
        </w:tc>
        <w:tc>
          <w:tcPr>
            <w:tcW w:w="1559" w:type="dxa"/>
            <w:vAlign w:val="center"/>
          </w:tcPr>
          <w:p>
            <w:pPr>
              <w:pStyle w:val="12"/>
            </w:pPr>
            <w:r>
              <w:t>法院</w:t>
            </w:r>
          </w:p>
        </w:tc>
        <w:tc>
          <w:tcPr>
            <w:tcW w:w="1134" w:type="dxa"/>
            <w:vAlign w:val="center"/>
          </w:tcPr>
          <w:p>
            <w:pPr>
              <w:pStyle w:val="11"/>
            </w:pPr>
            <w:r>
              <w:t>152.06</w:t>
            </w:r>
          </w:p>
        </w:tc>
        <w:tc>
          <w:tcPr>
            <w:tcW w:w="1134" w:type="dxa"/>
            <w:vAlign w:val="center"/>
          </w:tcPr>
          <w:p>
            <w:pPr>
              <w:pStyle w:val="11"/>
            </w:pPr>
            <w:r>
              <w:t>152.06</w:t>
            </w:r>
          </w:p>
        </w:tc>
        <w:tc>
          <w:tcPr>
            <w:tcW w:w="1134" w:type="dxa"/>
            <w:vAlign w:val="center"/>
          </w:tcPr>
          <w:p>
            <w:pPr>
              <w:pStyle w:val="11"/>
            </w:pPr>
            <w:r>
              <w:t>152.06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2040502</w:t>
            </w:r>
          </w:p>
        </w:tc>
        <w:tc>
          <w:tcPr>
            <w:tcW w:w="1559" w:type="dxa"/>
            <w:vAlign w:val="center"/>
          </w:tcPr>
          <w:p>
            <w:pPr>
              <w:pStyle w:val="12"/>
            </w:pPr>
            <w:r>
              <w:t>一般行政管理事务</w:t>
            </w:r>
          </w:p>
        </w:tc>
        <w:tc>
          <w:tcPr>
            <w:tcW w:w="1134" w:type="dxa"/>
            <w:vAlign w:val="center"/>
          </w:tcPr>
          <w:p>
            <w:pPr>
              <w:pStyle w:val="11"/>
            </w:pPr>
            <w:r>
              <w:t>152.06</w:t>
            </w:r>
          </w:p>
        </w:tc>
        <w:tc>
          <w:tcPr>
            <w:tcW w:w="1134" w:type="dxa"/>
            <w:vAlign w:val="center"/>
          </w:tcPr>
          <w:p>
            <w:pPr>
              <w:pStyle w:val="11"/>
            </w:pPr>
            <w:r>
              <w:t>152.06</w:t>
            </w:r>
          </w:p>
        </w:tc>
        <w:tc>
          <w:tcPr>
            <w:tcW w:w="1134" w:type="dxa"/>
            <w:vAlign w:val="center"/>
          </w:tcPr>
          <w:p>
            <w:pPr>
              <w:pStyle w:val="11"/>
            </w:pPr>
            <w:r>
              <w:t>152.06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152.06</w:t>
            </w:r>
          </w:p>
        </w:tc>
        <w:tc>
          <w:tcPr>
            <w:tcW w:w="1361" w:type="dxa"/>
            <w:vAlign w:val="center"/>
          </w:tcPr>
          <w:p>
            <w:pPr>
              <w:pStyle w:val="15"/>
            </w:pPr>
          </w:p>
        </w:tc>
        <w:tc>
          <w:tcPr>
            <w:tcW w:w="1361" w:type="dxa"/>
            <w:vAlign w:val="center"/>
          </w:tcPr>
          <w:p>
            <w:pPr>
              <w:pStyle w:val="15"/>
            </w:pPr>
            <w:r>
              <w:t>152.06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152.06</w:t>
            </w:r>
          </w:p>
        </w:tc>
        <w:tc>
          <w:tcPr>
            <w:tcW w:w="1361" w:type="dxa"/>
            <w:vAlign w:val="center"/>
          </w:tcPr>
          <w:p>
            <w:pPr>
              <w:pStyle w:val="11"/>
            </w:pPr>
          </w:p>
        </w:tc>
        <w:tc>
          <w:tcPr>
            <w:tcW w:w="1361" w:type="dxa"/>
            <w:vAlign w:val="center"/>
          </w:tcPr>
          <w:p>
            <w:pPr>
              <w:pStyle w:val="11"/>
            </w:pPr>
            <w:r>
              <w:t>152.06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20405</w:t>
            </w:r>
          </w:p>
        </w:tc>
        <w:tc>
          <w:tcPr>
            <w:tcW w:w="4535" w:type="dxa"/>
            <w:vAlign w:val="center"/>
          </w:tcPr>
          <w:p>
            <w:pPr>
              <w:pStyle w:val="12"/>
            </w:pPr>
            <w:r>
              <w:t>法院</w:t>
            </w:r>
          </w:p>
        </w:tc>
        <w:tc>
          <w:tcPr>
            <w:tcW w:w="1361" w:type="dxa"/>
            <w:vAlign w:val="center"/>
          </w:tcPr>
          <w:p>
            <w:pPr>
              <w:pStyle w:val="11"/>
            </w:pPr>
            <w:r>
              <w:t>152.06</w:t>
            </w:r>
          </w:p>
        </w:tc>
        <w:tc>
          <w:tcPr>
            <w:tcW w:w="1361" w:type="dxa"/>
            <w:vAlign w:val="center"/>
          </w:tcPr>
          <w:p>
            <w:pPr>
              <w:pStyle w:val="11"/>
            </w:pPr>
          </w:p>
        </w:tc>
        <w:tc>
          <w:tcPr>
            <w:tcW w:w="1361" w:type="dxa"/>
            <w:vAlign w:val="center"/>
          </w:tcPr>
          <w:p>
            <w:pPr>
              <w:pStyle w:val="11"/>
            </w:pPr>
            <w:r>
              <w:t>152.06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2040502</w:t>
            </w:r>
          </w:p>
        </w:tc>
        <w:tc>
          <w:tcPr>
            <w:tcW w:w="4535" w:type="dxa"/>
            <w:vAlign w:val="center"/>
          </w:tcPr>
          <w:p>
            <w:pPr>
              <w:pStyle w:val="12"/>
            </w:pPr>
            <w:r>
              <w:t>一般行政管理事务</w:t>
            </w:r>
          </w:p>
        </w:tc>
        <w:tc>
          <w:tcPr>
            <w:tcW w:w="1361" w:type="dxa"/>
            <w:vAlign w:val="center"/>
          </w:tcPr>
          <w:p>
            <w:pPr>
              <w:pStyle w:val="11"/>
            </w:pPr>
            <w:r>
              <w:t>152.06</w:t>
            </w:r>
          </w:p>
        </w:tc>
        <w:tc>
          <w:tcPr>
            <w:tcW w:w="1361" w:type="dxa"/>
            <w:vAlign w:val="center"/>
          </w:tcPr>
          <w:p>
            <w:pPr>
              <w:pStyle w:val="11"/>
            </w:pPr>
          </w:p>
        </w:tc>
        <w:tc>
          <w:tcPr>
            <w:tcW w:w="1361" w:type="dxa"/>
            <w:vAlign w:val="center"/>
          </w:tcPr>
          <w:p>
            <w:pPr>
              <w:pStyle w:val="11"/>
            </w:pPr>
            <w:r>
              <w:t>152.06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152.06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152.06</w:t>
            </w:r>
          </w:p>
        </w:tc>
        <w:tc>
          <w:tcPr>
            <w:tcW w:w="1474" w:type="dxa"/>
            <w:vAlign w:val="center"/>
          </w:tcPr>
          <w:p>
            <w:pPr>
              <w:pStyle w:val="11"/>
            </w:pPr>
            <w:r>
              <w:t>152.06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152.06</w:t>
            </w:r>
          </w:p>
        </w:tc>
        <w:tc>
          <w:tcPr>
            <w:tcW w:w="3402" w:type="dxa"/>
            <w:vAlign w:val="center"/>
          </w:tcPr>
          <w:p>
            <w:pPr>
              <w:pStyle w:val="14"/>
            </w:pPr>
            <w:r>
              <w:t>本年支出合计</w:t>
            </w:r>
          </w:p>
        </w:tc>
        <w:tc>
          <w:tcPr>
            <w:tcW w:w="1474" w:type="dxa"/>
            <w:vAlign w:val="center"/>
          </w:tcPr>
          <w:p>
            <w:pPr>
              <w:pStyle w:val="15"/>
            </w:pPr>
            <w:r>
              <w:t>152.06</w:t>
            </w:r>
          </w:p>
        </w:tc>
        <w:tc>
          <w:tcPr>
            <w:tcW w:w="1474" w:type="dxa"/>
            <w:vAlign w:val="center"/>
          </w:tcPr>
          <w:p>
            <w:pPr>
              <w:pStyle w:val="15"/>
            </w:pPr>
            <w:r>
              <w:t>152.06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152.06</w:t>
            </w:r>
          </w:p>
        </w:tc>
        <w:tc>
          <w:tcPr>
            <w:tcW w:w="3402" w:type="dxa"/>
            <w:vAlign w:val="center"/>
          </w:tcPr>
          <w:p>
            <w:pPr>
              <w:pStyle w:val="14"/>
            </w:pPr>
            <w:r>
              <w:t>支出总计</w:t>
            </w:r>
          </w:p>
        </w:tc>
        <w:tc>
          <w:tcPr>
            <w:tcW w:w="1474" w:type="dxa"/>
            <w:vAlign w:val="center"/>
          </w:tcPr>
          <w:p>
            <w:pPr>
              <w:pStyle w:val="15"/>
            </w:pPr>
            <w:r>
              <w:t>152.06</w:t>
            </w:r>
          </w:p>
        </w:tc>
        <w:tc>
          <w:tcPr>
            <w:tcW w:w="1474" w:type="dxa"/>
            <w:vAlign w:val="center"/>
          </w:tcPr>
          <w:p>
            <w:pPr>
              <w:pStyle w:val="15"/>
            </w:pPr>
            <w:r>
              <w:t>152.06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152.06</w:t>
            </w:r>
          </w:p>
        </w:tc>
        <w:tc>
          <w:tcPr>
            <w:tcW w:w="2551" w:type="dxa"/>
            <w:vAlign w:val="center"/>
          </w:tcPr>
          <w:p>
            <w:pPr>
              <w:pStyle w:val="15"/>
            </w:pPr>
          </w:p>
        </w:tc>
        <w:tc>
          <w:tcPr>
            <w:tcW w:w="2551" w:type="dxa"/>
            <w:vAlign w:val="center"/>
          </w:tcPr>
          <w:p>
            <w:pPr>
              <w:pStyle w:val="15"/>
            </w:pPr>
            <w:r>
              <w:t>152.06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152.06</w:t>
            </w:r>
          </w:p>
        </w:tc>
        <w:tc>
          <w:tcPr>
            <w:tcW w:w="2551" w:type="dxa"/>
            <w:vAlign w:val="center"/>
          </w:tcPr>
          <w:p>
            <w:pPr>
              <w:pStyle w:val="11"/>
            </w:pPr>
          </w:p>
        </w:tc>
        <w:tc>
          <w:tcPr>
            <w:tcW w:w="2551" w:type="dxa"/>
            <w:vAlign w:val="center"/>
          </w:tcPr>
          <w:p>
            <w:pPr>
              <w:pStyle w:val="11"/>
            </w:pPr>
            <w:r>
              <w:t>152.06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20405</w:t>
            </w:r>
          </w:p>
        </w:tc>
        <w:tc>
          <w:tcPr>
            <w:tcW w:w="4535" w:type="dxa"/>
            <w:vAlign w:val="center"/>
          </w:tcPr>
          <w:p>
            <w:pPr>
              <w:pStyle w:val="12"/>
            </w:pPr>
            <w:r>
              <w:t>法院</w:t>
            </w:r>
          </w:p>
        </w:tc>
        <w:tc>
          <w:tcPr>
            <w:tcW w:w="2551" w:type="dxa"/>
            <w:vAlign w:val="center"/>
          </w:tcPr>
          <w:p>
            <w:pPr>
              <w:pStyle w:val="11"/>
            </w:pPr>
            <w:r>
              <w:t>152.06</w:t>
            </w:r>
          </w:p>
        </w:tc>
        <w:tc>
          <w:tcPr>
            <w:tcW w:w="2551" w:type="dxa"/>
            <w:vAlign w:val="center"/>
          </w:tcPr>
          <w:p>
            <w:pPr>
              <w:pStyle w:val="11"/>
            </w:pPr>
          </w:p>
        </w:tc>
        <w:tc>
          <w:tcPr>
            <w:tcW w:w="2551" w:type="dxa"/>
            <w:vAlign w:val="center"/>
          </w:tcPr>
          <w:p>
            <w:pPr>
              <w:pStyle w:val="11"/>
            </w:pPr>
            <w:r>
              <w:t>152.06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2040502</w:t>
            </w:r>
          </w:p>
        </w:tc>
        <w:tc>
          <w:tcPr>
            <w:tcW w:w="4535" w:type="dxa"/>
            <w:vAlign w:val="center"/>
          </w:tcPr>
          <w:p>
            <w:pPr>
              <w:pStyle w:val="12"/>
            </w:pPr>
            <w:r>
              <w:t>一般行政管理事务</w:t>
            </w:r>
          </w:p>
        </w:tc>
        <w:tc>
          <w:tcPr>
            <w:tcW w:w="2551" w:type="dxa"/>
            <w:vAlign w:val="center"/>
          </w:tcPr>
          <w:p>
            <w:pPr>
              <w:pStyle w:val="11"/>
            </w:pPr>
            <w:r>
              <w:t>152.06</w:t>
            </w:r>
          </w:p>
        </w:tc>
        <w:tc>
          <w:tcPr>
            <w:tcW w:w="2551" w:type="dxa"/>
            <w:vAlign w:val="center"/>
          </w:tcPr>
          <w:p>
            <w:pPr>
              <w:pStyle w:val="11"/>
            </w:pPr>
          </w:p>
        </w:tc>
        <w:tc>
          <w:tcPr>
            <w:tcW w:w="2551" w:type="dxa"/>
            <w:vAlign w:val="center"/>
          </w:tcPr>
          <w:p>
            <w:pPr>
              <w:pStyle w:val="11"/>
            </w:pPr>
            <w:r>
              <w:t>152.06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石家庄市鹿泉区人民法院本级2026年单位预算信息公开情况说明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按照《中华人民共和国预算法》、《地方预决算公开操作规程》和《关于进一步推进预算公开工作的实施意见》规定，现将石家庄市鹿泉区人民法院本级2026年单位预算公开如下：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（一)深入贯彻习近平新时代中国特色社会主义思想，深入贯彻党的路线方针政策和决策部署，坚持党对法院工作的绝对领导，坚决维护习近平总书记的核心地位，坚决维护党中央权威和集中统一领导。 </w:t>
      </w:r>
    </w:p>
    <w:p>
      <w:pPr>
        <w:pStyle w:val="17"/>
      </w:pPr>
      <w:r>
        <w:t xml:space="preserve">（二)依法审判法律规定由鹿泉区人民法院管辖的刑事、民事、行政等第一审案件。 </w:t>
      </w:r>
    </w:p>
    <w:p>
      <w:pPr>
        <w:pStyle w:val="17"/>
      </w:pPr>
      <w:r>
        <w:t xml:space="preserve">（三）依法审判上级人民法院指定、同级人民法院移送的刑事、民事、行政等第一审案件。 </w:t>
      </w:r>
    </w:p>
    <w:p>
      <w:pPr>
        <w:pStyle w:val="17"/>
      </w:pPr>
      <w:r>
        <w:t xml:space="preserve">（四）审查和受理各类申诉案件，审判各类再审案件，处理来信来访。 </w:t>
      </w:r>
    </w:p>
    <w:p>
      <w:pPr>
        <w:pStyle w:val="17"/>
      </w:pPr>
      <w:r>
        <w:t xml:space="preserve">（五）依法办理发生法律效力的民事、行政案件判决和裁定执行事项及刑事案件判决和裁定中关于财产部分的执行事 </w:t>
      </w:r>
    </w:p>
    <w:p>
      <w:pPr>
        <w:pStyle w:val="17"/>
      </w:pPr>
      <w:r>
        <w:t xml:space="preserve">项；办理法律规定由基层人民法院执行的其他法律文书的执行事项。 </w:t>
      </w:r>
    </w:p>
    <w:p>
      <w:pPr>
        <w:pStyle w:val="17"/>
      </w:pPr>
      <w:r>
        <w:t xml:space="preserve">（六）负责审判工作的调查研究，总结审判工作经验。 </w:t>
      </w:r>
    </w:p>
    <w:p>
      <w:pPr>
        <w:pStyle w:val="17"/>
      </w:pPr>
      <w:r>
        <w:t xml:space="preserve">（七）负责干警思想政治教育和业务培训工作；按照权限管理法官和其他工作人员。 </w:t>
      </w:r>
    </w:p>
    <w:p>
      <w:pPr>
        <w:pStyle w:val="17"/>
      </w:pPr>
      <w:r>
        <w:t xml:space="preserve">（八）管理有关经费及物资装备。 </w:t>
      </w:r>
    </w:p>
    <w:p>
      <w:pPr>
        <w:pStyle w:val="17"/>
      </w:pPr>
      <w:r>
        <w:t xml:space="preserve">（九）负责司法鉴定、通讯、计算机等技术管理工作。 </w:t>
      </w:r>
    </w:p>
    <w:p>
      <w:pPr>
        <w:pStyle w:val="17"/>
      </w:pPr>
      <w:r>
        <w:t>（十）负责审判工作中的法制宣传，教育公民忠于祖国，自觉遵守宪法、法律和社会公德。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石家庄市鹿泉区人民法院本级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152.06万元，其中：一般公共预算收入152.06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人民法院本级年度单位预算中支出预算的总体情况。2026年支出预算152.06万元，其中基本支出0.00万元，包括人员经费0.00万元和日常公用经费0.00万元；项目支出152.06万元，主要为诉源治理经费、审判辅助性工作经费、案件送达事务外包经费、专职调解员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2026年预算收支安排152.06万元，较2025年预算减少176.46万元，其中：基本支出增加0.00万元，主要为无项目支出减少176.46万元，主要为一般行政管理事务。预计下年使用的单位资金结余增加0.00万元。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1、案件送达服务外包绩效目标表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13011026P003230101806</w:t>
            </w:r>
          </w:p>
        </w:tc>
        <w:tc>
          <w:tcPr>
            <w:tcW w:w="2835" w:type="dxa"/>
            <w:vAlign w:val="center"/>
          </w:tcPr>
          <w:p>
            <w:pPr>
              <w:pStyle w:val="10"/>
            </w:pPr>
            <w:r>
              <w:t>项目名称</w:t>
            </w:r>
          </w:p>
        </w:tc>
        <w:tc>
          <w:tcPr>
            <w:tcW w:w="6095" w:type="dxa"/>
            <w:gridSpan w:val="3"/>
            <w:vAlign w:val="center"/>
          </w:tcPr>
          <w:p>
            <w:pPr>
              <w:pStyle w:val="12"/>
            </w:pPr>
            <w:r>
              <w:t>案件送达服务外包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案件送达服务外包经费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1.提高案件办理质量，增加公信力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服务案件数量</w:t>
            </w:r>
          </w:p>
        </w:tc>
        <w:tc>
          <w:tcPr>
            <w:tcW w:w="5386" w:type="dxa"/>
            <w:vAlign w:val="center"/>
          </w:tcPr>
          <w:p>
            <w:pPr>
              <w:pStyle w:val="12"/>
            </w:pPr>
            <w:r>
              <w:t>服务案件数量</w:t>
            </w:r>
          </w:p>
        </w:tc>
        <w:tc>
          <w:tcPr>
            <w:tcW w:w="2268" w:type="dxa"/>
            <w:vAlign w:val="center"/>
          </w:tcPr>
          <w:p>
            <w:pPr>
              <w:pStyle w:val="12"/>
            </w:pPr>
            <w:r>
              <w:t>≥17000件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辅助人员年度考核率</w:t>
            </w:r>
          </w:p>
        </w:tc>
        <w:tc>
          <w:tcPr>
            <w:tcW w:w="5386" w:type="dxa"/>
            <w:vAlign w:val="center"/>
          </w:tcPr>
          <w:p>
            <w:pPr>
              <w:pStyle w:val="12"/>
            </w:pPr>
            <w:r>
              <w:t>辅助人员年度考核率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送达及时率</w:t>
            </w:r>
          </w:p>
        </w:tc>
        <w:tc>
          <w:tcPr>
            <w:tcW w:w="5386" w:type="dxa"/>
            <w:vAlign w:val="center"/>
          </w:tcPr>
          <w:p>
            <w:pPr>
              <w:pStyle w:val="12"/>
            </w:pPr>
            <w:r>
              <w:t>送达及时率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总支出成本</w:t>
            </w:r>
          </w:p>
        </w:tc>
        <w:tc>
          <w:tcPr>
            <w:tcW w:w="5386" w:type="dxa"/>
            <w:vAlign w:val="center"/>
          </w:tcPr>
          <w:p>
            <w:pPr>
              <w:pStyle w:val="12"/>
            </w:pPr>
            <w:r>
              <w:t>总支出成本</w:t>
            </w:r>
          </w:p>
        </w:tc>
        <w:tc>
          <w:tcPr>
            <w:tcW w:w="2268" w:type="dxa"/>
            <w:vAlign w:val="center"/>
          </w:tcPr>
          <w:p>
            <w:pPr>
              <w:pStyle w:val="12"/>
            </w:pPr>
            <w:r>
              <w:t>≤40万元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进一步促进社会和谐</w:t>
            </w:r>
          </w:p>
        </w:tc>
        <w:tc>
          <w:tcPr>
            <w:tcW w:w="5386" w:type="dxa"/>
            <w:vAlign w:val="center"/>
          </w:tcPr>
          <w:p>
            <w:pPr>
              <w:pStyle w:val="12"/>
            </w:pPr>
            <w:r>
              <w:t>进一步促进社会和谐</w:t>
            </w:r>
          </w:p>
        </w:tc>
        <w:tc>
          <w:tcPr>
            <w:tcW w:w="2268" w:type="dxa"/>
            <w:vAlign w:val="center"/>
          </w:tcPr>
          <w:p>
            <w:pPr>
              <w:pStyle w:val="12"/>
            </w:pPr>
            <w:r>
              <w:t>较上年增长</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案件质量提高</w:t>
            </w:r>
          </w:p>
        </w:tc>
        <w:tc>
          <w:tcPr>
            <w:tcW w:w="5386" w:type="dxa"/>
            <w:vAlign w:val="center"/>
          </w:tcPr>
          <w:p>
            <w:pPr>
              <w:pStyle w:val="12"/>
            </w:pPr>
            <w:r>
              <w:t>案件质量提高</w:t>
            </w:r>
          </w:p>
        </w:tc>
        <w:tc>
          <w:tcPr>
            <w:tcW w:w="2268" w:type="dxa"/>
            <w:vAlign w:val="center"/>
          </w:tcPr>
          <w:p>
            <w:pPr>
              <w:pStyle w:val="12"/>
            </w:pPr>
            <w:r>
              <w:t>较上年提高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2、审判辅助事务性工作绩效目标表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13011026P00323010179T</w:t>
            </w:r>
          </w:p>
        </w:tc>
        <w:tc>
          <w:tcPr>
            <w:tcW w:w="2835" w:type="dxa"/>
            <w:vAlign w:val="center"/>
          </w:tcPr>
          <w:p>
            <w:pPr>
              <w:pStyle w:val="10"/>
            </w:pPr>
            <w:r>
              <w:t>项目名称</w:t>
            </w:r>
          </w:p>
        </w:tc>
        <w:tc>
          <w:tcPr>
            <w:tcW w:w="6095" w:type="dxa"/>
            <w:gridSpan w:val="3"/>
            <w:vAlign w:val="center"/>
          </w:tcPr>
          <w:p>
            <w:pPr>
              <w:pStyle w:val="12"/>
            </w:pPr>
            <w:r>
              <w:t>审判辅助事务性工作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审判辅助事务外包经费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1.审判辅助事务性工作，提高审判质量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服务案件数量</w:t>
            </w:r>
          </w:p>
        </w:tc>
        <w:tc>
          <w:tcPr>
            <w:tcW w:w="5386" w:type="dxa"/>
            <w:vAlign w:val="center"/>
          </w:tcPr>
          <w:p>
            <w:pPr>
              <w:pStyle w:val="12"/>
            </w:pPr>
            <w:r>
              <w:t>服务案件数量</w:t>
            </w:r>
          </w:p>
        </w:tc>
        <w:tc>
          <w:tcPr>
            <w:tcW w:w="2268" w:type="dxa"/>
            <w:vAlign w:val="center"/>
          </w:tcPr>
          <w:p>
            <w:pPr>
              <w:pStyle w:val="12"/>
            </w:pPr>
            <w:r>
              <w:t>≥17000件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辅助人员年度考核率</w:t>
            </w:r>
          </w:p>
        </w:tc>
        <w:tc>
          <w:tcPr>
            <w:tcW w:w="5386" w:type="dxa"/>
            <w:vAlign w:val="center"/>
          </w:tcPr>
          <w:p>
            <w:pPr>
              <w:pStyle w:val="12"/>
            </w:pPr>
            <w:r>
              <w:t>辅助人员年度考核率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送达及时率</w:t>
            </w:r>
          </w:p>
        </w:tc>
        <w:tc>
          <w:tcPr>
            <w:tcW w:w="5386" w:type="dxa"/>
            <w:vAlign w:val="center"/>
          </w:tcPr>
          <w:p>
            <w:pPr>
              <w:pStyle w:val="12"/>
            </w:pPr>
            <w:r>
              <w:t>送达及时率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总支出成本</w:t>
            </w:r>
          </w:p>
        </w:tc>
        <w:tc>
          <w:tcPr>
            <w:tcW w:w="5386" w:type="dxa"/>
            <w:vAlign w:val="center"/>
          </w:tcPr>
          <w:p>
            <w:pPr>
              <w:pStyle w:val="12"/>
            </w:pPr>
            <w:r>
              <w:t>总支出成本</w:t>
            </w:r>
          </w:p>
        </w:tc>
        <w:tc>
          <w:tcPr>
            <w:tcW w:w="2268" w:type="dxa"/>
            <w:vAlign w:val="center"/>
          </w:tcPr>
          <w:p>
            <w:pPr>
              <w:pStyle w:val="12"/>
            </w:pPr>
            <w:r>
              <w:t>≤40万元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进一步促进社会和谐</w:t>
            </w:r>
          </w:p>
        </w:tc>
        <w:tc>
          <w:tcPr>
            <w:tcW w:w="5386" w:type="dxa"/>
            <w:vAlign w:val="center"/>
          </w:tcPr>
          <w:p>
            <w:pPr>
              <w:pStyle w:val="12"/>
            </w:pPr>
            <w:r>
              <w:t>进一步促进社会和谐</w:t>
            </w:r>
          </w:p>
        </w:tc>
        <w:tc>
          <w:tcPr>
            <w:tcW w:w="2268" w:type="dxa"/>
            <w:vAlign w:val="center"/>
          </w:tcPr>
          <w:p>
            <w:pPr>
              <w:pStyle w:val="12"/>
            </w:pPr>
            <w:r>
              <w:t>较上年增长</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案件质量提高</w:t>
            </w:r>
          </w:p>
        </w:tc>
        <w:tc>
          <w:tcPr>
            <w:tcW w:w="5386" w:type="dxa"/>
            <w:vAlign w:val="center"/>
          </w:tcPr>
          <w:p>
            <w:pPr>
              <w:pStyle w:val="12"/>
            </w:pPr>
            <w:r>
              <w:t>案件质量提高</w:t>
            </w:r>
          </w:p>
        </w:tc>
        <w:tc>
          <w:tcPr>
            <w:tcW w:w="2268" w:type="dxa"/>
            <w:vAlign w:val="center"/>
          </w:tcPr>
          <w:p>
            <w:pPr>
              <w:pStyle w:val="12"/>
            </w:pPr>
            <w:r>
              <w:t>较上年提高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3、诉源治理经费绩效目标表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13011026P003230101787</w:t>
            </w:r>
          </w:p>
        </w:tc>
        <w:tc>
          <w:tcPr>
            <w:tcW w:w="2835" w:type="dxa"/>
            <w:vAlign w:val="center"/>
          </w:tcPr>
          <w:p>
            <w:pPr>
              <w:pStyle w:val="10"/>
            </w:pPr>
            <w:r>
              <w:t>项目名称</w:t>
            </w:r>
          </w:p>
        </w:tc>
        <w:tc>
          <w:tcPr>
            <w:tcW w:w="6095" w:type="dxa"/>
            <w:gridSpan w:val="3"/>
            <w:vAlign w:val="center"/>
          </w:tcPr>
          <w:p>
            <w:pPr>
              <w:pStyle w:val="12"/>
            </w:pPr>
            <w:r>
              <w:t>诉源治理经费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特邀调解员调解案件补贴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1.特邀调解员调解案件补贴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调解案件量</w:t>
            </w:r>
          </w:p>
        </w:tc>
        <w:tc>
          <w:tcPr>
            <w:tcW w:w="5386" w:type="dxa"/>
            <w:vAlign w:val="center"/>
          </w:tcPr>
          <w:p>
            <w:pPr>
              <w:pStyle w:val="12"/>
            </w:pPr>
            <w:r>
              <w:t>调解案件量</w:t>
            </w:r>
          </w:p>
        </w:tc>
        <w:tc>
          <w:tcPr>
            <w:tcW w:w="2268" w:type="dxa"/>
            <w:vAlign w:val="center"/>
          </w:tcPr>
          <w:p>
            <w:pPr>
              <w:pStyle w:val="12"/>
            </w:pPr>
            <w:r>
              <w:t>≥5000件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案件质量</w:t>
            </w:r>
          </w:p>
        </w:tc>
        <w:tc>
          <w:tcPr>
            <w:tcW w:w="5386" w:type="dxa"/>
            <w:vAlign w:val="center"/>
          </w:tcPr>
          <w:p>
            <w:pPr>
              <w:pStyle w:val="12"/>
            </w:pPr>
            <w:r>
              <w:t>调解案件成功率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法定审限内结案率</w:t>
            </w:r>
          </w:p>
        </w:tc>
        <w:tc>
          <w:tcPr>
            <w:tcW w:w="5386" w:type="dxa"/>
            <w:vAlign w:val="center"/>
          </w:tcPr>
          <w:p>
            <w:pPr>
              <w:pStyle w:val="12"/>
            </w:pPr>
            <w:r>
              <w:t>法定审限内结案率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调解经费成本</w:t>
            </w:r>
          </w:p>
        </w:tc>
        <w:tc>
          <w:tcPr>
            <w:tcW w:w="5386" w:type="dxa"/>
            <w:vAlign w:val="center"/>
          </w:tcPr>
          <w:p>
            <w:pPr>
              <w:pStyle w:val="12"/>
            </w:pPr>
            <w:r>
              <w:t>调解经费成本</w:t>
            </w:r>
          </w:p>
        </w:tc>
        <w:tc>
          <w:tcPr>
            <w:tcW w:w="2268" w:type="dxa"/>
            <w:vAlign w:val="center"/>
          </w:tcPr>
          <w:p>
            <w:pPr>
              <w:pStyle w:val="12"/>
            </w:pPr>
            <w:r>
              <w:t>≤60万元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提高法院形象</w:t>
            </w:r>
          </w:p>
        </w:tc>
        <w:tc>
          <w:tcPr>
            <w:tcW w:w="5386" w:type="dxa"/>
            <w:vAlign w:val="center"/>
          </w:tcPr>
          <w:p>
            <w:pPr>
              <w:pStyle w:val="12"/>
            </w:pPr>
            <w:r>
              <w:t>提高法院形象</w:t>
            </w:r>
          </w:p>
        </w:tc>
        <w:tc>
          <w:tcPr>
            <w:tcW w:w="2268" w:type="dxa"/>
            <w:vAlign w:val="center"/>
          </w:tcPr>
          <w:p>
            <w:pPr>
              <w:pStyle w:val="12"/>
            </w:pPr>
            <w:r>
              <w:t>较以前年度显著提升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推进法治建设</w:t>
            </w:r>
          </w:p>
        </w:tc>
        <w:tc>
          <w:tcPr>
            <w:tcW w:w="5386" w:type="dxa"/>
            <w:vAlign w:val="center"/>
          </w:tcPr>
          <w:p>
            <w:pPr>
              <w:pStyle w:val="12"/>
            </w:pPr>
            <w:r>
              <w:t>推进法院审判质效提升</w:t>
            </w:r>
          </w:p>
        </w:tc>
        <w:tc>
          <w:tcPr>
            <w:tcW w:w="2268" w:type="dxa"/>
            <w:vAlign w:val="center"/>
          </w:tcPr>
          <w:p>
            <w:pPr>
              <w:pStyle w:val="12"/>
            </w:pPr>
            <w:r>
              <w:t>较以前年度显著提升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4、专职调解员经费绩效目标表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13011026P00323010177K</w:t>
            </w:r>
          </w:p>
        </w:tc>
        <w:tc>
          <w:tcPr>
            <w:tcW w:w="2835" w:type="dxa"/>
            <w:vAlign w:val="center"/>
          </w:tcPr>
          <w:p>
            <w:pPr>
              <w:pStyle w:val="10"/>
            </w:pPr>
            <w:r>
              <w:t>项目名称</w:t>
            </w:r>
          </w:p>
        </w:tc>
        <w:tc>
          <w:tcPr>
            <w:tcW w:w="6095" w:type="dxa"/>
            <w:gridSpan w:val="3"/>
            <w:vAlign w:val="center"/>
          </w:tcPr>
          <w:p>
            <w:pPr>
              <w:pStyle w:val="12"/>
            </w:pPr>
            <w:r>
              <w:t>专职调解员经费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22.06</w:t>
            </w:r>
          </w:p>
        </w:tc>
        <w:tc>
          <w:tcPr>
            <w:tcW w:w="2835" w:type="dxa"/>
            <w:vAlign w:val="center"/>
          </w:tcPr>
          <w:p>
            <w:pPr>
              <w:pStyle w:val="10"/>
            </w:pPr>
            <w:r>
              <w:t>其中：财政    资金</w:t>
            </w:r>
          </w:p>
        </w:tc>
        <w:tc>
          <w:tcPr>
            <w:tcW w:w="2551" w:type="dxa"/>
            <w:vAlign w:val="center"/>
          </w:tcPr>
          <w:p>
            <w:pPr>
              <w:pStyle w:val="12"/>
            </w:pPr>
            <w:r>
              <w:t>22.06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专职调解员经费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1."专职调解员经费 基本工资2200元/月，以案定补800元/月，管理费30元/月，保险400元/年 ，共计22.056万元</w:t>
            </w:r>
            <w:r>
              <w:tab/>
            </w:r>
            <w:r>
              <w:tab/>
            </w:r>
            <w:r>
              <w:tab/>
            </w:r>
            <w:r>
              <w:tab/>
            </w:r>
            <w:r>
              <w:tab/>
            </w:r>
            <w:r>
              <w:tab/>
            </w: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调解案件量</w:t>
            </w:r>
          </w:p>
        </w:tc>
        <w:tc>
          <w:tcPr>
            <w:tcW w:w="5386" w:type="dxa"/>
            <w:vAlign w:val="center"/>
          </w:tcPr>
          <w:p>
            <w:pPr>
              <w:pStyle w:val="12"/>
            </w:pPr>
            <w:r>
              <w:t>调解案件量</w:t>
            </w:r>
          </w:p>
        </w:tc>
        <w:tc>
          <w:tcPr>
            <w:tcW w:w="2268" w:type="dxa"/>
            <w:vAlign w:val="center"/>
          </w:tcPr>
          <w:p>
            <w:pPr>
              <w:pStyle w:val="12"/>
            </w:pPr>
            <w:r>
              <w:t>≥5件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案件质量</w:t>
            </w:r>
          </w:p>
        </w:tc>
        <w:tc>
          <w:tcPr>
            <w:tcW w:w="5386" w:type="dxa"/>
            <w:vAlign w:val="center"/>
          </w:tcPr>
          <w:p>
            <w:pPr>
              <w:pStyle w:val="12"/>
            </w:pPr>
            <w:r>
              <w:t>调解案件质量成功率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法定审限内结案率</w:t>
            </w:r>
          </w:p>
        </w:tc>
        <w:tc>
          <w:tcPr>
            <w:tcW w:w="5386" w:type="dxa"/>
            <w:vAlign w:val="center"/>
          </w:tcPr>
          <w:p>
            <w:pPr>
              <w:pStyle w:val="12"/>
            </w:pPr>
            <w:r>
              <w:t>法定审限内结案率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调解经费成本</w:t>
            </w:r>
          </w:p>
        </w:tc>
        <w:tc>
          <w:tcPr>
            <w:tcW w:w="5386" w:type="dxa"/>
            <w:vAlign w:val="center"/>
          </w:tcPr>
          <w:p>
            <w:pPr>
              <w:pStyle w:val="12"/>
            </w:pPr>
            <w:r>
              <w:t>调解经费成本</w:t>
            </w:r>
          </w:p>
        </w:tc>
        <w:tc>
          <w:tcPr>
            <w:tcW w:w="2268" w:type="dxa"/>
            <w:vAlign w:val="center"/>
          </w:tcPr>
          <w:p>
            <w:pPr>
              <w:pStyle w:val="12"/>
            </w:pPr>
            <w:r>
              <w:t>≤22.05元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推进法治建设</w:t>
            </w:r>
          </w:p>
        </w:tc>
        <w:tc>
          <w:tcPr>
            <w:tcW w:w="5386" w:type="dxa"/>
            <w:vAlign w:val="center"/>
          </w:tcPr>
          <w:p>
            <w:pPr>
              <w:pStyle w:val="12"/>
            </w:pPr>
            <w:r>
              <w:t>推进法院审判质效提升</w:t>
            </w:r>
          </w:p>
        </w:tc>
        <w:tc>
          <w:tcPr>
            <w:tcW w:w="2268" w:type="dxa"/>
            <w:vAlign w:val="center"/>
          </w:tcPr>
          <w:p>
            <w:pPr>
              <w:pStyle w:val="12"/>
            </w:pPr>
            <w:r>
              <w:t>较以前年度显著提升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80.00</w:t>
            </w:r>
          </w:p>
        </w:tc>
        <w:tc>
          <w:tcPr>
            <w:tcW w:w="964" w:type="dxa"/>
            <w:vAlign w:val="center"/>
          </w:tcPr>
          <w:p>
            <w:pPr>
              <w:pStyle w:val="15"/>
            </w:pPr>
            <w:r>
              <w:t>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石家庄市鹿泉区人民法院本级小计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80.00</w:t>
            </w:r>
          </w:p>
        </w:tc>
        <w:tc>
          <w:tcPr>
            <w:tcW w:w="964" w:type="dxa"/>
            <w:vAlign w:val="center"/>
          </w:tcPr>
          <w:p>
            <w:pPr>
              <w:pStyle w:val="15"/>
            </w:pPr>
            <w:r>
              <w:t>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案件送达服务外包</w:t>
            </w:r>
          </w:p>
        </w:tc>
        <w:tc>
          <w:tcPr>
            <w:tcW w:w="964" w:type="dxa"/>
            <w:vAlign w:val="center"/>
          </w:tcPr>
          <w:p>
            <w:pPr>
              <w:pStyle w:val="11"/>
            </w:pPr>
            <w:r>
              <w:t>40.00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40.00</w:t>
            </w:r>
          </w:p>
        </w:tc>
        <w:tc>
          <w:tcPr>
            <w:tcW w:w="964" w:type="dxa"/>
            <w:vAlign w:val="center"/>
          </w:tcPr>
          <w:p>
            <w:pPr>
              <w:pStyle w:val="11"/>
            </w:pPr>
            <w:r>
              <w:t>40.00</w:t>
            </w:r>
          </w:p>
        </w:tc>
        <w:tc>
          <w:tcPr>
            <w:tcW w:w="964" w:type="dxa"/>
            <w:vAlign w:val="center"/>
          </w:tcPr>
          <w:p>
            <w:pPr>
              <w:pStyle w:val="11"/>
            </w:pPr>
            <w:r>
              <w:t>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审判辅助事务性工作</w:t>
            </w:r>
          </w:p>
        </w:tc>
        <w:tc>
          <w:tcPr>
            <w:tcW w:w="964" w:type="dxa"/>
            <w:vAlign w:val="center"/>
          </w:tcPr>
          <w:p>
            <w:pPr>
              <w:pStyle w:val="11"/>
            </w:pPr>
            <w:r>
              <w:t>40.00</w:t>
            </w:r>
          </w:p>
        </w:tc>
        <w:tc>
          <w:tcPr>
            <w:tcW w:w="1134" w:type="dxa"/>
            <w:vAlign w:val="center"/>
          </w:tcPr>
          <w:p>
            <w:pPr>
              <w:pStyle w:val="12"/>
            </w:pPr>
            <w:r>
              <w:t>其他法律服务</w:t>
            </w:r>
          </w:p>
        </w:tc>
        <w:tc>
          <w:tcPr>
            <w:tcW w:w="1134" w:type="dxa"/>
            <w:vAlign w:val="center"/>
          </w:tcPr>
          <w:p>
            <w:pPr>
              <w:pStyle w:val="12"/>
            </w:pPr>
            <w:r>
              <w:t>C23019900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40.00</w:t>
            </w:r>
          </w:p>
        </w:tc>
        <w:tc>
          <w:tcPr>
            <w:tcW w:w="964" w:type="dxa"/>
            <w:vAlign w:val="center"/>
          </w:tcPr>
          <w:p>
            <w:pPr>
              <w:pStyle w:val="11"/>
            </w:pPr>
            <w:r>
              <w:t>40.00</w:t>
            </w:r>
          </w:p>
        </w:tc>
        <w:tc>
          <w:tcPr>
            <w:tcW w:w="964" w:type="dxa"/>
            <w:vAlign w:val="center"/>
          </w:tcPr>
          <w:p>
            <w:pPr>
              <w:pStyle w:val="11"/>
            </w:pPr>
            <w:r>
              <w:t>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161001石家庄市鹿泉区人民法院本级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13F688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2026-03-16T14:55:00Z</dcterms:created>
  <dc:creator>CWS</dc:creator>
  <cp:lastModifiedBy>CWS</cp:lastModifiedBy>
  <dcterms:modified xsi:type="dcterms:W3CDTF">2026-03-16T07:05:37Z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ies>
</file>