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2747.52</w:t>
            </w:r>
          </w:p>
        </w:tc>
        <w:tc>
          <w:tcPr>
            <w:tcW w:w="4535" w:type="dxa"/>
            <w:vAlign w:val="center"/>
          </w:tcPr>
          <w:p>
            <w:pPr>
              <w:pStyle w:val="10"/>
            </w:pPr>
            <w:r>
              <w:t>一、一般公共服务支出</w:t>
            </w:r>
          </w:p>
        </w:tc>
        <w:tc>
          <w:tcPr>
            <w:tcW w:w="2126" w:type="dxa"/>
            <w:vAlign w:val="center"/>
          </w:tcPr>
          <w:p>
            <w:pPr>
              <w:pStyle w:val="9"/>
            </w:pPr>
            <w:r>
              <w:t>1946.28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449.78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233.27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2747.52</w:t>
            </w:r>
          </w:p>
        </w:tc>
        <w:tc>
          <w:tcPr>
            <w:tcW w:w="4535" w:type="dxa"/>
            <w:vAlign w:val="center"/>
          </w:tcPr>
          <w:p>
            <w:pPr>
              <w:pStyle w:val="12"/>
            </w:pPr>
            <w:r>
              <w:t>本年支出合计</w:t>
            </w:r>
          </w:p>
        </w:tc>
        <w:tc>
          <w:tcPr>
            <w:tcW w:w="2126" w:type="dxa"/>
            <w:vAlign w:val="center"/>
          </w:tcPr>
          <w:p>
            <w:pPr>
              <w:pStyle w:val="13"/>
            </w:pPr>
            <w:r>
              <w:t>2747.52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2747.52</w:t>
            </w:r>
          </w:p>
        </w:tc>
        <w:tc>
          <w:tcPr>
            <w:tcW w:w="4535" w:type="dxa"/>
            <w:vAlign w:val="center"/>
          </w:tcPr>
          <w:p>
            <w:pPr>
              <w:pStyle w:val="12"/>
            </w:pPr>
            <w:r>
              <w:t>支出总计</w:t>
            </w:r>
          </w:p>
        </w:tc>
        <w:tc>
          <w:tcPr>
            <w:tcW w:w="2126" w:type="dxa"/>
            <w:vAlign w:val="center"/>
          </w:tcPr>
          <w:p>
            <w:pPr>
              <w:pStyle w:val="13"/>
            </w:pPr>
            <w:r>
              <w:t>2747.52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20131</w:t>
            </w:r>
          </w:p>
        </w:tc>
        <w:tc>
          <w:tcPr>
            <w:tcW w:w="1559" w:type="dxa"/>
            <w:vAlign w:val="center"/>
          </w:tcPr>
          <w:p>
            <w:pPr>
              <w:pStyle w:val="10"/>
            </w:pPr>
            <w:r>
              <w:t>党委办公厅（室）及相关机构事务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2013103</w:t>
            </w:r>
          </w:p>
        </w:tc>
        <w:tc>
          <w:tcPr>
            <w:tcW w:w="1559" w:type="dxa"/>
            <w:vAlign w:val="center"/>
          </w:tcPr>
          <w:p>
            <w:pPr>
              <w:pStyle w:val="10"/>
            </w:pPr>
            <w:r>
              <w:t>机关服务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2100410</w:t>
            </w:r>
          </w:p>
        </w:tc>
        <w:tc>
          <w:tcPr>
            <w:tcW w:w="1559" w:type="dxa"/>
            <w:vAlign w:val="center"/>
          </w:tcPr>
          <w:p>
            <w:pPr>
              <w:pStyle w:val="10"/>
            </w:pPr>
            <w:r>
              <w:t>突发公共卫生事件应急处置</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2747.52</w:t>
            </w:r>
          </w:p>
        </w:tc>
        <w:tc>
          <w:tcPr>
            <w:tcW w:w="1361" w:type="dxa"/>
            <w:vAlign w:val="center"/>
          </w:tcPr>
          <w:p>
            <w:pPr>
              <w:pStyle w:val="13"/>
            </w:pPr>
            <w:r>
              <w:t>1868.81</w:t>
            </w:r>
          </w:p>
        </w:tc>
        <w:tc>
          <w:tcPr>
            <w:tcW w:w="1361" w:type="dxa"/>
            <w:vAlign w:val="center"/>
          </w:tcPr>
          <w:p>
            <w:pPr>
              <w:pStyle w:val="13"/>
            </w:pPr>
            <w:r>
              <w:t>878.71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20131</w:t>
            </w:r>
          </w:p>
        </w:tc>
        <w:tc>
          <w:tcPr>
            <w:tcW w:w="4535" w:type="dxa"/>
            <w:vAlign w:val="center"/>
          </w:tcPr>
          <w:p>
            <w:pPr>
              <w:pStyle w:val="10"/>
            </w:pPr>
            <w:r>
              <w:t>党委办公厅（室）及相关机构事务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2013103</w:t>
            </w:r>
          </w:p>
        </w:tc>
        <w:tc>
          <w:tcPr>
            <w:tcW w:w="4535" w:type="dxa"/>
            <w:vAlign w:val="center"/>
          </w:tcPr>
          <w:p>
            <w:pPr>
              <w:pStyle w:val="10"/>
            </w:pPr>
            <w:r>
              <w:t>机关服务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449.78</w:t>
            </w:r>
          </w:p>
        </w:tc>
        <w:tc>
          <w:tcPr>
            <w:tcW w:w="1361" w:type="dxa"/>
            <w:vAlign w:val="center"/>
          </w:tcPr>
          <w:p>
            <w:pPr>
              <w:pStyle w:val="9"/>
            </w:pPr>
            <w:r>
              <w:t>403.67</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403.67</w:t>
            </w:r>
          </w:p>
        </w:tc>
        <w:tc>
          <w:tcPr>
            <w:tcW w:w="1361" w:type="dxa"/>
            <w:vAlign w:val="center"/>
          </w:tcPr>
          <w:p>
            <w:pPr>
              <w:pStyle w:val="9"/>
            </w:pPr>
            <w:r>
              <w:t>403.67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256.08</w:t>
            </w:r>
          </w:p>
        </w:tc>
        <w:tc>
          <w:tcPr>
            <w:tcW w:w="1361" w:type="dxa"/>
            <w:vAlign w:val="center"/>
          </w:tcPr>
          <w:p>
            <w:pPr>
              <w:pStyle w:val="9"/>
            </w:pPr>
            <w:r>
              <w:t>256.08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128.82</w:t>
            </w:r>
          </w:p>
        </w:tc>
        <w:tc>
          <w:tcPr>
            <w:tcW w:w="1361" w:type="dxa"/>
            <w:vAlign w:val="center"/>
          </w:tcPr>
          <w:p>
            <w:pPr>
              <w:pStyle w:val="9"/>
            </w:pPr>
            <w:r>
              <w:t>128.82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18.76</w:t>
            </w:r>
          </w:p>
        </w:tc>
        <w:tc>
          <w:tcPr>
            <w:tcW w:w="1361" w:type="dxa"/>
            <w:vAlign w:val="center"/>
          </w:tcPr>
          <w:p>
            <w:pPr>
              <w:pStyle w:val="9"/>
            </w:pPr>
            <w:r>
              <w:t>18.76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233.27</w:t>
            </w:r>
          </w:p>
        </w:tc>
        <w:tc>
          <w:tcPr>
            <w:tcW w:w="1361" w:type="dxa"/>
            <w:vAlign w:val="center"/>
          </w:tcPr>
          <w:p>
            <w:pPr>
              <w:pStyle w:val="9"/>
            </w:pPr>
            <w:r>
              <w:t>83.27</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2100410</w:t>
            </w:r>
          </w:p>
        </w:tc>
        <w:tc>
          <w:tcPr>
            <w:tcW w:w="4535" w:type="dxa"/>
            <w:vAlign w:val="center"/>
          </w:tcPr>
          <w:p>
            <w:pPr>
              <w:pStyle w:val="10"/>
            </w:pPr>
            <w:r>
              <w:t>突发公共卫生事件应急处置</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2747.52</w:t>
            </w:r>
          </w:p>
        </w:tc>
        <w:tc>
          <w:tcPr>
            <w:tcW w:w="3402" w:type="dxa"/>
            <w:vAlign w:val="center"/>
          </w:tcPr>
          <w:p>
            <w:pPr>
              <w:pStyle w:val="10"/>
            </w:pPr>
            <w:r>
              <w:t>一、一般公共服务支出</w:t>
            </w:r>
          </w:p>
        </w:tc>
        <w:tc>
          <w:tcPr>
            <w:tcW w:w="1474" w:type="dxa"/>
            <w:vAlign w:val="center"/>
          </w:tcPr>
          <w:p>
            <w:pPr>
              <w:pStyle w:val="9"/>
            </w:pPr>
            <w:r>
              <w:t>1946.28</w:t>
            </w:r>
          </w:p>
        </w:tc>
        <w:tc>
          <w:tcPr>
            <w:tcW w:w="1474" w:type="dxa"/>
            <w:vAlign w:val="center"/>
          </w:tcPr>
          <w:p>
            <w:pPr>
              <w:pStyle w:val="9"/>
            </w:pPr>
            <w:r>
              <w:t>1946.28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449.78</w:t>
            </w:r>
          </w:p>
        </w:tc>
        <w:tc>
          <w:tcPr>
            <w:tcW w:w="1474" w:type="dxa"/>
            <w:vAlign w:val="center"/>
          </w:tcPr>
          <w:p>
            <w:pPr>
              <w:pStyle w:val="9"/>
            </w:pPr>
            <w:r>
              <w:t>449.78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233.27</w:t>
            </w:r>
          </w:p>
        </w:tc>
        <w:tc>
          <w:tcPr>
            <w:tcW w:w="1474" w:type="dxa"/>
            <w:vAlign w:val="center"/>
          </w:tcPr>
          <w:p>
            <w:pPr>
              <w:pStyle w:val="9"/>
            </w:pPr>
            <w:r>
              <w:t>233.27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118.19</w:t>
            </w:r>
          </w:p>
        </w:tc>
        <w:tc>
          <w:tcPr>
            <w:tcW w:w="1474" w:type="dxa"/>
            <w:vAlign w:val="center"/>
          </w:tcPr>
          <w:p>
            <w:pPr>
              <w:pStyle w:val="9"/>
            </w:pPr>
            <w:r>
              <w:t>118.19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2747.52</w:t>
            </w:r>
          </w:p>
        </w:tc>
        <w:tc>
          <w:tcPr>
            <w:tcW w:w="3402" w:type="dxa"/>
            <w:vAlign w:val="center"/>
          </w:tcPr>
          <w:p>
            <w:pPr>
              <w:pStyle w:val="12"/>
            </w:pPr>
            <w:r>
              <w:t>本年支出合计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2747.52</w:t>
            </w:r>
          </w:p>
        </w:tc>
        <w:tc>
          <w:tcPr>
            <w:tcW w:w="3402" w:type="dxa"/>
            <w:vAlign w:val="center"/>
          </w:tcPr>
          <w:p>
            <w:pPr>
              <w:pStyle w:val="12"/>
            </w:pPr>
            <w:r>
              <w:t>支出总计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2747.52</w:t>
            </w:r>
          </w:p>
        </w:tc>
        <w:tc>
          <w:tcPr>
            <w:tcW w:w="2551" w:type="dxa"/>
            <w:vAlign w:val="center"/>
          </w:tcPr>
          <w:p>
            <w:pPr>
              <w:pStyle w:val="13"/>
            </w:pPr>
            <w:r>
              <w:t>1868.81</w:t>
            </w:r>
          </w:p>
        </w:tc>
        <w:tc>
          <w:tcPr>
            <w:tcW w:w="2551" w:type="dxa"/>
            <w:vAlign w:val="center"/>
          </w:tcPr>
          <w:p>
            <w:pPr>
              <w:pStyle w:val="13"/>
            </w:pPr>
            <w:r>
              <w:t>878.71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20131</w:t>
            </w:r>
          </w:p>
        </w:tc>
        <w:tc>
          <w:tcPr>
            <w:tcW w:w="4535" w:type="dxa"/>
            <w:vAlign w:val="center"/>
          </w:tcPr>
          <w:p>
            <w:pPr>
              <w:pStyle w:val="10"/>
            </w:pPr>
            <w:r>
              <w:t>党委办公厅（室）及相关机构事务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2013103</w:t>
            </w:r>
          </w:p>
        </w:tc>
        <w:tc>
          <w:tcPr>
            <w:tcW w:w="4535" w:type="dxa"/>
            <w:vAlign w:val="center"/>
          </w:tcPr>
          <w:p>
            <w:pPr>
              <w:pStyle w:val="10"/>
            </w:pPr>
            <w:r>
              <w:t>机关服务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449.78</w:t>
            </w:r>
          </w:p>
        </w:tc>
        <w:tc>
          <w:tcPr>
            <w:tcW w:w="2551" w:type="dxa"/>
            <w:vAlign w:val="center"/>
          </w:tcPr>
          <w:p>
            <w:pPr>
              <w:pStyle w:val="9"/>
            </w:pPr>
            <w:r>
              <w:t>403.67</w:t>
            </w: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403.67</w:t>
            </w:r>
          </w:p>
        </w:tc>
        <w:tc>
          <w:tcPr>
            <w:tcW w:w="2551" w:type="dxa"/>
            <w:vAlign w:val="center"/>
          </w:tcPr>
          <w:p>
            <w:pPr>
              <w:pStyle w:val="9"/>
            </w:pPr>
            <w:r>
              <w:t>403.67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256.08</w:t>
            </w:r>
          </w:p>
        </w:tc>
        <w:tc>
          <w:tcPr>
            <w:tcW w:w="2551" w:type="dxa"/>
            <w:vAlign w:val="center"/>
          </w:tcPr>
          <w:p>
            <w:pPr>
              <w:pStyle w:val="9"/>
            </w:pPr>
            <w:r>
              <w:t>256.08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233.27</w:t>
            </w:r>
          </w:p>
        </w:tc>
        <w:tc>
          <w:tcPr>
            <w:tcW w:w="2551" w:type="dxa"/>
            <w:vAlign w:val="center"/>
          </w:tcPr>
          <w:p>
            <w:pPr>
              <w:pStyle w:val="9"/>
            </w:pPr>
            <w:r>
              <w:t>83.27</w:t>
            </w: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2100410</w:t>
            </w:r>
          </w:p>
        </w:tc>
        <w:tc>
          <w:tcPr>
            <w:tcW w:w="4535" w:type="dxa"/>
            <w:vAlign w:val="center"/>
          </w:tcPr>
          <w:p>
            <w:pPr>
              <w:pStyle w:val="10"/>
            </w:pPr>
            <w:r>
              <w:t>突发公共卫生事件应急处置</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1868.81</w:t>
            </w:r>
          </w:p>
        </w:tc>
        <w:tc>
          <w:tcPr>
            <w:tcW w:w="2551" w:type="dxa"/>
            <w:vAlign w:val="center"/>
          </w:tcPr>
          <w:p>
            <w:pPr>
              <w:pStyle w:val="13"/>
            </w:pPr>
            <w:r>
              <w:t>1593.90</w:t>
            </w:r>
          </w:p>
        </w:tc>
        <w:tc>
          <w:tcPr>
            <w:tcW w:w="2551" w:type="dxa"/>
            <w:vAlign w:val="center"/>
          </w:tcPr>
          <w:p>
            <w:pPr>
              <w:pStyle w:val="13"/>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1338.31</w:t>
            </w:r>
          </w:p>
        </w:tc>
        <w:tc>
          <w:tcPr>
            <w:tcW w:w="2551" w:type="dxa"/>
            <w:vAlign w:val="center"/>
          </w:tcPr>
          <w:p>
            <w:pPr>
              <w:pStyle w:val="9"/>
            </w:pPr>
            <w:r>
              <w:t>1338.31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367.29</w:t>
            </w:r>
          </w:p>
        </w:tc>
        <w:tc>
          <w:tcPr>
            <w:tcW w:w="2551" w:type="dxa"/>
            <w:vAlign w:val="center"/>
          </w:tcPr>
          <w:p>
            <w:pPr>
              <w:pStyle w:val="9"/>
            </w:pPr>
            <w:r>
              <w:t>367.29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67.42</w:t>
            </w:r>
          </w:p>
        </w:tc>
        <w:tc>
          <w:tcPr>
            <w:tcW w:w="2551" w:type="dxa"/>
            <w:vAlign w:val="center"/>
          </w:tcPr>
          <w:p>
            <w:pPr>
              <w:pStyle w:val="9"/>
            </w:pPr>
            <w:r>
              <w:t>67.42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547.18</w:t>
            </w:r>
          </w:p>
        </w:tc>
        <w:tc>
          <w:tcPr>
            <w:tcW w:w="2551" w:type="dxa"/>
            <w:vAlign w:val="center"/>
          </w:tcPr>
          <w:p>
            <w:pPr>
              <w:pStyle w:val="9"/>
            </w:pPr>
            <w:r>
              <w:t>547.18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42.88</w:t>
            </w:r>
          </w:p>
        </w:tc>
        <w:tc>
          <w:tcPr>
            <w:tcW w:w="2551" w:type="dxa"/>
            <w:vAlign w:val="center"/>
          </w:tcPr>
          <w:p>
            <w:pPr>
              <w:pStyle w:val="9"/>
            </w:pPr>
            <w:r>
              <w:t>42.88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40.39</w:t>
            </w:r>
          </w:p>
        </w:tc>
        <w:tc>
          <w:tcPr>
            <w:tcW w:w="2551" w:type="dxa"/>
            <w:vAlign w:val="center"/>
          </w:tcPr>
          <w:p>
            <w:pPr>
              <w:pStyle w:val="9"/>
            </w:pPr>
            <w:r>
              <w:t>40.39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7.37</w:t>
            </w:r>
          </w:p>
        </w:tc>
        <w:tc>
          <w:tcPr>
            <w:tcW w:w="2551" w:type="dxa"/>
            <w:vAlign w:val="center"/>
          </w:tcPr>
          <w:p>
            <w:pPr>
              <w:pStyle w:val="9"/>
            </w:pPr>
            <w:r>
              <w:t>7.37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274.91</w:t>
            </w:r>
          </w:p>
        </w:tc>
        <w:tc>
          <w:tcPr>
            <w:tcW w:w="2551" w:type="dxa"/>
            <w:vAlign w:val="center"/>
          </w:tcPr>
          <w:p>
            <w:pPr>
              <w:pStyle w:val="9"/>
            </w:pPr>
          </w:p>
        </w:tc>
        <w:tc>
          <w:tcPr>
            <w:tcW w:w="2551" w:type="dxa"/>
            <w:vAlign w:val="center"/>
          </w:tcPr>
          <w:p>
            <w:pPr>
              <w:pStyle w:val="9"/>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46.20</w:t>
            </w:r>
          </w:p>
        </w:tc>
        <w:tc>
          <w:tcPr>
            <w:tcW w:w="2551" w:type="dxa"/>
            <w:vAlign w:val="center"/>
          </w:tcPr>
          <w:p>
            <w:pPr>
              <w:pStyle w:val="9"/>
            </w:pPr>
          </w:p>
        </w:tc>
        <w:tc>
          <w:tcPr>
            <w:tcW w:w="2551" w:type="dxa"/>
            <w:vAlign w:val="center"/>
          </w:tcPr>
          <w:p>
            <w:pPr>
              <w:pStyle w:val="9"/>
            </w:pPr>
            <w:r>
              <w:t>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72.58</w:t>
            </w:r>
          </w:p>
        </w:tc>
        <w:tc>
          <w:tcPr>
            <w:tcW w:w="2551" w:type="dxa"/>
            <w:vAlign w:val="center"/>
          </w:tcPr>
          <w:p>
            <w:pPr>
              <w:pStyle w:val="9"/>
            </w:pPr>
          </w:p>
        </w:tc>
        <w:tc>
          <w:tcPr>
            <w:tcW w:w="2551" w:type="dxa"/>
            <w:vAlign w:val="center"/>
          </w:tcPr>
          <w:p>
            <w:pPr>
              <w:pStyle w:val="9"/>
            </w:pPr>
            <w:r>
              <w:t>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72.67</w:t>
            </w:r>
          </w:p>
        </w:tc>
        <w:tc>
          <w:tcPr>
            <w:tcW w:w="2551" w:type="dxa"/>
            <w:vAlign w:val="center"/>
          </w:tcPr>
          <w:p>
            <w:pPr>
              <w:pStyle w:val="9"/>
            </w:pPr>
          </w:p>
        </w:tc>
        <w:tc>
          <w:tcPr>
            <w:tcW w:w="2551" w:type="dxa"/>
            <w:vAlign w:val="center"/>
          </w:tcPr>
          <w:p>
            <w:pPr>
              <w:pStyle w:val="9"/>
            </w:pPr>
            <w:r>
              <w:t>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7.36</w:t>
            </w:r>
          </w:p>
        </w:tc>
        <w:tc>
          <w:tcPr>
            <w:tcW w:w="2551" w:type="dxa"/>
            <w:vAlign w:val="center"/>
          </w:tcPr>
          <w:p>
            <w:pPr>
              <w:pStyle w:val="9"/>
            </w:pPr>
          </w:p>
        </w:tc>
        <w:tc>
          <w:tcPr>
            <w:tcW w:w="2551" w:type="dxa"/>
            <w:vAlign w:val="center"/>
          </w:tcPr>
          <w:p>
            <w:pPr>
              <w:pStyle w:val="9"/>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56.70</w:t>
            </w:r>
          </w:p>
        </w:tc>
        <w:tc>
          <w:tcPr>
            <w:tcW w:w="2551" w:type="dxa"/>
            <w:vAlign w:val="center"/>
          </w:tcPr>
          <w:p>
            <w:pPr>
              <w:pStyle w:val="9"/>
            </w:pPr>
          </w:p>
        </w:tc>
        <w:tc>
          <w:tcPr>
            <w:tcW w:w="2551" w:type="dxa"/>
            <w:vAlign w:val="center"/>
          </w:tcPr>
          <w:p>
            <w:pPr>
              <w:pStyle w:val="9"/>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3.78</w:t>
            </w:r>
          </w:p>
        </w:tc>
        <w:tc>
          <w:tcPr>
            <w:tcW w:w="2551" w:type="dxa"/>
            <w:vAlign w:val="center"/>
          </w:tcPr>
          <w:p>
            <w:pPr>
              <w:pStyle w:val="9"/>
            </w:pPr>
          </w:p>
        </w:tc>
        <w:tc>
          <w:tcPr>
            <w:tcW w:w="2551" w:type="dxa"/>
            <w:vAlign w:val="center"/>
          </w:tcPr>
          <w:p>
            <w:pPr>
              <w:pStyle w:val="9"/>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15.62</w:t>
            </w:r>
          </w:p>
        </w:tc>
        <w:tc>
          <w:tcPr>
            <w:tcW w:w="2551" w:type="dxa"/>
            <w:vAlign w:val="center"/>
          </w:tcPr>
          <w:p>
            <w:pPr>
              <w:pStyle w:val="9"/>
            </w:pPr>
          </w:p>
        </w:tc>
        <w:tc>
          <w:tcPr>
            <w:tcW w:w="2551" w:type="dxa"/>
            <w:vAlign w:val="center"/>
          </w:tcPr>
          <w:p>
            <w:pPr>
              <w:pStyle w:val="9"/>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56.70</w:t>
            </w:r>
          </w:p>
        </w:tc>
        <w:tc>
          <w:tcPr>
            <w:tcW w:w="2381" w:type="dxa"/>
            <w:vAlign w:val="center"/>
          </w:tcPr>
          <w:p>
            <w:pPr>
              <w:pStyle w:val="13"/>
            </w:pPr>
            <w:r>
              <w:t>56.70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石家庄市鹿泉区机关事务管理中心2026年部门预算信息公开情况说明</w:t>
      </w:r>
    </w:p>
    <w:p>
      <w:pPr>
        <w:jc w:val="center"/>
      </w:pPr>
      <w:r>
        <w:rPr>
          <w:rFonts w:ascii="方正小标宋_GBK" w:hAnsi="方正小标宋_GBK" w:eastAsia="方正小标宋_GBK" w:cs="方正小标宋_GBK"/>
          <w:color w:val="000000"/>
          <w:sz w:val="44"/>
        </w:rPr>
        <w:t>石家庄市鹿泉区机关事务管理中心2026年部门预算信息公开情况说明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p>
    <w:p>
      <w:pPr>
        <w:pStyle w:val="15"/>
      </w:pPr>
      <w:r>
        <w:t>为进一步提高机关事务管理中心服务水平，具体职责如下：</w:t>
      </w:r>
    </w:p>
    <w:p>
      <w:pPr>
        <w:pStyle w:val="15"/>
      </w:pPr>
      <w:r>
        <w:t>1、负责对全区公务用车的统一调度和平台车辆的维修、保养、年审及保费缴纳等管理工作。</w:t>
      </w:r>
    </w:p>
    <w:p>
      <w:pPr>
        <w:pStyle w:val="15"/>
      </w:pPr>
      <w:r>
        <w:t>2、负责机关大院基础设施的规划布局和设置。</w:t>
      </w:r>
    </w:p>
    <w:p>
      <w:pPr>
        <w:pStyle w:val="15"/>
      </w:pPr>
      <w:r>
        <w:t>3、负责机关大院水路、电路、暖气管道、下水道的保养维修工作。</w:t>
      </w:r>
    </w:p>
    <w:p>
      <w:pPr>
        <w:pStyle w:val="15"/>
      </w:pPr>
      <w:r>
        <w:t>4、负责机关大院的绿化美化及花草树木的病虫害防治工作。</w:t>
      </w:r>
    </w:p>
    <w:p>
      <w:pPr>
        <w:pStyle w:val="15"/>
      </w:pPr>
      <w:r>
        <w:t>5、负责机关大院及各办公楼的卫生保洁工作。</w:t>
      </w:r>
    </w:p>
    <w:p>
      <w:pPr>
        <w:pStyle w:val="15"/>
      </w:pPr>
      <w:r>
        <w:t>6、负责机关大院及门口的安全保卫工作。</w:t>
      </w:r>
    </w:p>
    <w:p>
      <w:pPr>
        <w:pStyle w:val="15"/>
      </w:pPr>
      <w:r>
        <w:t>7、负责机关大院的安全消防工作及防恐工作。</w:t>
      </w:r>
    </w:p>
    <w:p>
      <w:pPr>
        <w:pStyle w:val="15"/>
      </w:pPr>
      <w:r>
        <w:t>8、协助区委办、区政府办、信访局做好机关大院门口的群众上访接待及秩序维护工作。</w:t>
      </w:r>
    </w:p>
    <w:p>
      <w:pPr>
        <w:pStyle w:val="15"/>
      </w:pPr>
      <w:r>
        <w:t>9、负责机关大院、车库、门口停车场的车辆停放管理工作。</w:t>
      </w:r>
    </w:p>
    <w:p>
      <w:pPr>
        <w:pStyle w:val="15"/>
      </w:pPr>
      <w:r>
        <w:t>10、制定区公共机构节能规划，分解落实年度节能目标任务。</w:t>
      </w:r>
    </w:p>
    <w:p>
      <w:pPr>
        <w:pStyle w:val="15"/>
      </w:pPr>
      <w:r>
        <w:t>11、根据相关法律法规、政策规定及文件要求，做好对全区党政机关办公用房的管理和调配工作。</w:t>
      </w:r>
    </w:p>
    <w:p>
      <w:pPr>
        <w:pStyle w:val="15"/>
      </w:pPr>
      <w:r>
        <w:t>12、负责食堂工作及理发服务。</w:t>
      </w:r>
    </w:p>
    <w:p>
      <w:pPr>
        <w:pStyle w:val="15"/>
      </w:pPr>
      <w:r>
        <w:t>13、统筹做好区委区政府安排部署的重要接待工作，并配合做好有关大型会议的筹备工作。</w:t>
      </w:r>
    </w:p>
    <w:p>
      <w:pPr>
        <w:pStyle w:val="15"/>
      </w:pPr>
      <w:r>
        <w:t>14、负责与财政局配合对党政机关闲置办公用房的租赁及拍卖处置等管理工作。</w:t>
      </w:r>
    </w:p>
    <w:p>
      <w:pPr>
        <w:pStyle w:val="15"/>
      </w:pPr>
      <w:r>
        <w:t>15、根据相关法律法规、政策规定及文件要求，拟订全区党政机关办公用房的改造装修标准，并按规定实施管理。</w:t>
      </w:r>
    </w:p>
    <w:p>
      <w:pPr>
        <w:pStyle w:val="15"/>
      </w:pPr>
      <w:r>
        <w:t>16、负责机关大院干部职工医疗服务及卫生保健工作。</w:t>
      </w:r>
    </w:p>
    <w:p>
      <w:pPr>
        <w:pStyle w:val="15"/>
      </w:pPr>
      <w:r>
        <w:t>17、负责向到我区检查、指导及考察工作的领导及客人介绍我区政治、经济、文化、生态建设等情况。</w:t>
      </w:r>
    </w:p>
    <w:p>
      <w:pPr>
        <w:pStyle w:val="15"/>
      </w:pPr>
      <w:r>
        <w:t>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石家庄市鹿泉区机关事务管理中心本级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按照预算管理有关规定，目前部门预算的编制实行综合预算管理，即全部收入和支出都反映在预算中。石家庄市鹿泉区机关事务管理中心机关及所属事业单位的收支包含在部门预算中。</w:t>
      </w:r>
    </w:p>
    <w:p>
      <w:pPr>
        <w:pStyle w:val="16"/>
      </w:pPr>
      <w:r>
        <w:t>1、收入说明</w:t>
      </w:r>
    </w:p>
    <w:p>
      <w:pPr>
        <w:pStyle w:val="16"/>
      </w:pPr>
      <w:r>
        <w:t>反映本部门当年全部收入。2026年预算收入2747.52万元，其中：一般公共预算收入2747.52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石家庄市鹿泉区机关事务管理中心年度部门预算中支出预算的总体情况。2026年支出预算2747.52万元，其中基本支出1868.81万元，包括人员经费1593.90万元和日常公用经费274.91万元；项目支出878.71万元，主要为专项公用经费、机关大院保洁费用、机关大院保安费用、办公用房租赁、办公用房大中维修基金等费用。</w:t>
      </w:r>
    </w:p>
    <w:p>
      <w:pPr>
        <w:pStyle w:val="16"/>
      </w:pPr>
      <w:r>
        <w:t>3、比上年增减情况</w:t>
      </w:r>
    </w:p>
    <w:p>
      <w:pPr>
        <w:pStyle w:val="16"/>
      </w:pPr>
      <w:r>
        <w:t>2026年预算收支安排2747.52万元，较2025年预算增加15.92万元，其中：基本支出增加125.64万元，主要为人员经费支出增加</w:t>
      </w:r>
      <w:r>
        <w:rPr>
          <w:rFonts w:hint="eastAsia"/>
          <w:lang w:eastAsia="zh-CN"/>
        </w:rPr>
        <w:t>；</w:t>
      </w:r>
      <w:r>
        <w:t>项目支出减少109.72万元，主要为</w:t>
      </w:r>
      <w:r>
        <w:rPr>
          <w:rFonts w:hint="eastAsia"/>
          <w:lang w:val="en-US" w:eastAsia="zh-CN"/>
        </w:rPr>
        <w:t>专</w:t>
      </w:r>
      <w:r>
        <w:t>项公用经费等资金的</w:t>
      </w:r>
      <w:r>
        <w:rPr>
          <w:rFonts w:hint="eastAsia"/>
          <w:lang w:val="en-US" w:eastAsia="zh-CN"/>
        </w:rPr>
        <w:t>减少</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2026年，我部门机关运行经费共计安排274.91万元，主要用于日常维修、办公用房水电费、办公用房取暖费、办公用房物业管理费等日常运行支出。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pPr>
      <w:r>
        <w:t>2026年，我部门财政拨款“三公”经费预算安排56.70万元，其中因公出国（境）费0.00万元；公务用车购置及运维费56.70万元（其中：公务用车购置费为0.00万元，公务用车运维费56.70万元)；公务接待费0.00万元。与2025年相比减少8.10万元，增减变化的主要原因是公务用车购置及运维费减少，其中公务用车运维费减少8.10万元，原因为车辆划拨及报废。</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p>
    <w:p>
      <w:pPr>
        <w:pStyle w:val="19"/>
      </w:pPr>
      <w:r>
        <w:t>2026年，我中心将围绕区委、区政府的中心工作，重点做好以下工作：</w:t>
      </w:r>
    </w:p>
    <w:p>
      <w:pPr>
        <w:pStyle w:val="19"/>
      </w:pPr>
      <w:r>
        <w:t>（一）持续加强党的政治建设方面。一是落实全面从严治党主体责任。二是全面落实党内政治生活制度。三是持续推进意识形态建设。将意识形态纳入领导班子专题学习、民主生活会的重要内容，不断加强对意识形态工作形势的分析研究，强化组织领导，召开会议对中央和省市区相关文件及会议精神进行传达学习，对单位意识形态工作进行了安排部署。四是持续加强党风廉政建设。班子成员实行“一岗双责”，把党风廉政建设与分管工作同部署、同检查、同落实。</w:t>
      </w:r>
    </w:p>
    <w:p>
      <w:pPr>
        <w:pStyle w:val="19"/>
      </w:pPr>
      <w:r>
        <w:t>(二)生活保障方面。积极学习相关餐饮管理知识，不断改进就餐食谱，搞好营养搭配，推出新菜。做到使就餐人员高兴而来，满意而去，更好的为广大干部职工服务。</w:t>
      </w:r>
    </w:p>
    <w:p>
      <w:pPr>
        <w:pStyle w:val="19"/>
      </w:pPr>
      <w:r>
        <w:t>（三）⑴办公用房方面。一是严格执行办公用房出租、租赁及维修相关规定，下发了《石家庄市鹿泉区党政机关办公用房出租和维修管理办法》，对未经我中心审核擅自出租、租赁办公用房的单位下发了整改通知书。二是进一步加强全区办公用房规范化管理工作，三是按时完成全省办公用房信息填报工作。</w:t>
      </w:r>
    </w:p>
    <w:p>
      <w:pPr>
        <w:pStyle w:val="19"/>
      </w:pPr>
      <w:r>
        <w:t>⑵节能方面。一是按时完成节约型机关创建活动。二是做好全区公共机构合同能源管理工作。三是垃圾分类工作保质保量按时完成各项任务。</w:t>
      </w:r>
    </w:p>
    <w:p>
      <w:pPr>
        <w:pStyle w:val="19"/>
      </w:pPr>
      <w:r>
        <w:t>（四）公务用车方面。一是继续提高对公务用车规范化管理工作重要性的认识，规范操作，认真落实公务用车管理实施办法。严格按照《石家庄市党政机关公务用车管理实施办法》对公车管理的有关要求，对照公车管理办法和政策，细化日常管理工作。二是继续加大公务用车监督检查工作管理力度，确保公务用车管理规范化，确保不出现违纪问题。加强与上级车改办沟通，利用好公务用车信息化服务平台功能，为我区公务出行提供更加高效便捷的服务保障。三是遵章守纪，树立安全行车意识，维护公务用车良好形象。组织业务培训和安全教育，切实提高驾驶员驾驶技能和职业素质，保持车容车貌整洁，做遵章守纪模范。四是按照有关要求对“三定一平台”中标单位服务情况进行监督检查。按照上级要求党政机关、区直行政事业单位公务用车实行定点保险、定点维修、定点加油和社会化车辆定点租赁的公开招标工作已经完成。五是按照中心领导的要求，积极配合各科室完成中心组织的各项阶段性工作目标任务。</w:t>
      </w:r>
    </w:p>
    <w:p>
      <w:pPr>
        <w:pStyle w:val="19"/>
      </w:pPr>
      <w:r>
        <w:t>（五）基建维修方面。加强院内水、电、暖的日常巡查工作、公共区域消毒、做好绿化养护。</w:t>
      </w:r>
    </w:p>
    <w:p>
      <w:pPr>
        <w:pStyle w:val="19"/>
      </w:pPr>
      <w:r>
        <w:t>（六）安全保卫方面。一是健全完善制度。制定完善保安人员文明用语和“十不准”条例并严格执行，对机关大院来访人员和车辆做到热情服务、文明接待。二是加强日常巡查和技防投入。时刻把安全防范工作抓在手上。做到经常性检查和重点检查相结合，平时检查与抽查相结合，对发现的问题及时通知有关单位进行整改，确保了重点防范目标的安全。三是贯彻落实《消防法》、《消防安全管理条例》。坚持以预防为主，按照消防要求，在机关大院办公楼、食堂、车库、会议室等部位配齐了消防栓、灭火器等消防器材。加强对消防器具的管理和保养，确保消防设施性能良好。</w:t>
      </w:r>
    </w:p>
    <w:p>
      <w:pPr>
        <w:pStyle w:val="19"/>
      </w:pPr>
      <w:r>
        <w:t>（七）把提高机关事务保障质量效益作为主攻方向，进一步创新工作理念、管理模式和工作手段，为全区经济社会实现高质量发展服务。</w:t>
      </w:r>
    </w:p>
    <w:p>
      <w:pPr>
        <w:pStyle w:val="19"/>
      </w:pPr>
      <w:r>
        <w:t>（八）从提升工作执行力和工作效能入手，积极推动制度创新，规范内部运行管理、狠抓重点任务落实，完成区委、区政府交办的其他工作，努力打造一支忠诚干净担当的高素质后勤保障队伍。</w:t>
      </w:r>
    </w:p>
    <w:p>
      <w:pPr>
        <w:pStyle w:val="19"/>
      </w:pPr>
      <w:r>
        <w:t> </w:t>
      </w:r>
    </w:p>
    <w:p>
      <w:pPr>
        <w:spacing w:line="500" w:lineRule="exact"/>
        <w:ind w:firstLine="560"/>
      </w:pPr>
      <w:r>
        <w:rPr>
          <w:rFonts w:eastAsia="方正仿宋_GBK"/>
          <w:color w:val="000000"/>
          <w:sz w:val="28"/>
        </w:rPr>
        <w:t>（二）分项绩效目标</w:t>
      </w:r>
    </w:p>
    <w:p>
      <w:pPr>
        <w:pStyle w:val="20"/>
      </w:pPr>
    </w:p>
    <w:p>
      <w:pPr>
        <w:pStyle w:val="20"/>
      </w:pPr>
      <w:r>
        <w:t>（一）机关事务管理</w:t>
      </w:r>
    </w:p>
    <w:p>
      <w:pPr>
        <w:pStyle w:val="20"/>
      </w:pPr>
      <w:r>
        <w:t>绩效目标1：、严格执行办公用房出租、租赁及维修相关规定，对未经我中心审核擅自出租、租赁办公用房的单位下发了整改通知书。</w:t>
      </w:r>
    </w:p>
    <w:p>
      <w:pPr>
        <w:pStyle w:val="20"/>
      </w:pPr>
      <w:r>
        <w:t>绩效指标1：规范管理、合理使用区直房地产，确保区直单位房地产登记率、办公用房修缮改造完成率达到90%。</w:t>
      </w:r>
    </w:p>
    <w:p>
      <w:pPr>
        <w:pStyle w:val="20"/>
      </w:pPr>
      <w:r>
        <w:t>绩效目标2：积极稳妥地保障公务用车制度改革实行。</w:t>
      </w:r>
    </w:p>
    <w:p>
      <w:pPr>
        <w:pStyle w:val="20"/>
      </w:pPr>
      <w:r>
        <w:t>绩效指标2：公务用车由区公务用车服务平台统一管理，运行费用由财政列支，派车率大于90%，保证及时收回平台21辆车。</w:t>
      </w:r>
    </w:p>
    <w:p>
      <w:pPr>
        <w:pStyle w:val="20"/>
      </w:pPr>
      <w:r>
        <w:t>（二）综合服务保障</w:t>
      </w:r>
    </w:p>
    <w:p>
      <w:pPr>
        <w:pStyle w:val="20"/>
      </w:pPr>
      <w:r>
        <w:t>绩效目标1：负责机关大院花坛绿地维护，保障机关大院办公卫生环境。</w:t>
      </w:r>
    </w:p>
    <w:p>
      <w:pPr>
        <w:pStyle w:val="20"/>
      </w:pPr>
      <w:r>
        <w:t>绩效指标1：院落保洁达到16007平方米，保洁完成率达到100%。</w:t>
      </w:r>
    </w:p>
    <w:p>
      <w:pPr>
        <w:pStyle w:val="20"/>
      </w:pPr>
      <w:r>
        <w:t>绩效目标2：做好区政府大院保洁招投标工作。</w:t>
      </w:r>
    </w:p>
    <w:p>
      <w:pPr>
        <w:pStyle w:val="20"/>
      </w:pPr>
      <w:r>
        <w:t>绩效指标2：确保区政府大院保洁招投标工作顺利完成。</w:t>
      </w:r>
    </w:p>
    <w:p>
      <w:pPr>
        <w:pStyle w:val="20"/>
      </w:pPr>
      <w:r>
        <w:t>绩效目标3：做好区政府大院保安招投标工作。</w:t>
      </w:r>
    </w:p>
    <w:p>
      <w:pPr>
        <w:pStyle w:val="20"/>
      </w:pPr>
      <w:r>
        <w:t>绩效指标3：确保区政府大院保安招投标工作顺利完成。</w:t>
      </w:r>
    </w:p>
    <w:p>
      <w:pPr>
        <w:pStyle w:val="20"/>
      </w:pPr>
      <w:r>
        <w:t>（三）政务管理</w:t>
      </w:r>
    </w:p>
    <w:p>
      <w:pPr>
        <w:pStyle w:val="20"/>
      </w:pPr>
      <w:r>
        <w:t>绩效目标1:进一步提高管理、保障、服务水平。</w:t>
      </w:r>
    </w:p>
    <w:p>
      <w:pPr>
        <w:pStyle w:val="20"/>
      </w:pPr>
      <w:r>
        <w:t>绩效指标1:力争服务对象满意率达到95%以上。</w:t>
      </w:r>
    </w:p>
    <w:p>
      <w:pPr>
        <w:pStyle w:val="20"/>
      </w:pPr>
      <w:r>
        <w:t>绩效目标2:加强财务管理，确保资金安全，提高财政资金使用效益。</w:t>
      </w:r>
    </w:p>
    <w:p>
      <w:pPr>
        <w:pStyle w:val="20"/>
      </w:pPr>
      <w:r>
        <w:t>绩效指标2:年度综合业务管理工作、综合事务管理工作完成率均达到100%。</w:t>
      </w:r>
    </w:p>
    <w:p>
      <w:pPr>
        <w:pStyle w:val="20"/>
      </w:pPr>
      <w:r>
        <w:t>绩效目标3：提高机关食堂管理，服务热情周到。</w:t>
      </w:r>
    </w:p>
    <w:p>
      <w:pPr>
        <w:pStyle w:val="20"/>
      </w:pPr>
      <w:r>
        <w:t xml:space="preserve">绩效指标3：机关干部、职工满意度达到90%以上。 </w:t>
      </w:r>
    </w:p>
    <w:p>
      <w:pPr>
        <w:pStyle w:val="20"/>
      </w:pPr>
      <w:r>
        <w:t>绩效目标4：负责区委、区政府机关大院安全保卫工作和院内交通秩序管理及办公楼修缮、供水、供电、供暖、供气等相关工作。</w:t>
      </w:r>
    </w:p>
    <w:p>
      <w:pPr>
        <w:pStyle w:val="20"/>
      </w:pPr>
      <w:r>
        <w:t>绩效指标4：日常巡查维修率达90%以上，大故障排除时限不超过24小时，日常小故障排除时限不超过4小时。</w:t>
      </w:r>
    </w:p>
    <w:p>
      <w:pPr>
        <w:spacing w:line="500" w:lineRule="exact"/>
        <w:ind w:firstLine="560"/>
      </w:pPr>
      <w:r>
        <w:rPr>
          <w:rFonts w:eastAsia="方正仿宋_GBK"/>
          <w:color w:val="000000"/>
          <w:sz w:val="28"/>
        </w:rPr>
        <w:t>（三）工作保障措施</w:t>
      </w:r>
    </w:p>
    <w:p>
      <w:pPr>
        <w:pStyle w:val="21"/>
      </w:pPr>
    </w:p>
    <w:p>
      <w:pPr>
        <w:pStyle w:val="21"/>
      </w:pPr>
      <w:r>
        <w:t>（一）完善制度建设</w:t>
      </w:r>
    </w:p>
    <w:p>
      <w:pPr>
        <w:pStyle w:val="21"/>
      </w:pPr>
      <w:r>
        <w:t>为提高我中心人员的工作积极性，完成上级政府所下达的任务，进一步加强作风建设，强化内部管理，构建有序、严格高效的工作秩序，我中心进一步完善各项后勤服务的制度建设。</w:t>
      </w:r>
    </w:p>
    <w:p>
      <w:pPr>
        <w:pStyle w:val="21"/>
      </w:pPr>
      <w:r>
        <w:t>（二）加强支出管理</w:t>
      </w:r>
    </w:p>
    <w:p>
      <w:pPr>
        <w:pStyle w:val="21"/>
      </w:pPr>
      <w:r>
        <w:t>按照年初预算安排，强化预算执行管理，按进度确保资金及时支付，注重资金监管，确保财政资金安全和使用效益。</w:t>
      </w:r>
    </w:p>
    <w:p>
      <w:pPr>
        <w:pStyle w:val="21"/>
      </w:pPr>
      <w:r>
        <w:t>（三）加强绩效运行监控</w:t>
      </w:r>
    </w:p>
    <w:p>
      <w:pPr>
        <w:pStyle w:val="21"/>
      </w:pPr>
      <w:r>
        <w:t>按照区财政局要求，开展绩效运行监控，发现问题及时采取措施解决问题，确保绩效目标如期保质实现。</w:t>
      </w:r>
    </w:p>
    <w:p>
      <w:pPr>
        <w:pStyle w:val="21"/>
      </w:pPr>
      <w:r>
        <w:t>（四）做好绩效自评</w:t>
      </w:r>
    </w:p>
    <w:p>
      <w:pPr>
        <w:pStyle w:val="21"/>
      </w:pPr>
      <w:r>
        <w:t>及时按照要求成立绩效评价小组，做好绩效自评和重点评价工作，对评价中发现的问题及时整改，调整优化支出结构，提高财政资金使用效益。</w:t>
      </w:r>
    </w:p>
    <w:p>
      <w:pPr>
        <w:pStyle w:val="21"/>
      </w:pPr>
      <w:r>
        <w:t>（五）规范财务资产管理</w:t>
      </w:r>
    </w:p>
    <w:p>
      <w:pPr>
        <w:pStyle w:val="21"/>
      </w:pPr>
      <w:r>
        <w:t>完善财务管理制度，严格审批流程，加强固定资产登记、使用和报废处置管理。</w:t>
      </w:r>
    </w:p>
    <w:p>
      <w:pPr>
        <w:pStyle w:val="21"/>
      </w:pPr>
      <w:r>
        <w:t>（六）加强内部监督</w:t>
      </w:r>
    </w:p>
    <w:p>
      <w:pPr>
        <w:pStyle w:val="21"/>
      </w:pPr>
      <w:r>
        <w:t>健全内部监督组织，强化内部监督建设，对重大支出、资产处置及其他重要经济业务事项的决策和执行进行监督，确保财政资金安全有效。</w:t>
      </w:r>
    </w:p>
    <w:p>
      <w:pPr>
        <w:pStyle w:val="21"/>
      </w:pPr>
      <w:r>
        <w:t>（七）加强专业知识学习</w:t>
      </w:r>
    </w:p>
    <w:p>
      <w:pPr>
        <w:pStyle w:val="21"/>
      </w:pPr>
      <w:r>
        <w:t>加强我中心人员对专业知识的学习，提高我单位职工业务素质，强化预算绩效管理意识，促进预算绩效管理水平进一步提升。</w:t>
      </w:r>
    </w:p>
    <w:p>
      <w:pPr>
        <w:pStyle w:val="21"/>
      </w:pPr>
      <w:r>
        <w:t>（八）进一步加强党建工作。</w:t>
      </w:r>
    </w:p>
    <w:p>
      <w:pPr>
        <w:pStyle w:val="21"/>
      </w:pPr>
      <w:r>
        <w:t> </w:t>
      </w:r>
    </w:p>
    <w:p>
      <w:pPr>
        <w:pStyle w:val="21"/>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outlineLvl w:val="2"/>
        <w:rPr>
          <w:rFonts w:ascii="黑体" w:hAnsi="黑体" w:eastAsia="黑体" w:cs="黑体"/>
          <w:color w:val="000000"/>
          <w:sz w:val="32"/>
        </w:rPr>
      </w:pPr>
    </w:p>
    <w:p>
      <w:pPr>
        <w:spacing w:line="500" w:lineRule="exact"/>
        <w:ind w:firstLine="560"/>
        <w:rPr>
          <w:rFonts w:ascii="Times New Roman" w:hAnsi="Times New Roman" w:eastAsia="方正仿宋_GBK" w:cs="Times New Roman"/>
          <w:sz w:val="28"/>
          <w:szCs w:val="24"/>
          <w:lang w:val="en-US" w:eastAsia="uk-UA" w:bidi="ar-SA"/>
        </w:rPr>
      </w:pPr>
      <w:r>
        <w:rPr>
          <w:rFonts w:hint="eastAsia" w:ascii="方正楷体_GBK" w:hAnsi="方正楷体_GBK" w:eastAsia="方正楷体_GBK" w:cs="方正楷体_GBK"/>
          <w:b/>
          <w:color w:val="000000"/>
          <w:sz w:val="28"/>
          <w:szCs w:val="28"/>
          <w:lang w:val="en-US" w:eastAsia="zh-CN" w:bidi="ar-SA"/>
        </w:rPr>
        <w:t xml:space="preserve"> </w:t>
      </w:r>
      <w:bookmarkStart w:id="20" w:name="_GoBack"/>
      <w:bookmarkEnd w:id="20"/>
      <w:r>
        <w:rPr>
          <w:rFonts w:hint="eastAsia" w:ascii="方正楷体_GBK" w:hAnsi="方正楷体_GBK" w:eastAsia="方正楷体_GBK" w:cs="方正楷体_GBK"/>
          <w:b w:val="0"/>
          <w:bCs/>
          <w:color w:val="000000"/>
          <w:sz w:val="28"/>
          <w:szCs w:val="28"/>
          <w:lang w:val="en-US" w:eastAsia="zh-CN" w:bidi="ar-SA"/>
        </w:rPr>
        <w:t>我部门无专项资金。</w:t>
      </w:r>
    </w:p>
    <w:p>
      <w:pPr>
        <w:numPr>
          <w:numId w:val="0"/>
        </w:num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1、2026机关大院保安费用绩效目标表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13011026P00150210041Q</w:t>
            </w:r>
          </w:p>
        </w:tc>
        <w:tc>
          <w:tcPr>
            <w:tcW w:w="2835" w:type="dxa"/>
            <w:vAlign w:val="center"/>
          </w:tcPr>
          <w:p>
            <w:pPr>
              <w:pStyle w:val="8"/>
            </w:pPr>
            <w:r>
              <w:t>项目名称</w:t>
            </w:r>
          </w:p>
        </w:tc>
        <w:tc>
          <w:tcPr>
            <w:tcW w:w="6095" w:type="dxa"/>
            <w:gridSpan w:val="3"/>
            <w:vAlign w:val="center"/>
          </w:tcPr>
          <w:p>
            <w:pPr>
              <w:pStyle w:val="10"/>
            </w:pPr>
            <w:r>
              <w:t>2026机关大院保安费用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49.60</w:t>
            </w:r>
          </w:p>
        </w:tc>
        <w:tc>
          <w:tcPr>
            <w:tcW w:w="2835" w:type="dxa"/>
            <w:vAlign w:val="center"/>
          </w:tcPr>
          <w:p>
            <w:pPr>
              <w:pStyle w:val="8"/>
            </w:pPr>
            <w:r>
              <w:t>其中：财政    资金</w:t>
            </w:r>
          </w:p>
        </w:tc>
        <w:tc>
          <w:tcPr>
            <w:tcW w:w="2551" w:type="dxa"/>
            <w:vAlign w:val="center"/>
          </w:tcPr>
          <w:p>
            <w:pPr>
              <w:pStyle w:val="10"/>
            </w:pPr>
            <w:r>
              <w:t>49.60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做好机关大院安全保卫工作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做好机关大院安全保卫工作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保安人数</w:t>
            </w:r>
          </w:p>
        </w:tc>
        <w:tc>
          <w:tcPr>
            <w:tcW w:w="5386" w:type="dxa"/>
            <w:vAlign w:val="center"/>
          </w:tcPr>
          <w:p>
            <w:pPr>
              <w:pStyle w:val="10"/>
            </w:pPr>
            <w:r>
              <w:t xml:space="preserve"> 保安人数</w:t>
            </w:r>
          </w:p>
        </w:tc>
        <w:tc>
          <w:tcPr>
            <w:tcW w:w="2268" w:type="dxa"/>
            <w:vAlign w:val="center"/>
          </w:tcPr>
          <w:p>
            <w:pPr>
              <w:pStyle w:val="10"/>
            </w:pPr>
            <w:r>
              <w:t>12人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安全事故发生率</w:t>
            </w:r>
          </w:p>
        </w:tc>
        <w:tc>
          <w:tcPr>
            <w:tcW w:w="5386" w:type="dxa"/>
            <w:vAlign w:val="center"/>
          </w:tcPr>
          <w:p>
            <w:pPr>
              <w:pStyle w:val="10"/>
            </w:pPr>
            <w:r>
              <w:t xml:space="preserve"> 安全事故发生率</w:t>
            </w:r>
          </w:p>
        </w:tc>
        <w:tc>
          <w:tcPr>
            <w:tcW w:w="2268" w:type="dxa"/>
            <w:vAlign w:val="center"/>
          </w:tcPr>
          <w:p>
            <w:pPr>
              <w:pStyle w:val="10"/>
            </w:pPr>
            <w:r>
              <w:t>≤10%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每天值班在岗时间</w:t>
            </w:r>
          </w:p>
        </w:tc>
        <w:tc>
          <w:tcPr>
            <w:tcW w:w="5386" w:type="dxa"/>
            <w:vAlign w:val="center"/>
          </w:tcPr>
          <w:p>
            <w:pPr>
              <w:pStyle w:val="10"/>
            </w:pPr>
            <w:r>
              <w:t xml:space="preserve"> 每天值班在岗时间</w:t>
            </w:r>
          </w:p>
        </w:tc>
        <w:tc>
          <w:tcPr>
            <w:tcW w:w="2268" w:type="dxa"/>
            <w:vAlign w:val="center"/>
          </w:tcPr>
          <w:p>
            <w:pPr>
              <w:pStyle w:val="10"/>
            </w:pPr>
            <w:r>
              <w:t>24 小时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平均每人月工资标准</w:t>
            </w:r>
          </w:p>
        </w:tc>
        <w:tc>
          <w:tcPr>
            <w:tcW w:w="5386" w:type="dxa"/>
            <w:vAlign w:val="center"/>
          </w:tcPr>
          <w:p>
            <w:pPr>
              <w:pStyle w:val="10"/>
            </w:pPr>
            <w:r>
              <w:t xml:space="preserve"> 平均每人月工资标准</w:t>
            </w:r>
          </w:p>
        </w:tc>
        <w:tc>
          <w:tcPr>
            <w:tcW w:w="2268" w:type="dxa"/>
            <w:vAlign w:val="center"/>
          </w:tcPr>
          <w:p>
            <w:pPr>
              <w:pStyle w:val="10"/>
            </w:pPr>
            <w:r>
              <w:t>≤3500 元/人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保障机关大院安全</w:t>
            </w:r>
          </w:p>
        </w:tc>
        <w:tc>
          <w:tcPr>
            <w:tcW w:w="5386" w:type="dxa"/>
            <w:vAlign w:val="center"/>
          </w:tcPr>
          <w:p>
            <w:pPr>
              <w:pStyle w:val="10"/>
            </w:pPr>
            <w:r>
              <w:t xml:space="preserve"> 保障机关大院安全</w:t>
            </w:r>
          </w:p>
        </w:tc>
        <w:tc>
          <w:tcPr>
            <w:tcW w:w="2268" w:type="dxa"/>
            <w:vAlign w:val="center"/>
          </w:tcPr>
          <w:p>
            <w:pPr>
              <w:pStyle w:val="10"/>
            </w:pPr>
            <w:r>
              <w:t xml:space="preserve"> 保障机关大院安全</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服务对象满意度评价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2、2026机关大院保洁费用绩效目标表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13011026P001502100405</w:t>
            </w:r>
          </w:p>
        </w:tc>
        <w:tc>
          <w:tcPr>
            <w:tcW w:w="2835" w:type="dxa"/>
            <w:vAlign w:val="center"/>
          </w:tcPr>
          <w:p>
            <w:pPr>
              <w:pStyle w:val="8"/>
            </w:pPr>
            <w:r>
              <w:t>项目名称</w:t>
            </w:r>
          </w:p>
        </w:tc>
        <w:tc>
          <w:tcPr>
            <w:tcW w:w="6095" w:type="dxa"/>
            <w:gridSpan w:val="3"/>
            <w:vAlign w:val="center"/>
          </w:tcPr>
          <w:p>
            <w:pPr>
              <w:pStyle w:val="10"/>
            </w:pPr>
            <w:r>
              <w:t>2026机关大院保洁费用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52.00</w:t>
            </w:r>
          </w:p>
        </w:tc>
        <w:tc>
          <w:tcPr>
            <w:tcW w:w="2835" w:type="dxa"/>
            <w:vAlign w:val="center"/>
          </w:tcPr>
          <w:p>
            <w:pPr>
              <w:pStyle w:val="8"/>
            </w:pPr>
            <w:r>
              <w:t>其中：财政    资金</w:t>
            </w:r>
          </w:p>
        </w:tc>
        <w:tc>
          <w:tcPr>
            <w:tcW w:w="2551" w:type="dxa"/>
            <w:vAlign w:val="center"/>
          </w:tcPr>
          <w:p>
            <w:pPr>
              <w:pStyle w:val="10"/>
            </w:pPr>
            <w:r>
              <w:t>52.00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保证区政府院内三栋办公楼的外墙干净，保证大院工作环境整洁有序，窗明几净。为办事群众提供良好卫生环境</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保证区政府院内三栋办公楼的外墙干净，保证大院工作环境整洁有序，窗明几净。为办事群众提供良好卫生环境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每周巡视检查次数</w:t>
            </w:r>
          </w:p>
        </w:tc>
        <w:tc>
          <w:tcPr>
            <w:tcW w:w="5386" w:type="dxa"/>
            <w:vAlign w:val="center"/>
          </w:tcPr>
          <w:p>
            <w:pPr>
              <w:pStyle w:val="10"/>
            </w:pPr>
            <w:r>
              <w:t xml:space="preserve"> 每周巡视检查次数</w:t>
            </w:r>
          </w:p>
        </w:tc>
        <w:tc>
          <w:tcPr>
            <w:tcW w:w="2268" w:type="dxa"/>
            <w:vAlign w:val="center"/>
          </w:tcPr>
          <w:p>
            <w:pPr>
              <w:pStyle w:val="10"/>
            </w:pPr>
            <w:r>
              <w:t>≥1 次/周</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保洁完成率</w:t>
            </w:r>
          </w:p>
        </w:tc>
        <w:tc>
          <w:tcPr>
            <w:tcW w:w="5386" w:type="dxa"/>
            <w:vAlign w:val="center"/>
          </w:tcPr>
          <w:p>
            <w:pPr>
              <w:pStyle w:val="10"/>
            </w:pPr>
            <w:r>
              <w:t xml:space="preserve"> 保洁完成率</w:t>
            </w:r>
          </w:p>
        </w:tc>
        <w:tc>
          <w:tcPr>
            <w:tcW w:w="2268" w:type="dxa"/>
            <w:vAlign w:val="center"/>
          </w:tcPr>
          <w:p>
            <w:pPr>
              <w:pStyle w:val="10"/>
            </w:pPr>
            <w:r>
              <w:t>100 %</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工作任务完成及时率</w:t>
            </w:r>
          </w:p>
        </w:tc>
        <w:tc>
          <w:tcPr>
            <w:tcW w:w="5386" w:type="dxa"/>
            <w:vAlign w:val="center"/>
          </w:tcPr>
          <w:p>
            <w:pPr>
              <w:pStyle w:val="10"/>
            </w:pPr>
            <w:r>
              <w:t xml:space="preserve"> 工作任务完成及时率</w:t>
            </w:r>
          </w:p>
        </w:tc>
        <w:tc>
          <w:tcPr>
            <w:tcW w:w="2268" w:type="dxa"/>
            <w:vAlign w:val="center"/>
          </w:tcPr>
          <w:p>
            <w:pPr>
              <w:pStyle w:val="10"/>
            </w:pPr>
            <w:r>
              <w:t>100 %</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政府招标采购</w:t>
            </w:r>
          </w:p>
        </w:tc>
        <w:tc>
          <w:tcPr>
            <w:tcW w:w="5386" w:type="dxa"/>
            <w:vAlign w:val="center"/>
          </w:tcPr>
          <w:p>
            <w:pPr>
              <w:pStyle w:val="10"/>
            </w:pPr>
            <w:r>
              <w:t xml:space="preserve"> 实行政府招标采购</w:t>
            </w:r>
          </w:p>
        </w:tc>
        <w:tc>
          <w:tcPr>
            <w:tcW w:w="2268" w:type="dxa"/>
            <w:vAlign w:val="center"/>
          </w:tcPr>
          <w:p>
            <w:pPr>
              <w:pStyle w:val="10"/>
            </w:pPr>
            <w:r>
              <w:t xml:space="preserve"> 按要求实行政府招标采购</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改善办公环境</w:t>
            </w:r>
          </w:p>
        </w:tc>
        <w:tc>
          <w:tcPr>
            <w:tcW w:w="5386" w:type="dxa"/>
            <w:vAlign w:val="center"/>
          </w:tcPr>
          <w:p>
            <w:pPr>
              <w:pStyle w:val="10"/>
            </w:pPr>
            <w:r>
              <w:t xml:space="preserve"> 改善机关大院内办公环境</w:t>
            </w:r>
          </w:p>
        </w:tc>
        <w:tc>
          <w:tcPr>
            <w:tcW w:w="2268" w:type="dxa"/>
            <w:vAlign w:val="center"/>
          </w:tcPr>
          <w:p>
            <w:pPr>
              <w:pStyle w:val="10"/>
            </w:pPr>
            <w:r>
              <w:t xml:space="preserve"> 保障机关大院内办公环境良好</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≥95 %</w:t>
            </w:r>
          </w:p>
        </w:tc>
        <w:tc>
          <w:tcPr>
            <w:tcW w:w="1276" w:type="dxa"/>
            <w:vAlign w:val="center"/>
          </w:tcPr>
          <w:p>
            <w:pPr>
              <w:pStyle w:val="10"/>
            </w:pPr>
            <w:r>
              <w:t xml:space="preserve"> 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3、2026机关事务管理中心用于方舱集中（医学）收治费用绩效目标表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13011026P00150210042C</w:t>
            </w:r>
          </w:p>
        </w:tc>
        <w:tc>
          <w:tcPr>
            <w:tcW w:w="2835" w:type="dxa"/>
            <w:vAlign w:val="center"/>
          </w:tcPr>
          <w:p>
            <w:pPr>
              <w:pStyle w:val="8"/>
            </w:pPr>
            <w:r>
              <w:t>项目名称</w:t>
            </w:r>
          </w:p>
        </w:tc>
        <w:tc>
          <w:tcPr>
            <w:tcW w:w="6095" w:type="dxa"/>
            <w:gridSpan w:val="3"/>
            <w:vAlign w:val="center"/>
          </w:tcPr>
          <w:p>
            <w:pPr>
              <w:pStyle w:val="10"/>
            </w:pPr>
            <w:r>
              <w:t>2026机关事务管理中心用于方舱集中（医学）收治费用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150.00</w:t>
            </w:r>
          </w:p>
        </w:tc>
        <w:tc>
          <w:tcPr>
            <w:tcW w:w="2835" w:type="dxa"/>
            <w:vAlign w:val="center"/>
          </w:tcPr>
          <w:p>
            <w:pPr>
              <w:pStyle w:val="8"/>
            </w:pPr>
            <w:r>
              <w:t>其中：财政    资金</w:t>
            </w:r>
          </w:p>
        </w:tc>
        <w:tc>
          <w:tcPr>
            <w:tcW w:w="2551" w:type="dxa"/>
            <w:vAlign w:val="center"/>
          </w:tcPr>
          <w:p>
            <w:pPr>
              <w:pStyle w:val="10"/>
            </w:pPr>
            <w:r>
              <w:t>150.00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关于四项方舱集中（医学）收治观察点建设项目及三家方舱租赁的费用做好突发公共卫生事件应急处理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机关事务管理中心申报关于四项方舱集中（医学）收治观察点建设项目及三家方舱租赁的费用做好突发公共卫生事件应急处理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完成项目数量</w:t>
            </w:r>
          </w:p>
        </w:tc>
        <w:tc>
          <w:tcPr>
            <w:tcW w:w="5386" w:type="dxa"/>
            <w:vAlign w:val="center"/>
          </w:tcPr>
          <w:p>
            <w:pPr>
              <w:pStyle w:val="10"/>
            </w:pPr>
            <w:r>
              <w:t xml:space="preserve"> 完成项目数量</w:t>
            </w:r>
          </w:p>
        </w:tc>
        <w:tc>
          <w:tcPr>
            <w:tcW w:w="2268" w:type="dxa"/>
            <w:vAlign w:val="center"/>
          </w:tcPr>
          <w:p>
            <w:pPr>
              <w:pStyle w:val="10"/>
            </w:pPr>
            <w:r>
              <w:t>4 项</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项目验收通过率</w:t>
            </w:r>
          </w:p>
        </w:tc>
        <w:tc>
          <w:tcPr>
            <w:tcW w:w="5386" w:type="dxa"/>
            <w:vAlign w:val="center"/>
          </w:tcPr>
          <w:p>
            <w:pPr>
              <w:pStyle w:val="10"/>
            </w:pPr>
            <w:r>
              <w:t xml:space="preserve"> 项目验收通过率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突发事件应急响应及时率</w:t>
            </w:r>
          </w:p>
        </w:tc>
        <w:tc>
          <w:tcPr>
            <w:tcW w:w="5386" w:type="dxa"/>
            <w:vAlign w:val="center"/>
          </w:tcPr>
          <w:p>
            <w:pPr>
              <w:pStyle w:val="10"/>
            </w:pPr>
            <w:r>
              <w:t xml:space="preserve"> 突发事件应急响应及时率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支付项目剩余费用</w:t>
            </w:r>
          </w:p>
        </w:tc>
        <w:tc>
          <w:tcPr>
            <w:tcW w:w="5386" w:type="dxa"/>
            <w:vAlign w:val="center"/>
          </w:tcPr>
          <w:p>
            <w:pPr>
              <w:pStyle w:val="10"/>
            </w:pPr>
            <w:r>
              <w:t xml:space="preserve"> 支付项目剩余费用</w:t>
            </w:r>
          </w:p>
        </w:tc>
        <w:tc>
          <w:tcPr>
            <w:tcW w:w="2268" w:type="dxa"/>
            <w:vAlign w:val="center"/>
          </w:tcPr>
          <w:p>
            <w:pPr>
              <w:pStyle w:val="10"/>
            </w:pPr>
            <w:r>
              <w:t>150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项目发挥作用情况</w:t>
            </w:r>
          </w:p>
        </w:tc>
        <w:tc>
          <w:tcPr>
            <w:tcW w:w="5386" w:type="dxa"/>
            <w:vAlign w:val="center"/>
          </w:tcPr>
          <w:p>
            <w:pPr>
              <w:pStyle w:val="10"/>
            </w:pPr>
            <w:r>
              <w:t xml:space="preserve"> 项目发挥作用情况</w:t>
            </w:r>
          </w:p>
        </w:tc>
        <w:tc>
          <w:tcPr>
            <w:tcW w:w="2268" w:type="dxa"/>
            <w:vAlign w:val="center"/>
          </w:tcPr>
          <w:p>
            <w:pPr>
              <w:pStyle w:val="10"/>
            </w:pPr>
            <w:r>
              <w:t xml:space="preserve"> 统筹做好疫情防控工作和正向作用发挥</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 xml:space="preserve"> 保障突发公共卫生事件快速响应</w:t>
            </w:r>
          </w:p>
        </w:tc>
        <w:tc>
          <w:tcPr>
            <w:tcW w:w="5386" w:type="dxa"/>
            <w:vAlign w:val="center"/>
          </w:tcPr>
          <w:p>
            <w:pPr>
              <w:pStyle w:val="10"/>
            </w:pPr>
            <w:r>
              <w:t xml:space="preserve"> 保障突发公共卫生事件快速响应</w:t>
            </w:r>
          </w:p>
        </w:tc>
        <w:tc>
          <w:tcPr>
            <w:tcW w:w="2268" w:type="dxa"/>
            <w:vAlign w:val="center"/>
          </w:tcPr>
          <w:p>
            <w:pPr>
              <w:pStyle w:val="10"/>
            </w:pPr>
            <w:r>
              <w:t xml:space="preserve"> 保障突发公共卫生事件快速响应</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4、2026年涉军人员工资及社保绩效目标表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13011026P00325010053J</w:t>
            </w:r>
          </w:p>
        </w:tc>
        <w:tc>
          <w:tcPr>
            <w:tcW w:w="2835" w:type="dxa"/>
            <w:vAlign w:val="center"/>
          </w:tcPr>
          <w:p>
            <w:pPr>
              <w:pStyle w:val="8"/>
            </w:pPr>
            <w:r>
              <w:t>项目名称</w:t>
            </w:r>
          </w:p>
        </w:tc>
        <w:tc>
          <w:tcPr>
            <w:tcW w:w="6095" w:type="dxa"/>
            <w:gridSpan w:val="3"/>
            <w:vAlign w:val="center"/>
          </w:tcPr>
          <w:p>
            <w:pPr>
              <w:pStyle w:val="10"/>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46.11</w:t>
            </w:r>
          </w:p>
        </w:tc>
        <w:tc>
          <w:tcPr>
            <w:tcW w:w="2835" w:type="dxa"/>
            <w:vAlign w:val="center"/>
          </w:tcPr>
          <w:p>
            <w:pPr>
              <w:pStyle w:val="8"/>
            </w:pPr>
            <w:r>
              <w:t>其中：财政    资金</w:t>
            </w:r>
          </w:p>
        </w:tc>
        <w:tc>
          <w:tcPr>
            <w:tcW w:w="2551" w:type="dxa"/>
            <w:vAlign w:val="center"/>
          </w:tcPr>
          <w:p>
            <w:pPr>
              <w:pStyle w:val="10"/>
            </w:pPr>
            <w:r>
              <w:t>46.11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对符合就业困难条件的军队退役人员实行公益岗位托管安置，按时发放人员工资社保及过冬费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1.对符合就业困难条件的军队退役人员实行公益岗位托管安置，按时发放人员工资社保及过冬费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安置退役军人数</w:t>
            </w:r>
          </w:p>
        </w:tc>
        <w:tc>
          <w:tcPr>
            <w:tcW w:w="5386" w:type="dxa"/>
            <w:vAlign w:val="center"/>
          </w:tcPr>
          <w:p>
            <w:pPr>
              <w:pStyle w:val="10"/>
            </w:pPr>
            <w:r>
              <w:t xml:space="preserve"> 安置退役军人数</w:t>
            </w:r>
          </w:p>
        </w:tc>
        <w:tc>
          <w:tcPr>
            <w:tcW w:w="2268" w:type="dxa"/>
            <w:vAlign w:val="center"/>
          </w:tcPr>
          <w:p>
            <w:pPr>
              <w:pStyle w:val="10"/>
            </w:pPr>
            <w:r>
              <w:t>8 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安置退役军人工作完成率</w:t>
            </w:r>
          </w:p>
        </w:tc>
        <w:tc>
          <w:tcPr>
            <w:tcW w:w="5386" w:type="dxa"/>
            <w:vAlign w:val="center"/>
          </w:tcPr>
          <w:p>
            <w:pPr>
              <w:pStyle w:val="10"/>
            </w:pPr>
            <w:r>
              <w:t xml:space="preserve"> 安置退役军人工作完成率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退役军人工资完成率</w:t>
            </w:r>
          </w:p>
        </w:tc>
        <w:tc>
          <w:tcPr>
            <w:tcW w:w="5386" w:type="dxa"/>
            <w:vAlign w:val="center"/>
          </w:tcPr>
          <w:p>
            <w:pPr>
              <w:pStyle w:val="10"/>
            </w:pPr>
            <w:r>
              <w:t xml:space="preserve"> 退役军人工资完成率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退役军人资金发放标准</w:t>
            </w:r>
          </w:p>
        </w:tc>
        <w:tc>
          <w:tcPr>
            <w:tcW w:w="5386" w:type="dxa"/>
            <w:vAlign w:val="center"/>
          </w:tcPr>
          <w:p>
            <w:pPr>
              <w:pStyle w:val="10"/>
            </w:pPr>
            <w:r>
              <w:t xml:space="preserve"> 退役军人资金发放标准</w:t>
            </w:r>
          </w:p>
        </w:tc>
        <w:tc>
          <w:tcPr>
            <w:tcW w:w="2268" w:type="dxa"/>
            <w:vAlign w:val="center"/>
          </w:tcPr>
          <w:p>
            <w:pPr>
              <w:pStyle w:val="10"/>
            </w:pPr>
            <w:r>
              <w:t>57641.68 元/人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安置退役军人岗位数量</w:t>
            </w:r>
          </w:p>
        </w:tc>
        <w:tc>
          <w:tcPr>
            <w:tcW w:w="5386" w:type="dxa"/>
            <w:vAlign w:val="center"/>
          </w:tcPr>
          <w:p>
            <w:pPr>
              <w:pStyle w:val="10"/>
            </w:pPr>
            <w:r>
              <w:t xml:space="preserve"> 安置退役军人岗位数量</w:t>
            </w:r>
          </w:p>
        </w:tc>
        <w:tc>
          <w:tcPr>
            <w:tcW w:w="2268" w:type="dxa"/>
            <w:vAlign w:val="center"/>
          </w:tcPr>
          <w:p>
            <w:pPr>
              <w:pStyle w:val="10"/>
            </w:pPr>
            <w:r>
              <w:t>8 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5、2026专项公用经费绩效目标表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13011026P00150210039R</w:t>
            </w:r>
          </w:p>
        </w:tc>
        <w:tc>
          <w:tcPr>
            <w:tcW w:w="2835" w:type="dxa"/>
            <w:vAlign w:val="center"/>
          </w:tcPr>
          <w:p>
            <w:pPr>
              <w:pStyle w:val="8"/>
            </w:pPr>
            <w:r>
              <w:t>项目名称</w:t>
            </w:r>
          </w:p>
        </w:tc>
        <w:tc>
          <w:tcPr>
            <w:tcW w:w="6095" w:type="dxa"/>
            <w:gridSpan w:val="3"/>
            <w:vAlign w:val="center"/>
          </w:tcPr>
          <w:p>
            <w:pPr>
              <w:pStyle w:val="10"/>
            </w:pPr>
            <w:r>
              <w:t>2026专项公用经费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190.00</w:t>
            </w:r>
          </w:p>
        </w:tc>
        <w:tc>
          <w:tcPr>
            <w:tcW w:w="2835" w:type="dxa"/>
            <w:vAlign w:val="center"/>
          </w:tcPr>
          <w:p>
            <w:pPr>
              <w:pStyle w:val="8"/>
            </w:pPr>
            <w:r>
              <w:t>其中：财政    资金</w:t>
            </w:r>
          </w:p>
        </w:tc>
        <w:tc>
          <w:tcPr>
            <w:tcW w:w="2551" w:type="dxa"/>
            <w:vAlign w:val="center"/>
          </w:tcPr>
          <w:p>
            <w:pPr>
              <w:pStyle w:val="10"/>
            </w:pPr>
            <w:r>
              <w:t>190.00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完善大院及办公楼后勤保障工作，保障消防安全，保证大院内各单位办公房屋水、电、讯、暖正常供应。</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完善大院及办公楼后勤保障工作，保障消防安全，保证大院内各单位办公房屋水、电、讯、暖正常供应。</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日常巡查次数</w:t>
            </w:r>
          </w:p>
        </w:tc>
        <w:tc>
          <w:tcPr>
            <w:tcW w:w="5386" w:type="dxa"/>
            <w:vAlign w:val="center"/>
          </w:tcPr>
          <w:p>
            <w:pPr>
              <w:pStyle w:val="10"/>
            </w:pPr>
            <w:r>
              <w:t xml:space="preserve"> 日常巡查次数</w:t>
            </w:r>
          </w:p>
        </w:tc>
        <w:tc>
          <w:tcPr>
            <w:tcW w:w="2268" w:type="dxa"/>
            <w:vAlign w:val="center"/>
          </w:tcPr>
          <w:p>
            <w:pPr>
              <w:pStyle w:val="10"/>
            </w:pPr>
            <w:r>
              <w:t>≥1 次/天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保障日常办公正常运转</w:t>
            </w:r>
          </w:p>
        </w:tc>
        <w:tc>
          <w:tcPr>
            <w:tcW w:w="5386" w:type="dxa"/>
            <w:vAlign w:val="center"/>
          </w:tcPr>
          <w:p>
            <w:pPr>
              <w:pStyle w:val="10"/>
            </w:pPr>
            <w:r>
              <w:t xml:space="preserve"> 保障日常办公正常运转</w:t>
            </w:r>
          </w:p>
        </w:tc>
        <w:tc>
          <w:tcPr>
            <w:tcW w:w="2268" w:type="dxa"/>
            <w:vAlign w:val="center"/>
          </w:tcPr>
          <w:p>
            <w:pPr>
              <w:pStyle w:val="10"/>
            </w:pPr>
            <w:r>
              <w:t xml:space="preserve"> 能保障日常办公正常运转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大故障排除时限</w:t>
            </w:r>
          </w:p>
        </w:tc>
        <w:tc>
          <w:tcPr>
            <w:tcW w:w="5386" w:type="dxa"/>
            <w:vAlign w:val="center"/>
          </w:tcPr>
          <w:p>
            <w:pPr>
              <w:pStyle w:val="10"/>
            </w:pPr>
            <w:r>
              <w:t xml:space="preserve"> 大故障排除时限</w:t>
            </w:r>
          </w:p>
        </w:tc>
        <w:tc>
          <w:tcPr>
            <w:tcW w:w="2268" w:type="dxa"/>
            <w:vAlign w:val="center"/>
          </w:tcPr>
          <w:p>
            <w:pPr>
              <w:pStyle w:val="10"/>
            </w:pPr>
            <w:r>
              <w:t>≤24 小时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不超出预算支出数</w:t>
            </w:r>
          </w:p>
        </w:tc>
        <w:tc>
          <w:tcPr>
            <w:tcW w:w="5386" w:type="dxa"/>
            <w:vAlign w:val="center"/>
          </w:tcPr>
          <w:p>
            <w:pPr>
              <w:pStyle w:val="10"/>
            </w:pPr>
            <w:r>
              <w:t xml:space="preserve"> 不超出预算支出数</w:t>
            </w:r>
          </w:p>
        </w:tc>
        <w:tc>
          <w:tcPr>
            <w:tcW w:w="2268" w:type="dxa"/>
            <w:vAlign w:val="center"/>
          </w:tcPr>
          <w:p>
            <w:pPr>
              <w:pStyle w:val="10"/>
            </w:pPr>
            <w:r>
              <w:t>≤200 万元/年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保障机关大院日常办公正常运转</w:t>
            </w:r>
          </w:p>
        </w:tc>
        <w:tc>
          <w:tcPr>
            <w:tcW w:w="5386" w:type="dxa"/>
            <w:vAlign w:val="center"/>
          </w:tcPr>
          <w:p>
            <w:pPr>
              <w:pStyle w:val="10"/>
            </w:pPr>
            <w:r>
              <w:t xml:space="preserve"> 保障机关大院日常办公正常运转</w:t>
            </w:r>
          </w:p>
        </w:tc>
        <w:tc>
          <w:tcPr>
            <w:tcW w:w="2268" w:type="dxa"/>
            <w:vAlign w:val="center"/>
          </w:tcPr>
          <w:p>
            <w:pPr>
              <w:pStyle w:val="10"/>
            </w:pPr>
            <w:r>
              <w:t xml:space="preserve"> 保障机关大院日常办公正常运转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6、2026专项公用经费（电费）绩效目标表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13011026P00150210027N</w:t>
            </w:r>
          </w:p>
        </w:tc>
        <w:tc>
          <w:tcPr>
            <w:tcW w:w="2835" w:type="dxa"/>
            <w:vAlign w:val="center"/>
          </w:tcPr>
          <w:p>
            <w:pPr>
              <w:pStyle w:val="8"/>
            </w:pPr>
            <w:r>
              <w:t>项目名称</w:t>
            </w:r>
          </w:p>
        </w:tc>
        <w:tc>
          <w:tcPr>
            <w:tcW w:w="6095" w:type="dxa"/>
            <w:gridSpan w:val="3"/>
            <w:vAlign w:val="center"/>
          </w:tcPr>
          <w:p>
            <w:pPr>
              <w:pStyle w:val="10"/>
            </w:pPr>
            <w:r>
              <w:t>2026专项公用经费（电费）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保障机关大院工作正常运行，保障各机关办公用房正常用电。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100%</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保障机关大院工作正常运行，保障各机关办公用房正常用电。</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安全检查次数</w:t>
            </w:r>
          </w:p>
        </w:tc>
        <w:tc>
          <w:tcPr>
            <w:tcW w:w="5386" w:type="dxa"/>
            <w:vAlign w:val="center"/>
          </w:tcPr>
          <w:p>
            <w:pPr>
              <w:pStyle w:val="10"/>
            </w:pPr>
            <w:r>
              <w:t xml:space="preserve"> 用电安全检查次数</w:t>
            </w:r>
          </w:p>
        </w:tc>
        <w:tc>
          <w:tcPr>
            <w:tcW w:w="2268" w:type="dxa"/>
            <w:vAlign w:val="center"/>
          </w:tcPr>
          <w:p>
            <w:pPr>
              <w:pStyle w:val="10"/>
            </w:pPr>
            <w:r>
              <w:t>≥1 次/天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日常办公正常运转</w:t>
            </w:r>
          </w:p>
        </w:tc>
        <w:tc>
          <w:tcPr>
            <w:tcW w:w="5386" w:type="dxa"/>
            <w:vAlign w:val="center"/>
          </w:tcPr>
          <w:p>
            <w:pPr>
              <w:pStyle w:val="10"/>
            </w:pPr>
            <w:r>
              <w:t xml:space="preserve"> 保障日常办公正常运转</w:t>
            </w:r>
          </w:p>
        </w:tc>
        <w:tc>
          <w:tcPr>
            <w:tcW w:w="2268" w:type="dxa"/>
            <w:vAlign w:val="center"/>
          </w:tcPr>
          <w:p>
            <w:pPr>
              <w:pStyle w:val="10"/>
            </w:pPr>
            <w:r>
              <w:t xml:space="preserve"> 保障日常办公正常运转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排除时限</w:t>
            </w:r>
          </w:p>
        </w:tc>
        <w:tc>
          <w:tcPr>
            <w:tcW w:w="5386" w:type="dxa"/>
            <w:vAlign w:val="center"/>
          </w:tcPr>
          <w:p>
            <w:pPr>
              <w:pStyle w:val="10"/>
            </w:pPr>
            <w:r>
              <w:t xml:space="preserve"> 故障排除时限</w:t>
            </w:r>
          </w:p>
        </w:tc>
        <w:tc>
          <w:tcPr>
            <w:tcW w:w="2268" w:type="dxa"/>
            <w:vAlign w:val="center"/>
          </w:tcPr>
          <w:p>
            <w:pPr>
              <w:pStyle w:val="10"/>
            </w:pPr>
            <w:r>
              <w:t>≤24 小时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预算支出数</w:t>
            </w:r>
          </w:p>
        </w:tc>
        <w:tc>
          <w:tcPr>
            <w:tcW w:w="5386" w:type="dxa"/>
            <w:vAlign w:val="center"/>
          </w:tcPr>
          <w:p>
            <w:pPr>
              <w:pStyle w:val="10"/>
            </w:pPr>
            <w:r>
              <w:t xml:space="preserve"> 不超预算支出数</w:t>
            </w:r>
          </w:p>
        </w:tc>
        <w:tc>
          <w:tcPr>
            <w:tcW w:w="2268" w:type="dxa"/>
            <w:vAlign w:val="center"/>
          </w:tcPr>
          <w:p>
            <w:pPr>
              <w:pStyle w:val="10"/>
            </w:pPr>
            <w:r>
              <w:t>≤10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日常办公正常运转</w:t>
            </w:r>
          </w:p>
        </w:tc>
        <w:tc>
          <w:tcPr>
            <w:tcW w:w="5386" w:type="dxa"/>
            <w:vAlign w:val="center"/>
          </w:tcPr>
          <w:p>
            <w:pPr>
              <w:pStyle w:val="10"/>
            </w:pPr>
            <w:r>
              <w:t xml:space="preserve"> 保障日常办公正常运转</w:t>
            </w:r>
          </w:p>
        </w:tc>
        <w:tc>
          <w:tcPr>
            <w:tcW w:w="2268" w:type="dxa"/>
            <w:vAlign w:val="center"/>
          </w:tcPr>
          <w:p>
            <w:pPr>
              <w:pStyle w:val="10"/>
            </w:pPr>
            <w:r>
              <w:t xml:space="preserve"> 保障日常办公正常运转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对象满意度</w:t>
            </w:r>
          </w:p>
        </w:tc>
        <w:tc>
          <w:tcPr>
            <w:tcW w:w="5386" w:type="dxa"/>
            <w:vAlign w:val="center"/>
          </w:tcPr>
          <w:p>
            <w:pPr>
              <w:pStyle w:val="10"/>
            </w:pPr>
            <w:r>
              <w:t xml:space="preserve"> 服务对象满意度</w:t>
            </w:r>
          </w:p>
        </w:tc>
        <w:tc>
          <w:tcPr>
            <w:tcW w:w="2268" w:type="dxa"/>
            <w:vAlign w:val="center"/>
          </w:tcPr>
          <w:p>
            <w:pPr>
              <w:pStyle w:val="10"/>
            </w:pPr>
            <w:r>
              <w:t>≥95 %</w:t>
            </w:r>
          </w:p>
        </w:tc>
        <w:tc>
          <w:tcPr>
            <w:tcW w:w="1276" w:type="dxa"/>
            <w:vAlign w:val="center"/>
          </w:tcPr>
          <w:p>
            <w:pPr>
              <w:pStyle w:val="10"/>
            </w:pPr>
            <w:r>
              <w:t xml:space="preserve"> 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7、办公用房大中修绩效目标表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13011026P00150210049M</w:t>
            </w:r>
          </w:p>
        </w:tc>
        <w:tc>
          <w:tcPr>
            <w:tcW w:w="2835" w:type="dxa"/>
            <w:vAlign w:val="center"/>
          </w:tcPr>
          <w:p>
            <w:pPr>
              <w:pStyle w:val="8"/>
            </w:pPr>
            <w:r>
              <w:t>项目名称</w:t>
            </w:r>
          </w:p>
        </w:tc>
        <w:tc>
          <w:tcPr>
            <w:tcW w:w="6095" w:type="dxa"/>
            <w:gridSpan w:val="3"/>
            <w:vAlign w:val="center"/>
          </w:tcPr>
          <w:p>
            <w:pPr>
              <w:pStyle w:val="10"/>
            </w:pPr>
            <w:r>
              <w:t>办公用房大中修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14个单位办公用房大中维修，保障日常办公</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14个单位办公用房大中维修，保障日常办公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维修单位数量</w:t>
            </w:r>
          </w:p>
        </w:tc>
        <w:tc>
          <w:tcPr>
            <w:tcW w:w="5386" w:type="dxa"/>
            <w:vAlign w:val="center"/>
          </w:tcPr>
          <w:p>
            <w:pPr>
              <w:pStyle w:val="10"/>
            </w:pPr>
            <w:r>
              <w:t xml:space="preserve"> 维修单位数量</w:t>
            </w:r>
          </w:p>
        </w:tc>
        <w:tc>
          <w:tcPr>
            <w:tcW w:w="2268" w:type="dxa"/>
            <w:vAlign w:val="center"/>
          </w:tcPr>
          <w:p>
            <w:pPr>
              <w:pStyle w:val="10"/>
            </w:pPr>
            <w:r>
              <w:t>6 个</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维修合格率(%)</w:t>
            </w:r>
          </w:p>
        </w:tc>
        <w:tc>
          <w:tcPr>
            <w:tcW w:w="5386" w:type="dxa"/>
            <w:vAlign w:val="center"/>
          </w:tcPr>
          <w:p>
            <w:pPr>
              <w:pStyle w:val="10"/>
            </w:pPr>
            <w:r>
              <w:t>维修合格率(%)</w:t>
            </w:r>
          </w:p>
        </w:tc>
        <w:tc>
          <w:tcPr>
            <w:tcW w:w="2268" w:type="dxa"/>
            <w:vAlign w:val="center"/>
          </w:tcPr>
          <w:p>
            <w:pPr>
              <w:pStyle w:val="10"/>
            </w:pPr>
            <w:r>
              <w:t>100 %</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按时完成维修工程</w:t>
            </w:r>
          </w:p>
        </w:tc>
        <w:tc>
          <w:tcPr>
            <w:tcW w:w="5386" w:type="dxa"/>
            <w:vAlign w:val="center"/>
          </w:tcPr>
          <w:p>
            <w:pPr>
              <w:pStyle w:val="10"/>
            </w:pPr>
            <w:r>
              <w:t xml:space="preserve"> 按时完成维修工程</w:t>
            </w:r>
          </w:p>
        </w:tc>
        <w:tc>
          <w:tcPr>
            <w:tcW w:w="2268" w:type="dxa"/>
            <w:vAlign w:val="center"/>
          </w:tcPr>
          <w:p>
            <w:pPr>
              <w:pStyle w:val="10"/>
            </w:pPr>
            <w:r>
              <w:t>≤1 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维修改造成本</w:t>
            </w:r>
          </w:p>
        </w:tc>
        <w:tc>
          <w:tcPr>
            <w:tcW w:w="5386" w:type="dxa"/>
            <w:vAlign w:val="center"/>
          </w:tcPr>
          <w:p>
            <w:pPr>
              <w:pStyle w:val="10"/>
            </w:pPr>
            <w:r>
              <w:t xml:space="preserve"> 维修改造成本</w:t>
            </w:r>
          </w:p>
        </w:tc>
        <w:tc>
          <w:tcPr>
            <w:tcW w:w="2268" w:type="dxa"/>
            <w:vAlign w:val="center"/>
          </w:tcPr>
          <w:p>
            <w:pPr>
              <w:pStyle w:val="10"/>
            </w:pPr>
            <w:r>
              <w:t>≤80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保障日常办公</w:t>
            </w:r>
          </w:p>
        </w:tc>
        <w:tc>
          <w:tcPr>
            <w:tcW w:w="5386" w:type="dxa"/>
            <w:vAlign w:val="center"/>
          </w:tcPr>
          <w:p>
            <w:pPr>
              <w:pStyle w:val="10"/>
            </w:pPr>
            <w:r>
              <w:t xml:space="preserve"> 保障日常办公</w:t>
            </w:r>
          </w:p>
        </w:tc>
        <w:tc>
          <w:tcPr>
            <w:tcW w:w="2268" w:type="dxa"/>
            <w:vAlign w:val="center"/>
          </w:tcPr>
          <w:p>
            <w:pPr>
              <w:pStyle w:val="10"/>
            </w:pPr>
            <w:r>
              <w:t xml:space="preserve"> 保障日常办公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8、大院综合楼七楼异地交流干部用房工程款绩效目标表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13011026P00150210044K</w:t>
            </w:r>
          </w:p>
        </w:tc>
        <w:tc>
          <w:tcPr>
            <w:tcW w:w="2835" w:type="dxa"/>
            <w:vAlign w:val="center"/>
          </w:tcPr>
          <w:p>
            <w:pPr>
              <w:pStyle w:val="8"/>
            </w:pPr>
            <w:r>
              <w:t>项目名称</w:t>
            </w:r>
          </w:p>
        </w:tc>
        <w:tc>
          <w:tcPr>
            <w:tcW w:w="6095" w:type="dxa"/>
            <w:gridSpan w:val="3"/>
            <w:vAlign w:val="center"/>
          </w:tcPr>
          <w:p>
            <w:pPr>
              <w:pStyle w:val="10"/>
            </w:pPr>
            <w:r>
              <w:t>大院综合楼七楼异地交流干部用房工程款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w:t>
            </w:r>
          </w:p>
        </w:tc>
        <w:tc>
          <w:tcPr>
            <w:tcW w:w="2835" w:type="dxa"/>
            <w:vAlign w:val="center"/>
          </w:tcPr>
          <w:p>
            <w:pPr>
              <w:pStyle w:val="8"/>
            </w:pPr>
            <w:r>
              <w:t>其中：财政    资金</w:t>
            </w:r>
          </w:p>
        </w:tc>
        <w:tc>
          <w:tcPr>
            <w:tcW w:w="2551" w:type="dxa"/>
            <w:vAlign w:val="center"/>
          </w:tcPr>
          <w:p>
            <w:pPr>
              <w:pStyle w:val="10"/>
            </w:pPr>
            <w:r>
              <w:t>4.00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为我区符合条件的19名县处级异地交流干部改造住宿用房，为异地交流干部提供住宿便利。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为我区符合条件的19名县处级异地交流干部改造住宿用房，为异地交流干部提供住宿便利。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改造面积</w:t>
            </w:r>
          </w:p>
        </w:tc>
        <w:tc>
          <w:tcPr>
            <w:tcW w:w="5386" w:type="dxa"/>
            <w:vAlign w:val="center"/>
          </w:tcPr>
          <w:p>
            <w:pPr>
              <w:pStyle w:val="10"/>
            </w:pPr>
            <w:r>
              <w:t xml:space="preserve"> 改造住宿用房面积</w:t>
            </w:r>
          </w:p>
        </w:tc>
        <w:tc>
          <w:tcPr>
            <w:tcW w:w="2268" w:type="dxa"/>
            <w:vAlign w:val="center"/>
          </w:tcPr>
          <w:p>
            <w:pPr>
              <w:pStyle w:val="10"/>
            </w:pPr>
            <w:r>
              <w:t>979.4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工程质量合格率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项目按计划完工情况</w:t>
            </w:r>
          </w:p>
        </w:tc>
        <w:tc>
          <w:tcPr>
            <w:tcW w:w="5386" w:type="dxa"/>
            <w:vAlign w:val="center"/>
          </w:tcPr>
          <w:p>
            <w:pPr>
              <w:pStyle w:val="10"/>
            </w:pPr>
            <w:r>
              <w:t xml:space="preserve"> 项目按计划完工情况</w:t>
            </w:r>
          </w:p>
        </w:tc>
        <w:tc>
          <w:tcPr>
            <w:tcW w:w="2268" w:type="dxa"/>
            <w:vAlign w:val="center"/>
          </w:tcPr>
          <w:p>
            <w:pPr>
              <w:pStyle w:val="10"/>
            </w:pPr>
            <w:r>
              <w:t xml:space="preserve"> 已完工验收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剩余未支付项目改造成本</w:t>
            </w:r>
          </w:p>
        </w:tc>
        <w:tc>
          <w:tcPr>
            <w:tcW w:w="5386" w:type="dxa"/>
            <w:vAlign w:val="center"/>
          </w:tcPr>
          <w:p>
            <w:pPr>
              <w:pStyle w:val="10"/>
            </w:pPr>
            <w:r>
              <w:t xml:space="preserve"> 剩余未支付项目改造成本</w:t>
            </w:r>
          </w:p>
        </w:tc>
        <w:tc>
          <w:tcPr>
            <w:tcW w:w="2268" w:type="dxa"/>
            <w:vAlign w:val="center"/>
          </w:tcPr>
          <w:p>
            <w:pPr>
              <w:pStyle w:val="10"/>
            </w:pPr>
            <w:r>
              <w:t>4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提高异地领导干部住宿环境</w:t>
            </w:r>
          </w:p>
        </w:tc>
        <w:tc>
          <w:tcPr>
            <w:tcW w:w="5386" w:type="dxa"/>
            <w:vAlign w:val="center"/>
          </w:tcPr>
          <w:p>
            <w:pPr>
              <w:pStyle w:val="10"/>
            </w:pPr>
            <w:r>
              <w:t xml:space="preserve"> 提高异地领导干部住宿环境</w:t>
            </w:r>
          </w:p>
        </w:tc>
        <w:tc>
          <w:tcPr>
            <w:tcW w:w="2268" w:type="dxa"/>
            <w:vAlign w:val="center"/>
          </w:tcPr>
          <w:p>
            <w:pPr>
              <w:pStyle w:val="10"/>
            </w:pPr>
            <w:r>
              <w:t xml:space="preserve"> 使异地领导干部住宿环境得到明显改善</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9、法院派出法庭供暖配套设备安装费用绩效目标表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13011026P001502100501</w:t>
            </w:r>
          </w:p>
        </w:tc>
        <w:tc>
          <w:tcPr>
            <w:tcW w:w="2835" w:type="dxa"/>
            <w:vAlign w:val="center"/>
          </w:tcPr>
          <w:p>
            <w:pPr>
              <w:pStyle w:val="8"/>
            </w:pPr>
            <w:r>
              <w:t>项目名称</w:t>
            </w:r>
          </w:p>
        </w:tc>
        <w:tc>
          <w:tcPr>
            <w:tcW w:w="6095" w:type="dxa"/>
            <w:gridSpan w:val="3"/>
            <w:vAlign w:val="center"/>
          </w:tcPr>
          <w:p>
            <w:pPr>
              <w:pStyle w:val="10"/>
            </w:pPr>
            <w:r>
              <w:t>法院派出法庭供暖配套设备安装费用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确保供暖系统高效、舒适、安全且符合可持续发展要求，同时满足法规标准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确保供暖系统高效、舒适、安全且符合可持续发展要求，同时满足法规标准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派出法庭供暖面积</w:t>
            </w:r>
          </w:p>
        </w:tc>
        <w:tc>
          <w:tcPr>
            <w:tcW w:w="5386" w:type="dxa"/>
            <w:vAlign w:val="center"/>
          </w:tcPr>
          <w:p>
            <w:pPr>
              <w:pStyle w:val="10"/>
            </w:pPr>
            <w:r>
              <w:t xml:space="preserve"> 派出法庭供暖面积</w:t>
            </w:r>
          </w:p>
        </w:tc>
        <w:tc>
          <w:tcPr>
            <w:tcW w:w="2268" w:type="dxa"/>
            <w:vAlign w:val="center"/>
          </w:tcPr>
          <w:p>
            <w:pPr>
              <w:pStyle w:val="10"/>
            </w:pPr>
            <w:r>
              <w:t>1429.7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工程合格率</w:t>
            </w:r>
          </w:p>
        </w:tc>
        <w:tc>
          <w:tcPr>
            <w:tcW w:w="2268" w:type="dxa"/>
            <w:vAlign w:val="center"/>
          </w:tcPr>
          <w:p>
            <w:pPr>
              <w:pStyle w:val="10"/>
            </w:pPr>
            <w:r>
              <w:t>100%</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工期完工时间</w:t>
            </w:r>
          </w:p>
        </w:tc>
        <w:tc>
          <w:tcPr>
            <w:tcW w:w="5386" w:type="dxa"/>
            <w:vAlign w:val="center"/>
          </w:tcPr>
          <w:p>
            <w:pPr>
              <w:pStyle w:val="10"/>
            </w:pPr>
            <w:r>
              <w:t>工期完工时间</w:t>
            </w:r>
          </w:p>
        </w:tc>
        <w:tc>
          <w:tcPr>
            <w:tcW w:w="2268" w:type="dxa"/>
            <w:vAlign w:val="center"/>
          </w:tcPr>
          <w:p>
            <w:pPr>
              <w:pStyle w:val="10"/>
            </w:pPr>
            <w:r>
              <w:t>≤30 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≤5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通过改善供暖环境，为工作人员提供更舒适健康的工作环境</w:t>
            </w:r>
          </w:p>
        </w:tc>
        <w:tc>
          <w:tcPr>
            <w:tcW w:w="5386" w:type="dxa"/>
            <w:vAlign w:val="center"/>
          </w:tcPr>
          <w:p>
            <w:pPr>
              <w:pStyle w:val="10"/>
            </w:pPr>
            <w:r>
              <w:t xml:space="preserve"> 通过改善供暖环境，为工作人员提供更舒适健康的工作环境</w:t>
            </w:r>
          </w:p>
        </w:tc>
        <w:tc>
          <w:tcPr>
            <w:tcW w:w="2268" w:type="dxa"/>
            <w:vAlign w:val="center"/>
          </w:tcPr>
          <w:p>
            <w:pPr>
              <w:pStyle w:val="10"/>
            </w:pPr>
            <w:r>
              <w:t xml:space="preserve"> 通过改善供暖环境，为工作人员提供更舒适健康的工作环境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10、法院派出法庭恢复项目绩效目标表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13011026P001502100430</w:t>
            </w:r>
          </w:p>
        </w:tc>
        <w:tc>
          <w:tcPr>
            <w:tcW w:w="2835" w:type="dxa"/>
            <w:vAlign w:val="center"/>
          </w:tcPr>
          <w:p>
            <w:pPr>
              <w:pStyle w:val="8"/>
            </w:pPr>
            <w:r>
              <w:t>项目名称</w:t>
            </w:r>
          </w:p>
        </w:tc>
        <w:tc>
          <w:tcPr>
            <w:tcW w:w="6095" w:type="dxa"/>
            <w:gridSpan w:val="3"/>
            <w:vAlign w:val="center"/>
          </w:tcPr>
          <w:p>
            <w:pPr>
              <w:pStyle w:val="10"/>
            </w:pPr>
            <w:r>
              <w:t>法院派出法庭恢复项目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保障法院两个派出法庭正常工作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保障法院两个派出法庭正常工作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修缮派出法庭个数</w:t>
            </w:r>
          </w:p>
        </w:tc>
        <w:tc>
          <w:tcPr>
            <w:tcW w:w="5386" w:type="dxa"/>
            <w:vAlign w:val="center"/>
          </w:tcPr>
          <w:p>
            <w:pPr>
              <w:pStyle w:val="10"/>
            </w:pPr>
            <w:r>
              <w:t xml:space="preserve"> 修缮派出法庭个数</w:t>
            </w:r>
          </w:p>
        </w:tc>
        <w:tc>
          <w:tcPr>
            <w:tcW w:w="2268" w:type="dxa"/>
            <w:vAlign w:val="center"/>
          </w:tcPr>
          <w:p>
            <w:pPr>
              <w:pStyle w:val="10"/>
            </w:pPr>
            <w:r>
              <w:t>2个</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派出法庭验收合格率</w:t>
            </w:r>
          </w:p>
        </w:tc>
        <w:tc>
          <w:tcPr>
            <w:tcW w:w="5386" w:type="dxa"/>
            <w:vAlign w:val="center"/>
          </w:tcPr>
          <w:p>
            <w:pPr>
              <w:pStyle w:val="10"/>
            </w:pPr>
            <w:r>
              <w:t xml:space="preserve"> 修缮派出法庭验收合格率</w:t>
            </w:r>
          </w:p>
        </w:tc>
        <w:tc>
          <w:tcPr>
            <w:tcW w:w="2268" w:type="dxa"/>
            <w:vAlign w:val="center"/>
          </w:tcPr>
          <w:p>
            <w:pPr>
              <w:pStyle w:val="10"/>
            </w:pPr>
            <w:r>
              <w:t>100 %</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修缮响应时间</w:t>
            </w:r>
          </w:p>
        </w:tc>
        <w:tc>
          <w:tcPr>
            <w:tcW w:w="5386" w:type="dxa"/>
            <w:vAlign w:val="center"/>
          </w:tcPr>
          <w:p>
            <w:pPr>
              <w:pStyle w:val="10"/>
            </w:pPr>
            <w:r>
              <w:t xml:space="preserve"> 修缮响应时间</w:t>
            </w:r>
          </w:p>
        </w:tc>
        <w:tc>
          <w:tcPr>
            <w:tcW w:w="2268" w:type="dxa"/>
            <w:vAlign w:val="center"/>
          </w:tcPr>
          <w:p>
            <w:pPr>
              <w:pStyle w:val="10"/>
            </w:pPr>
            <w:r>
              <w:t>≤90 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工程修缮恢复成本</w:t>
            </w:r>
          </w:p>
        </w:tc>
        <w:tc>
          <w:tcPr>
            <w:tcW w:w="5386" w:type="dxa"/>
            <w:vAlign w:val="center"/>
          </w:tcPr>
          <w:p>
            <w:pPr>
              <w:pStyle w:val="10"/>
            </w:pPr>
            <w:r>
              <w:t xml:space="preserve"> 工程修缮恢复成本</w:t>
            </w:r>
          </w:p>
        </w:tc>
        <w:tc>
          <w:tcPr>
            <w:tcW w:w="2268" w:type="dxa"/>
            <w:vAlign w:val="center"/>
          </w:tcPr>
          <w:p>
            <w:pPr>
              <w:pStyle w:val="10"/>
            </w:pPr>
            <w:r>
              <w:t>≤20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保障两个派出法庭正常工作</w:t>
            </w:r>
          </w:p>
        </w:tc>
        <w:tc>
          <w:tcPr>
            <w:tcW w:w="5386" w:type="dxa"/>
            <w:vAlign w:val="center"/>
          </w:tcPr>
          <w:p>
            <w:pPr>
              <w:pStyle w:val="10"/>
            </w:pPr>
            <w:r>
              <w:t xml:space="preserve"> 保障两个派出法庭正常工作</w:t>
            </w:r>
          </w:p>
        </w:tc>
        <w:tc>
          <w:tcPr>
            <w:tcW w:w="2268" w:type="dxa"/>
            <w:vAlign w:val="center"/>
          </w:tcPr>
          <w:p>
            <w:pPr>
              <w:pStyle w:val="10"/>
            </w:pPr>
            <w:r>
              <w:t xml:space="preserve"> 保障两个派出法庭正常工作</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11、机关大院周边拆迁区域绿化硬化工程绩效目标表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13011026P001502100528</w:t>
            </w:r>
          </w:p>
        </w:tc>
        <w:tc>
          <w:tcPr>
            <w:tcW w:w="2835" w:type="dxa"/>
            <w:vAlign w:val="center"/>
          </w:tcPr>
          <w:p>
            <w:pPr>
              <w:pStyle w:val="8"/>
            </w:pPr>
            <w:r>
              <w:t>项目名称</w:t>
            </w:r>
          </w:p>
        </w:tc>
        <w:tc>
          <w:tcPr>
            <w:tcW w:w="6095" w:type="dxa"/>
            <w:gridSpan w:val="3"/>
            <w:vAlign w:val="center"/>
          </w:tcPr>
          <w:p>
            <w:pPr>
              <w:pStyle w:val="10"/>
            </w:pPr>
            <w:r>
              <w:t>机关大院周边拆迁区域绿化硬化工程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310.00</w:t>
            </w:r>
          </w:p>
        </w:tc>
        <w:tc>
          <w:tcPr>
            <w:tcW w:w="2835" w:type="dxa"/>
            <w:vAlign w:val="center"/>
          </w:tcPr>
          <w:p>
            <w:pPr>
              <w:pStyle w:val="8"/>
            </w:pPr>
            <w:r>
              <w:t>其中：财政    资金</w:t>
            </w:r>
          </w:p>
        </w:tc>
        <w:tc>
          <w:tcPr>
            <w:tcW w:w="2551" w:type="dxa"/>
            <w:vAlign w:val="center"/>
          </w:tcPr>
          <w:p>
            <w:pPr>
              <w:pStyle w:val="10"/>
            </w:pPr>
            <w:r>
              <w:t>310.00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完成相关拆迁区域绿化硬化工程建设，按时投入使用，确保高效安全进行日常工作，同时为工作人员提供舒适、健康的工作环境。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完成相关拆迁区域绿化硬化工程建设，按时投入使用，确保高效安全进行日常工作，同时为工作人员提供舒适、健康的工作环境。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拆迁改造面积</w:t>
            </w:r>
          </w:p>
        </w:tc>
        <w:tc>
          <w:tcPr>
            <w:tcW w:w="5386" w:type="dxa"/>
            <w:vAlign w:val="center"/>
          </w:tcPr>
          <w:p>
            <w:pPr>
              <w:pStyle w:val="10"/>
            </w:pPr>
            <w:r>
              <w:t xml:space="preserve"> 需要绿化硬化工程改造的面积</w:t>
            </w:r>
          </w:p>
        </w:tc>
        <w:tc>
          <w:tcPr>
            <w:tcW w:w="2268" w:type="dxa"/>
            <w:vAlign w:val="center"/>
          </w:tcPr>
          <w:p>
            <w:pPr>
              <w:pStyle w:val="10"/>
            </w:pPr>
            <w:r>
              <w:t>14139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项目验收通过率（%）</w:t>
            </w:r>
          </w:p>
        </w:tc>
        <w:tc>
          <w:tcPr>
            <w:tcW w:w="5386" w:type="dxa"/>
            <w:vAlign w:val="center"/>
          </w:tcPr>
          <w:p>
            <w:pPr>
              <w:pStyle w:val="10"/>
            </w:pPr>
            <w:r>
              <w:t>项目验收通过率（%）</w:t>
            </w:r>
          </w:p>
        </w:tc>
        <w:tc>
          <w:tcPr>
            <w:tcW w:w="2268" w:type="dxa"/>
            <w:vAlign w:val="center"/>
          </w:tcPr>
          <w:p>
            <w:pPr>
              <w:pStyle w:val="10"/>
            </w:pPr>
            <w:r>
              <w:t>100%</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≤310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保障日常工作高效运转</w:t>
            </w:r>
          </w:p>
        </w:tc>
        <w:tc>
          <w:tcPr>
            <w:tcW w:w="5386" w:type="dxa"/>
            <w:vAlign w:val="center"/>
          </w:tcPr>
          <w:p>
            <w:pPr>
              <w:pStyle w:val="10"/>
            </w:pPr>
            <w:r>
              <w:t xml:space="preserve"> 保障日常工作高效运转</w:t>
            </w:r>
          </w:p>
        </w:tc>
        <w:tc>
          <w:tcPr>
            <w:tcW w:w="2268" w:type="dxa"/>
            <w:vAlign w:val="center"/>
          </w:tcPr>
          <w:p>
            <w:pPr>
              <w:pStyle w:val="10"/>
            </w:pPr>
            <w:r>
              <w:t xml:space="preserve"> 保障日常工作高效运转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12、区委区政府大院水泵房二次加压改造工程绩效目标表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13011026P00150210051L</w:t>
            </w:r>
          </w:p>
        </w:tc>
        <w:tc>
          <w:tcPr>
            <w:tcW w:w="2835" w:type="dxa"/>
            <w:vAlign w:val="center"/>
          </w:tcPr>
          <w:p>
            <w:pPr>
              <w:pStyle w:val="8"/>
            </w:pPr>
            <w:r>
              <w:t>项目名称</w:t>
            </w:r>
          </w:p>
        </w:tc>
        <w:tc>
          <w:tcPr>
            <w:tcW w:w="6095" w:type="dxa"/>
            <w:gridSpan w:val="3"/>
            <w:vAlign w:val="center"/>
          </w:tcPr>
          <w:p>
            <w:pPr>
              <w:pStyle w:val="10"/>
            </w:pPr>
            <w:r>
              <w:t>区委区政府大院水泵房二次加压改造工程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保障机关大院日常工作运行，保证机关大院内各单位办公用房供水正常。</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1.保障机关大院日常工作运行，保证机关大院内各单位办公用房供水正常。</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改造、修缮工程数量</w:t>
            </w:r>
          </w:p>
        </w:tc>
        <w:tc>
          <w:tcPr>
            <w:tcW w:w="5386" w:type="dxa"/>
            <w:vAlign w:val="center"/>
          </w:tcPr>
          <w:p>
            <w:pPr>
              <w:pStyle w:val="10"/>
            </w:pPr>
            <w:r>
              <w:t>反映改造、修缮工程数量情况。</w:t>
            </w:r>
          </w:p>
        </w:tc>
        <w:tc>
          <w:tcPr>
            <w:tcW w:w="2268" w:type="dxa"/>
            <w:vAlign w:val="center"/>
          </w:tcPr>
          <w:p>
            <w:pPr>
              <w:pStyle w:val="10"/>
            </w:pPr>
            <w:r>
              <w:t>1 项</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≤10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保障机关大院日常工作运行，保证机关大院内各单位办公用房供水正常。</w:t>
            </w:r>
          </w:p>
        </w:tc>
        <w:tc>
          <w:tcPr>
            <w:tcW w:w="5386" w:type="dxa"/>
            <w:vAlign w:val="center"/>
          </w:tcPr>
          <w:p>
            <w:pPr>
              <w:pStyle w:val="10"/>
            </w:pPr>
            <w:r>
              <w:t>保障机关大院日常工作运行，保证机关大院内各单位办公用房供水正常。</w:t>
            </w:r>
          </w:p>
        </w:tc>
        <w:tc>
          <w:tcPr>
            <w:tcW w:w="2268" w:type="dxa"/>
            <w:vAlign w:val="center"/>
          </w:tcPr>
          <w:p>
            <w:pPr>
              <w:pStyle w:val="10"/>
            </w:pPr>
            <w:r>
              <w:t>保障机关大院日常工作运行，保证机关大院内各单位办公用房供水正常。</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13、审计局部分科室租赁费用、物业服务费及能源费用绩效目标表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13011026P001502100457</w:t>
            </w:r>
          </w:p>
        </w:tc>
        <w:tc>
          <w:tcPr>
            <w:tcW w:w="2835" w:type="dxa"/>
            <w:vAlign w:val="center"/>
          </w:tcPr>
          <w:p>
            <w:pPr>
              <w:pStyle w:val="8"/>
            </w:pPr>
            <w:r>
              <w:t>项目名称</w:t>
            </w:r>
          </w:p>
        </w:tc>
        <w:tc>
          <w:tcPr>
            <w:tcW w:w="6095" w:type="dxa"/>
            <w:gridSpan w:val="3"/>
            <w:vAlign w:val="center"/>
          </w:tcPr>
          <w:p>
            <w:pPr>
              <w:pStyle w:val="10"/>
            </w:pPr>
            <w:r>
              <w:t>审计局部分科室租赁费用、物业服务费及能源费用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为审计局部分科室租赁办公场所，保障其正常办公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为审计局部分科室租赁办公场所，保障其正常办公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租赁办公用房面积</w:t>
            </w:r>
          </w:p>
        </w:tc>
        <w:tc>
          <w:tcPr>
            <w:tcW w:w="5386" w:type="dxa"/>
            <w:vAlign w:val="center"/>
          </w:tcPr>
          <w:p>
            <w:pPr>
              <w:pStyle w:val="10"/>
            </w:pPr>
            <w:r>
              <w:t xml:space="preserve"> 租赁办公用房面积</w:t>
            </w:r>
          </w:p>
        </w:tc>
        <w:tc>
          <w:tcPr>
            <w:tcW w:w="2268" w:type="dxa"/>
            <w:vAlign w:val="center"/>
          </w:tcPr>
          <w:p>
            <w:pPr>
              <w:pStyle w:val="10"/>
            </w:pPr>
            <w:r>
              <w:t>313.24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办公用房质量合格率</w:t>
            </w:r>
          </w:p>
        </w:tc>
        <w:tc>
          <w:tcPr>
            <w:tcW w:w="5386" w:type="dxa"/>
            <w:vAlign w:val="center"/>
          </w:tcPr>
          <w:p>
            <w:pPr>
              <w:pStyle w:val="10"/>
            </w:pPr>
            <w:r>
              <w:t xml:space="preserve"> 办公用房质量合格率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租赁期限</w:t>
            </w:r>
          </w:p>
        </w:tc>
        <w:tc>
          <w:tcPr>
            <w:tcW w:w="5386" w:type="dxa"/>
            <w:vAlign w:val="center"/>
          </w:tcPr>
          <w:p>
            <w:pPr>
              <w:pStyle w:val="10"/>
            </w:pPr>
            <w:r>
              <w:t xml:space="preserve"> 租赁期限</w:t>
            </w:r>
          </w:p>
        </w:tc>
        <w:tc>
          <w:tcPr>
            <w:tcW w:w="2268" w:type="dxa"/>
            <w:vAlign w:val="center"/>
          </w:tcPr>
          <w:p>
            <w:pPr>
              <w:pStyle w:val="10"/>
            </w:pPr>
            <w:r>
              <w:t>1 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≤15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保障审计局部分科室正常办公</w:t>
            </w:r>
          </w:p>
        </w:tc>
        <w:tc>
          <w:tcPr>
            <w:tcW w:w="5386" w:type="dxa"/>
            <w:vAlign w:val="center"/>
          </w:tcPr>
          <w:p>
            <w:pPr>
              <w:pStyle w:val="10"/>
            </w:pPr>
            <w:r>
              <w:t xml:space="preserve"> 保障审计局部分科室正常办公</w:t>
            </w:r>
          </w:p>
        </w:tc>
        <w:tc>
          <w:tcPr>
            <w:tcW w:w="2268" w:type="dxa"/>
            <w:vAlign w:val="center"/>
          </w:tcPr>
          <w:p>
            <w:pPr>
              <w:pStyle w:val="10"/>
            </w:pPr>
            <w:r>
              <w:t xml:space="preserve"> 保障审计局部分科室正常办公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 </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14、胜利大厦办公用房租赁费用绩效目标表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13011026P00150210046T</w:t>
            </w:r>
          </w:p>
        </w:tc>
        <w:tc>
          <w:tcPr>
            <w:tcW w:w="2835" w:type="dxa"/>
            <w:vAlign w:val="center"/>
          </w:tcPr>
          <w:p>
            <w:pPr>
              <w:pStyle w:val="8"/>
            </w:pPr>
            <w:r>
              <w:t>项目名称</w:t>
            </w:r>
          </w:p>
        </w:tc>
        <w:tc>
          <w:tcPr>
            <w:tcW w:w="6095" w:type="dxa"/>
            <w:gridSpan w:val="3"/>
            <w:vAlign w:val="center"/>
          </w:tcPr>
          <w:p>
            <w:pPr>
              <w:pStyle w:val="10"/>
            </w:pPr>
            <w:r>
              <w:t>胜利大厦办公用房租赁费用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为文联、妇联、统战部、科协、工商联5家单位租赁办公场所，保障其正常办公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1.为文联、妇联、统战部、科协、工商联5家单位租赁办公场所，保障其正常办公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租用办公用房面积</w:t>
            </w:r>
          </w:p>
        </w:tc>
        <w:tc>
          <w:tcPr>
            <w:tcW w:w="5386" w:type="dxa"/>
            <w:vAlign w:val="center"/>
          </w:tcPr>
          <w:p>
            <w:pPr>
              <w:pStyle w:val="10"/>
            </w:pPr>
            <w:r>
              <w:t xml:space="preserve"> 租用办公用房面积</w:t>
            </w:r>
          </w:p>
        </w:tc>
        <w:tc>
          <w:tcPr>
            <w:tcW w:w="2268" w:type="dxa"/>
            <w:vAlign w:val="center"/>
          </w:tcPr>
          <w:p>
            <w:pPr>
              <w:pStyle w:val="10"/>
            </w:pPr>
            <w:r>
              <w:t>975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办公用房质量合格率</w:t>
            </w:r>
          </w:p>
        </w:tc>
        <w:tc>
          <w:tcPr>
            <w:tcW w:w="5386" w:type="dxa"/>
            <w:vAlign w:val="center"/>
          </w:tcPr>
          <w:p>
            <w:pPr>
              <w:pStyle w:val="10"/>
            </w:pPr>
            <w:r>
              <w:t xml:space="preserve"> 办公用房质量合格率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租赁期限</w:t>
            </w:r>
          </w:p>
        </w:tc>
        <w:tc>
          <w:tcPr>
            <w:tcW w:w="5386" w:type="dxa"/>
            <w:vAlign w:val="center"/>
          </w:tcPr>
          <w:p>
            <w:pPr>
              <w:pStyle w:val="10"/>
            </w:pPr>
            <w:r>
              <w:t xml:space="preserve"> 租赁期限</w:t>
            </w:r>
          </w:p>
        </w:tc>
        <w:tc>
          <w:tcPr>
            <w:tcW w:w="2268" w:type="dxa"/>
            <w:vAlign w:val="center"/>
          </w:tcPr>
          <w:p>
            <w:pPr>
              <w:pStyle w:val="10"/>
            </w:pPr>
            <w:r>
              <w:t>1 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租赁费总成本</w:t>
            </w:r>
          </w:p>
        </w:tc>
        <w:tc>
          <w:tcPr>
            <w:tcW w:w="5386" w:type="dxa"/>
            <w:vAlign w:val="center"/>
          </w:tcPr>
          <w:p>
            <w:pPr>
              <w:pStyle w:val="10"/>
            </w:pPr>
            <w:r>
              <w:t xml:space="preserve"> 租赁费总成本</w:t>
            </w:r>
          </w:p>
        </w:tc>
        <w:tc>
          <w:tcPr>
            <w:tcW w:w="2268" w:type="dxa"/>
            <w:vAlign w:val="center"/>
          </w:tcPr>
          <w:p>
            <w:pPr>
              <w:pStyle w:val="10"/>
            </w:pPr>
            <w:r>
              <w:t>46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保障5家单位正常办公</w:t>
            </w:r>
          </w:p>
        </w:tc>
        <w:tc>
          <w:tcPr>
            <w:tcW w:w="5386" w:type="dxa"/>
            <w:vAlign w:val="center"/>
          </w:tcPr>
          <w:p>
            <w:pPr>
              <w:pStyle w:val="10"/>
            </w:pPr>
            <w:r>
              <w:t xml:space="preserve"> 保障5家单位正常办公</w:t>
            </w:r>
          </w:p>
        </w:tc>
        <w:tc>
          <w:tcPr>
            <w:tcW w:w="2268" w:type="dxa"/>
            <w:vAlign w:val="center"/>
          </w:tcPr>
          <w:p>
            <w:pPr>
              <w:pStyle w:val="10"/>
            </w:pPr>
            <w:r>
              <w:t xml:space="preserve"> 保障5家单位正常办公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15、武装部洗车车间项目绩效目标表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13011026P001502100482</w:t>
            </w:r>
          </w:p>
        </w:tc>
        <w:tc>
          <w:tcPr>
            <w:tcW w:w="2835" w:type="dxa"/>
            <w:vAlign w:val="center"/>
          </w:tcPr>
          <w:p>
            <w:pPr>
              <w:pStyle w:val="8"/>
            </w:pPr>
            <w:r>
              <w:t>项目名称</w:t>
            </w:r>
          </w:p>
        </w:tc>
        <w:tc>
          <w:tcPr>
            <w:tcW w:w="6095" w:type="dxa"/>
            <w:gridSpan w:val="3"/>
            <w:vAlign w:val="center"/>
          </w:tcPr>
          <w:p>
            <w:pPr>
              <w:pStyle w:val="10"/>
            </w:pPr>
            <w:r>
              <w:t>武装部洗车车间项目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w:t>
            </w:r>
          </w:p>
        </w:tc>
        <w:tc>
          <w:tcPr>
            <w:tcW w:w="2835" w:type="dxa"/>
            <w:vAlign w:val="center"/>
          </w:tcPr>
          <w:p>
            <w:pPr>
              <w:pStyle w:val="8"/>
            </w:pPr>
            <w:r>
              <w:t>其中：财政    资金</w:t>
            </w:r>
          </w:p>
        </w:tc>
        <w:tc>
          <w:tcPr>
            <w:tcW w:w="2551" w:type="dxa"/>
            <w:vAlign w:val="center"/>
          </w:tcPr>
          <w:p>
            <w:pPr>
              <w:pStyle w:val="10"/>
            </w:pPr>
            <w:r>
              <w:t>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确保军事装备高效维护，提升作战水平，并实现资源节约和环境保护</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确保军事装备高效维护，提升作战水平，并实现资源节约和环境保护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洗车间面积</w:t>
            </w:r>
          </w:p>
        </w:tc>
        <w:tc>
          <w:tcPr>
            <w:tcW w:w="5386" w:type="dxa"/>
            <w:vAlign w:val="center"/>
          </w:tcPr>
          <w:p>
            <w:pPr>
              <w:pStyle w:val="10"/>
            </w:pPr>
            <w:r>
              <w:t xml:space="preserve"> 洗车间面积</w:t>
            </w:r>
          </w:p>
        </w:tc>
        <w:tc>
          <w:tcPr>
            <w:tcW w:w="2268" w:type="dxa"/>
            <w:vAlign w:val="center"/>
          </w:tcPr>
          <w:p>
            <w:pPr>
              <w:pStyle w:val="10"/>
            </w:pPr>
            <w:r>
              <w:t>56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支付及时率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提升军事装备维护保养效率和质量，同时实现资源节约和环境保护</w:t>
            </w:r>
          </w:p>
        </w:tc>
        <w:tc>
          <w:tcPr>
            <w:tcW w:w="5386" w:type="dxa"/>
            <w:vAlign w:val="center"/>
          </w:tcPr>
          <w:p>
            <w:pPr>
              <w:pStyle w:val="10"/>
            </w:pPr>
            <w:r>
              <w:t xml:space="preserve"> 提升军事装备维护保养效率和质量，同时实现资源节约和环境保护</w:t>
            </w:r>
          </w:p>
        </w:tc>
        <w:tc>
          <w:tcPr>
            <w:tcW w:w="2268" w:type="dxa"/>
            <w:vAlign w:val="center"/>
          </w:tcPr>
          <w:p>
            <w:pPr>
              <w:pStyle w:val="10"/>
            </w:pPr>
            <w:r>
              <w:t xml:space="preserve"> 提升军事装备维护保养效率和质量，同时实现资源节约和环境保护</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≥95 %</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石家庄市鹿泉区机关事务管理中心本级小计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其他信息技术服务</w:t>
            </w:r>
          </w:p>
        </w:tc>
        <w:tc>
          <w:tcPr>
            <w:tcW w:w="1134" w:type="dxa"/>
            <w:vAlign w:val="center"/>
          </w:tcPr>
          <w:p>
            <w:pPr>
              <w:pStyle w:val="10"/>
            </w:pPr>
            <w:r>
              <w:t>C16990000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1.16</w:t>
            </w:r>
          </w:p>
        </w:tc>
        <w:tc>
          <w:tcPr>
            <w:tcW w:w="964" w:type="dxa"/>
            <w:vAlign w:val="center"/>
          </w:tcPr>
          <w:p>
            <w:pPr>
              <w:pStyle w:val="9"/>
            </w:pPr>
            <w:r>
              <w:t>1.16</w:t>
            </w:r>
          </w:p>
        </w:tc>
        <w:tc>
          <w:tcPr>
            <w:tcW w:w="964" w:type="dxa"/>
            <w:vAlign w:val="center"/>
          </w:tcPr>
          <w:p>
            <w:pPr>
              <w:pStyle w:val="9"/>
            </w:pPr>
            <w:r>
              <w:t>1.16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财产保险服务</w:t>
            </w:r>
          </w:p>
        </w:tc>
        <w:tc>
          <w:tcPr>
            <w:tcW w:w="1134" w:type="dxa"/>
            <w:vAlign w:val="center"/>
          </w:tcPr>
          <w:p>
            <w:pPr>
              <w:pStyle w:val="10"/>
            </w:pPr>
            <w:r>
              <w:t>C18040102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4.20</w:t>
            </w:r>
          </w:p>
        </w:tc>
        <w:tc>
          <w:tcPr>
            <w:tcW w:w="964" w:type="dxa"/>
            <w:vAlign w:val="center"/>
          </w:tcPr>
          <w:p>
            <w:pPr>
              <w:pStyle w:val="9"/>
            </w:pPr>
            <w:r>
              <w:t>4.20</w:t>
            </w:r>
          </w:p>
        </w:tc>
        <w:tc>
          <w:tcPr>
            <w:tcW w:w="964" w:type="dxa"/>
            <w:vAlign w:val="center"/>
          </w:tcPr>
          <w:p>
            <w:pPr>
              <w:pStyle w:val="9"/>
            </w:pPr>
            <w:r>
              <w:t>4.20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车辆维修和保养服务</w:t>
            </w:r>
          </w:p>
        </w:tc>
        <w:tc>
          <w:tcPr>
            <w:tcW w:w="1134" w:type="dxa"/>
            <w:vAlign w:val="center"/>
          </w:tcPr>
          <w:p>
            <w:pPr>
              <w:pStyle w:val="10"/>
            </w:pPr>
            <w:r>
              <w:t>C23120301</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36.65</w:t>
            </w:r>
          </w:p>
        </w:tc>
        <w:tc>
          <w:tcPr>
            <w:tcW w:w="964" w:type="dxa"/>
            <w:vAlign w:val="center"/>
          </w:tcPr>
          <w:p>
            <w:pPr>
              <w:pStyle w:val="9"/>
            </w:pPr>
            <w:r>
              <w:t>36.65</w:t>
            </w:r>
          </w:p>
        </w:tc>
        <w:tc>
          <w:tcPr>
            <w:tcW w:w="964" w:type="dxa"/>
            <w:vAlign w:val="center"/>
          </w:tcPr>
          <w:p>
            <w:pPr>
              <w:pStyle w:val="9"/>
            </w:pPr>
            <w:r>
              <w:t>36.65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车辆加油、添加燃料服务</w:t>
            </w:r>
          </w:p>
        </w:tc>
        <w:tc>
          <w:tcPr>
            <w:tcW w:w="1134" w:type="dxa"/>
            <w:vAlign w:val="center"/>
          </w:tcPr>
          <w:p>
            <w:pPr>
              <w:pStyle w:val="10"/>
            </w:pPr>
            <w:r>
              <w:t>C23120302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14.00</w:t>
            </w:r>
          </w:p>
        </w:tc>
        <w:tc>
          <w:tcPr>
            <w:tcW w:w="964" w:type="dxa"/>
            <w:vAlign w:val="center"/>
          </w:tcPr>
          <w:p>
            <w:pPr>
              <w:pStyle w:val="9"/>
            </w:pPr>
            <w:r>
              <w:t>14.00</w:t>
            </w:r>
          </w:p>
        </w:tc>
        <w:tc>
          <w:tcPr>
            <w:tcW w:w="964" w:type="dxa"/>
            <w:vAlign w:val="center"/>
          </w:tcPr>
          <w:p>
            <w:pPr>
              <w:pStyle w:val="9"/>
            </w:pPr>
            <w:r>
              <w:t>14.00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其他车辆维修和保养服务</w:t>
            </w:r>
          </w:p>
        </w:tc>
        <w:tc>
          <w:tcPr>
            <w:tcW w:w="1134" w:type="dxa"/>
            <w:vAlign w:val="center"/>
          </w:tcPr>
          <w:p>
            <w:pPr>
              <w:pStyle w:val="10"/>
            </w:pPr>
            <w:r>
              <w:t>C23120399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0.69</w:t>
            </w:r>
          </w:p>
        </w:tc>
        <w:tc>
          <w:tcPr>
            <w:tcW w:w="964" w:type="dxa"/>
            <w:vAlign w:val="center"/>
          </w:tcPr>
          <w:p>
            <w:pPr>
              <w:pStyle w:val="9"/>
            </w:pPr>
            <w:r>
              <w:t>0.69</w:t>
            </w:r>
          </w:p>
        </w:tc>
        <w:tc>
          <w:tcPr>
            <w:tcW w:w="964" w:type="dxa"/>
            <w:vAlign w:val="center"/>
          </w:tcPr>
          <w:p>
            <w:pPr>
              <w:pStyle w:val="9"/>
            </w:pPr>
            <w:r>
              <w:t>0.69</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纸制品</w:t>
            </w:r>
          </w:p>
        </w:tc>
        <w:tc>
          <w:tcPr>
            <w:tcW w:w="1134" w:type="dxa"/>
            <w:vAlign w:val="center"/>
          </w:tcPr>
          <w:p>
            <w:pPr>
              <w:pStyle w:val="10"/>
            </w:pPr>
            <w:r>
              <w:t>A07100300</w:t>
            </w:r>
          </w:p>
        </w:tc>
        <w:tc>
          <w:tcPr>
            <w:tcW w:w="709" w:type="dxa"/>
            <w:vAlign w:val="center"/>
          </w:tcPr>
          <w:p>
            <w:pPr>
              <w:pStyle w:val="11"/>
            </w:pPr>
            <w:r>
              <w:t>箱</w:t>
            </w:r>
          </w:p>
        </w:tc>
        <w:tc>
          <w:tcPr>
            <w:tcW w:w="850" w:type="dxa"/>
            <w:vAlign w:val="center"/>
          </w:tcPr>
          <w:p>
            <w:pPr>
              <w:pStyle w:val="9"/>
            </w:pPr>
            <w:r>
              <w:t>60</w:t>
            </w:r>
          </w:p>
        </w:tc>
        <w:tc>
          <w:tcPr>
            <w:tcW w:w="850" w:type="dxa"/>
            <w:vAlign w:val="center"/>
          </w:tcPr>
          <w:p>
            <w:pPr>
              <w:pStyle w:val="9"/>
            </w:pPr>
            <w:r>
              <w:t>0.02</w:t>
            </w:r>
          </w:p>
        </w:tc>
        <w:tc>
          <w:tcPr>
            <w:tcW w:w="964" w:type="dxa"/>
            <w:vAlign w:val="center"/>
          </w:tcPr>
          <w:p>
            <w:pPr>
              <w:pStyle w:val="9"/>
            </w:pPr>
            <w:r>
              <w:t>1.14</w:t>
            </w:r>
          </w:p>
        </w:tc>
        <w:tc>
          <w:tcPr>
            <w:tcW w:w="964" w:type="dxa"/>
            <w:vAlign w:val="center"/>
          </w:tcPr>
          <w:p>
            <w:pPr>
              <w:pStyle w:val="9"/>
            </w:pPr>
            <w:r>
              <w:t>1.14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3.50</w:t>
            </w:r>
          </w:p>
        </w:tc>
        <w:tc>
          <w:tcPr>
            <w:tcW w:w="964" w:type="dxa"/>
            <w:vAlign w:val="center"/>
          </w:tcPr>
          <w:p>
            <w:pPr>
              <w:pStyle w:val="9"/>
            </w:pPr>
            <w:r>
              <w:t>3.50</w:t>
            </w:r>
          </w:p>
        </w:tc>
        <w:tc>
          <w:tcPr>
            <w:tcW w:w="964" w:type="dxa"/>
            <w:vAlign w:val="center"/>
          </w:tcPr>
          <w:p>
            <w:pPr>
              <w:pStyle w:val="9"/>
            </w:pPr>
            <w:r>
              <w:t>3.50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2026机关大院保安费用</w:t>
            </w:r>
          </w:p>
        </w:tc>
        <w:tc>
          <w:tcPr>
            <w:tcW w:w="964" w:type="dxa"/>
            <w:vAlign w:val="center"/>
          </w:tcPr>
          <w:p>
            <w:pPr>
              <w:pStyle w:val="9"/>
            </w:pPr>
            <w:r>
              <w:t>49.60</w:t>
            </w:r>
          </w:p>
        </w:tc>
        <w:tc>
          <w:tcPr>
            <w:tcW w:w="1134" w:type="dxa"/>
            <w:vAlign w:val="center"/>
          </w:tcPr>
          <w:p>
            <w:pPr>
              <w:pStyle w:val="10"/>
            </w:pPr>
            <w:r>
              <w:t>保安服务</w:t>
            </w:r>
          </w:p>
        </w:tc>
        <w:tc>
          <w:tcPr>
            <w:tcW w:w="1134" w:type="dxa"/>
            <w:vAlign w:val="center"/>
          </w:tcPr>
          <w:p>
            <w:pPr>
              <w:pStyle w:val="10"/>
            </w:pPr>
            <w:r>
              <w:t>C05040300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49.60</w:t>
            </w:r>
          </w:p>
        </w:tc>
        <w:tc>
          <w:tcPr>
            <w:tcW w:w="964" w:type="dxa"/>
            <w:vAlign w:val="center"/>
          </w:tcPr>
          <w:p>
            <w:pPr>
              <w:pStyle w:val="9"/>
            </w:pPr>
            <w:r>
              <w:t>49.60</w:t>
            </w:r>
          </w:p>
        </w:tc>
        <w:tc>
          <w:tcPr>
            <w:tcW w:w="964" w:type="dxa"/>
            <w:vAlign w:val="center"/>
          </w:tcPr>
          <w:p>
            <w:pPr>
              <w:pStyle w:val="9"/>
            </w:pPr>
            <w:r>
              <w:t>49.60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2026机关大院保洁费用</w:t>
            </w:r>
          </w:p>
        </w:tc>
        <w:tc>
          <w:tcPr>
            <w:tcW w:w="964" w:type="dxa"/>
            <w:vAlign w:val="center"/>
          </w:tcPr>
          <w:p>
            <w:pPr>
              <w:pStyle w:val="9"/>
            </w:pPr>
            <w:r>
              <w:t>52.00</w:t>
            </w:r>
          </w:p>
        </w:tc>
        <w:tc>
          <w:tcPr>
            <w:tcW w:w="1134" w:type="dxa"/>
            <w:vAlign w:val="center"/>
          </w:tcPr>
          <w:p>
            <w:pPr>
              <w:pStyle w:val="10"/>
            </w:pPr>
            <w:r>
              <w:t>建筑物清洁服务</w:t>
            </w:r>
          </w:p>
        </w:tc>
        <w:tc>
          <w:tcPr>
            <w:tcW w:w="1134" w:type="dxa"/>
            <w:vAlign w:val="center"/>
          </w:tcPr>
          <w:p>
            <w:pPr>
              <w:pStyle w:val="10"/>
            </w:pPr>
            <w:r>
              <w:t>C23160000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52.00</w:t>
            </w:r>
          </w:p>
        </w:tc>
        <w:tc>
          <w:tcPr>
            <w:tcW w:w="964" w:type="dxa"/>
            <w:vAlign w:val="center"/>
          </w:tcPr>
          <w:p>
            <w:pPr>
              <w:pStyle w:val="9"/>
            </w:pPr>
            <w:r>
              <w:t>52.00</w:t>
            </w:r>
          </w:p>
        </w:tc>
        <w:tc>
          <w:tcPr>
            <w:tcW w:w="964" w:type="dxa"/>
            <w:vAlign w:val="center"/>
          </w:tcPr>
          <w:p>
            <w:pPr>
              <w:pStyle w:val="9"/>
            </w:pPr>
            <w:r>
              <w:t>52.00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其他机械设备</w:t>
            </w:r>
          </w:p>
        </w:tc>
        <w:tc>
          <w:tcPr>
            <w:tcW w:w="1134" w:type="dxa"/>
            <w:vAlign w:val="center"/>
          </w:tcPr>
          <w:p>
            <w:pPr>
              <w:pStyle w:val="10"/>
            </w:pPr>
            <w:r>
              <w:t>A02059900</w:t>
            </w:r>
          </w:p>
        </w:tc>
        <w:tc>
          <w:tcPr>
            <w:tcW w:w="709" w:type="dxa"/>
            <w:vAlign w:val="center"/>
          </w:tcPr>
          <w:p>
            <w:pPr>
              <w:pStyle w:val="11"/>
            </w:pPr>
            <w:r>
              <w:t>辆</w:t>
            </w:r>
          </w:p>
        </w:tc>
        <w:tc>
          <w:tcPr>
            <w:tcW w:w="850" w:type="dxa"/>
            <w:vAlign w:val="center"/>
          </w:tcPr>
          <w:p>
            <w:pPr>
              <w:pStyle w:val="9"/>
            </w:pPr>
            <w:r>
              <w:t>2</w:t>
            </w:r>
          </w:p>
        </w:tc>
        <w:tc>
          <w:tcPr>
            <w:tcW w:w="850" w:type="dxa"/>
            <w:vAlign w:val="center"/>
          </w:tcPr>
          <w:p>
            <w:pPr>
              <w:pStyle w:val="9"/>
            </w:pPr>
            <w:r>
              <w:t>0.25</w:t>
            </w:r>
          </w:p>
        </w:tc>
        <w:tc>
          <w:tcPr>
            <w:tcW w:w="964" w:type="dxa"/>
            <w:vAlign w:val="center"/>
          </w:tcPr>
          <w:p>
            <w:pPr>
              <w:pStyle w:val="9"/>
            </w:pPr>
            <w:r>
              <w:t>0.50</w:t>
            </w:r>
          </w:p>
        </w:tc>
        <w:tc>
          <w:tcPr>
            <w:tcW w:w="964" w:type="dxa"/>
            <w:vAlign w:val="center"/>
          </w:tcPr>
          <w:p>
            <w:pPr>
              <w:pStyle w:val="9"/>
            </w:pPr>
            <w:r>
              <w:t>0.50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话筒设备</w:t>
            </w:r>
          </w:p>
        </w:tc>
        <w:tc>
          <w:tcPr>
            <w:tcW w:w="1134" w:type="dxa"/>
            <w:vAlign w:val="center"/>
          </w:tcPr>
          <w:p>
            <w:pPr>
              <w:pStyle w:val="10"/>
            </w:pPr>
            <w:r>
              <w:t>A02091206</w:t>
            </w:r>
          </w:p>
        </w:tc>
        <w:tc>
          <w:tcPr>
            <w:tcW w:w="709" w:type="dxa"/>
            <w:vAlign w:val="center"/>
          </w:tcPr>
          <w:p>
            <w:pPr>
              <w:pStyle w:val="11"/>
            </w:pPr>
            <w:r>
              <w:t>支</w:t>
            </w:r>
          </w:p>
        </w:tc>
        <w:tc>
          <w:tcPr>
            <w:tcW w:w="850" w:type="dxa"/>
            <w:vAlign w:val="center"/>
          </w:tcPr>
          <w:p>
            <w:pPr>
              <w:pStyle w:val="9"/>
            </w:pPr>
            <w:r>
              <w:t>2</w:t>
            </w:r>
          </w:p>
        </w:tc>
        <w:tc>
          <w:tcPr>
            <w:tcW w:w="850" w:type="dxa"/>
            <w:vAlign w:val="center"/>
          </w:tcPr>
          <w:p>
            <w:pPr>
              <w:pStyle w:val="9"/>
            </w:pPr>
            <w:r>
              <w:t>0.15</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其他特种用途植物</w:t>
            </w:r>
          </w:p>
        </w:tc>
        <w:tc>
          <w:tcPr>
            <w:tcW w:w="1134" w:type="dxa"/>
            <w:vAlign w:val="center"/>
          </w:tcPr>
          <w:p>
            <w:pPr>
              <w:pStyle w:val="10"/>
            </w:pPr>
            <w:r>
              <w:t>A06029900</w:t>
            </w:r>
          </w:p>
        </w:tc>
        <w:tc>
          <w:tcPr>
            <w:tcW w:w="709" w:type="dxa"/>
            <w:vAlign w:val="center"/>
          </w:tcPr>
          <w:p>
            <w:pPr>
              <w:pStyle w:val="11"/>
            </w:pPr>
            <w:r>
              <w:t>颗</w:t>
            </w:r>
          </w:p>
        </w:tc>
        <w:tc>
          <w:tcPr>
            <w:tcW w:w="850" w:type="dxa"/>
            <w:vAlign w:val="center"/>
          </w:tcPr>
          <w:p>
            <w:pPr>
              <w:pStyle w:val="9"/>
            </w:pPr>
            <w:r>
              <w:t>9</w:t>
            </w:r>
          </w:p>
        </w:tc>
        <w:tc>
          <w:tcPr>
            <w:tcW w:w="850" w:type="dxa"/>
            <w:vAlign w:val="center"/>
          </w:tcPr>
          <w:p>
            <w:pPr>
              <w:pStyle w:val="9"/>
            </w:pPr>
            <w:r>
              <w:t>0.25</w:t>
            </w:r>
          </w:p>
        </w:tc>
        <w:tc>
          <w:tcPr>
            <w:tcW w:w="964" w:type="dxa"/>
            <w:vAlign w:val="center"/>
          </w:tcPr>
          <w:p>
            <w:pPr>
              <w:pStyle w:val="9"/>
            </w:pPr>
            <w:r>
              <w:t>2.28</w:t>
            </w:r>
          </w:p>
        </w:tc>
        <w:tc>
          <w:tcPr>
            <w:tcW w:w="964" w:type="dxa"/>
            <w:vAlign w:val="center"/>
          </w:tcPr>
          <w:p>
            <w:pPr>
              <w:pStyle w:val="9"/>
            </w:pPr>
            <w:r>
              <w:t>2.28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机关大院周边拆迁区域绿化硬化工程</w:t>
            </w:r>
          </w:p>
        </w:tc>
        <w:tc>
          <w:tcPr>
            <w:tcW w:w="964" w:type="dxa"/>
            <w:vAlign w:val="center"/>
          </w:tcPr>
          <w:p>
            <w:pPr>
              <w:pStyle w:val="9"/>
            </w:pPr>
            <w:r>
              <w:t>310.00</w:t>
            </w:r>
          </w:p>
        </w:tc>
        <w:tc>
          <w:tcPr>
            <w:tcW w:w="1134" w:type="dxa"/>
            <w:vAlign w:val="center"/>
          </w:tcPr>
          <w:p>
            <w:pPr>
              <w:pStyle w:val="10"/>
            </w:pPr>
            <w:r>
              <w:t>园林绿化工程施工</w:t>
            </w:r>
          </w:p>
        </w:tc>
        <w:tc>
          <w:tcPr>
            <w:tcW w:w="1134" w:type="dxa"/>
            <w:vAlign w:val="center"/>
          </w:tcPr>
          <w:p>
            <w:pPr>
              <w:pStyle w:val="10"/>
            </w:pPr>
            <w:r>
              <w:t>B02130500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310.00</w:t>
            </w:r>
          </w:p>
        </w:tc>
        <w:tc>
          <w:tcPr>
            <w:tcW w:w="964" w:type="dxa"/>
            <w:vAlign w:val="center"/>
          </w:tcPr>
          <w:p>
            <w:pPr>
              <w:pStyle w:val="9"/>
            </w:pPr>
            <w:r>
              <w:t>310.00</w:t>
            </w:r>
          </w:p>
        </w:tc>
        <w:tc>
          <w:tcPr>
            <w:tcW w:w="964" w:type="dxa"/>
            <w:vAlign w:val="center"/>
          </w:tcPr>
          <w:p>
            <w:pPr>
              <w:pStyle w:val="9"/>
            </w:pPr>
            <w:r>
              <w:t>310.00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310.00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石家庄市鹿泉区机关事务管理中心（含所属单位）上年末固定资产金额为2506.85万元（详见下表）。本年度拟购置固定资产总额为3.08万元，已按要求列入政府采购预算，详见政府采购预算表。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201石家庄市鹿泉区机关事务管理中心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2506.85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6556.35</w:t>
            </w:r>
          </w:p>
        </w:tc>
        <w:tc>
          <w:tcPr>
            <w:tcW w:w="2835" w:type="dxa"/>
            <w:vAlign w:val="center"/>
          </w:tcPr>
          <w:p>
            <w:pPr>
              <w:pStyle w:val="9"/>
            </w:pPr>
            <w:r>
              <w:t>1466.70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600</w:t>
            </w:r>
          </w:p>
        </w:tc>
        <w:tc>
          <w:tcPr>
            <w:tcW w:w="2835" w:type="dxa"/>
            <w:vAlign w:val="center"/>
          </w:tcPr>
          <w:p>
            <w:pPr>
              <w:pStyle w:val="9"/>
            </w:pPr>
            <w:r>
              <w:t>110.52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21</w:t>
            </w:r>
          </w:p>
        </w:tc>
        <w:tc>
          <w:tcPr>
            <w:tcW w:w="2835" w:type="dxa"/>
            <w:vAlign w:val="center"/>
          </w:tcPr>
          <w:p>
            <w:pPr>
              <w:pStyle w:val="9"/>
            </w:pPr>
            <w:r>
              <w:t>361.84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w:t>
            </w:r>
          </w:p>
        </w:tc>
        <w:tc>
          <w:tcPr>
            <w:tcW w:w="2835" w:type="dxa"/>
            <w:vAlign w:val="center"/>
          </w:tcPr>
          <w:p>
            <w:pPr>
              <w:pStyle w:val="9"/>
            </w:pPr>
            <w:r>
              <w:t>95.32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1306</w:t>
            </w:r>
          </w:p>
        </w:tc>
        <w:tc>
          <w:tcPr>
            <w:tcW w:w="2835" w:type="dxa"/>
            <w:vAlign w:val="center"/>
          </w:tcPr>
          <w:p>
            <w:pPr>
              <w:pStyle w:val="9"/>
            </w:pPr>
            <w:r>
              <w:t>582.98</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186C07"/>
    <w:multiLevelType w:val="singleLevel"/>
    <w:tmpl w:val="E2186C0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B2C63"/>
    <w:rsid w:val="00AB2C63"/>
    <w:rsid w:val="00BC6738"/>
    <w:rsid w:val="00E6685E"/>
    <w:rsid w:val="7A9738C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45</Pages>
  <Words>3504</Words>
  <Characters>19978</Characters>
  <Lines>166</Lines>
  <Paragraphs>46</Paragraphs>
  <TotalTime>1</TotalTime>
  <ScaleCrop>false</ScaleCrop>
  <LinksUpToDate>false</LinksUpToDate>
  <CharactersWithSpaces>23436</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2026-03-10T07:54:00Z</dcterms:created>
  <dc:creator>Administrator</dc:creator>
  <cp:lastModifiedBy>123</cp:lastModifiedBy>
  <dcterms:modified xsi:type="dcterms:W3CDTF">2026-03-10T08:13:01Z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FB56EEBE1C874546BF5401C243993D3A</vt:lpwstr>
  </property>
</Properties>
</file>