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rPr>
          <w:rFonts w:ascii="楷体_GB2312" w:hAnsi="楷体_GB2312" w:eastAsia="楷体_GB2312" w:cs="楷体_GB2312"/>
          <w:color w:val="000000"/>
          <w:sz w:val="40"/>
          <w:szCs w:val="40"/>
        </w:rPr>
      </w:pP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：731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：石家庄市鹿泉区科学技术协会</w:t>
      </w:r>
    </w:p>
    <w:p>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pPr>
        <w:spacing w:line="600" w:lineRule="auto"/>
        <w:jc w:val="center"/>
        <w:rPr>
          <w:rFonts w:ascii="楷体_GB2312" w:hAnsi="楷体_GB2312" w:eastAsia="楷体_GB2312" w:cs="楷体_GB2312"/>
          <w:color w:val="000000"/>
          <w:sz w:val="40"/>
          <w:szCs w:val="40"/>
        </w:rPr>
      </w:pPr>
    </w:p>
    <w:p>
      <w:pPr>
        <w:rPr>
          <w:rFonts w:ascii="黑体" w:hAnsi="黑体" w:eastAsia="黑体" w:cs="黑体"/>
          <w:b/>
          <w:bCs/>
          <w:sz w:val="32"/>
          <w:szCs w:val="36"/>
          <w:highlight w:val="yellow"/>
        </w:rPr>
      </w:pPr>
    </w:p>
    <w:p>
      <w:pPr>
        <w:widowControl/>
        <w:spacing w:line="360" w:lineRule="auto"/>
        <w:jc w:val="center"/>
        <w:rPr>
          <w:rFonts w:ascii="Times New Roman" w:eastAsia="方正小标宋_GBK"/>
          <w:sz w:val="72"/>
          <w:szCs w:val="72"/>
        </w:rPr>
      </w:pPr>
      <w:r>
        <w:rPr>
          <w:rFonts w:ascii="Times New Roman" w:eastAsia="方正小标宋_GBK"/>
          <w:sz w:val="72"/>
          <w:szCs w:val="72"/>
        </w:rPr>
        <w:t>石家庄市鹿泉区科学技术协会</w:t>
      </w:r>
    </w:p>
    <w:p>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rPr>
          <w:rFonts w:ascii="黑体" w:hAnsi="黑体" w:eastAsia="黑体" w:cs="黑体"/>
          <w:sz w:val="56"/>
          <w:szCs w:val="72"/>
        </w:rPr>
      </w:pPr>
    </w:p>
    <w:p>
      <w:pPr>
        <w:widowControl/>
        <w:spacing w:line="360" w:lineRule="auto"/>
        <w:jc w:val="center"/>
        <w:rPr>
          <w:rFonts w:ascii="Times New Roman" w:eastAsia="楷体_GB2312"/>
          <w:sz w:val="44"/>
          <w:szCs w:val="44"/>
        </w:rPr>
      </w:pPr>
      <w:r>
        <w:rPr>
          <w:rFonts w:ascii="Times New Roman" w:eastAsia="楷体_GB2312"/>
          <w:sz w:val="44"/>
          <w:szCs w:val="44"/>
        </w:rPr>
        <w:t>石家庄市鹿泉区科学技术协会(单位名称，加盖公章）</w:t>
      </w:r>
    </w:p>
    <w:p>
      <w:pPr>
        <w:widowControl/>
        <w:spacing w:line="360" w:lineRule="auto"/>
        <w:jc w:val="center"/>
        <w:rPr>
          <w:rFonts w:ascii="Times New Roman" w:eastAsia="楷体_GB2312"/>
          <w:sz w:val="44"/>
          <w:szCs w:val="44"/>
        </w:rPr>
      </w:pPr>
      <w:r>
        <w:rPr>
          <w:rFonts w:ascii="Times New Roman" w:eastAsia="楷体_GB2312"/>
          <w:sz w:val="44"/>
          <w:szCs w:val="44"/>
        </w:rPr>
        <w:t>二〇二五年八月</w:t>
      </w:r>
    </w:p>
    <w:p>
      <w:pPr>
        <w:snapToGrid w:val="0"/>
        <w:jc w:val="left"/>
        <w:rPr>
          <w:rFonts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NumType w:start="1"/>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line="360" w:lineRule="auto"/>
        <w:jc w:val="center"/>
        <w:outlineLvl w:val="0"/>
        <w:rPr>
          <w:rFonts w:ascii="Times New Roman" w:eastAsia="黑体"/>
          <w:sz w:val="44"/>
          <w:szCs w:val="44"/>
        </w:rPr>
      </w:pPr>
      <w:r>
        <w:rPr>
          <w:rFonts w:ascii="Times New Roman" w:eastAsia="黑体"/>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360" w:lineRule="auto"/>
        <w:jc w:val="left"/>
        <w:rPr>
          <w:rFonts w:ascii="Times New Roman" w:eastAsia="黑体"/>
          <w:sz w:val="32"/>
          <w:szCs w:val="32"/>
        </w:rPr>
      </w:pPr>
      <w:r>
        <w:rPr>
          <w:rFonts w:ascii="Times New Roman" w:eastAsia="黑体"/>
          <w:sz w:val="32"/>
          <w:szCs w:val="32"/>
        </w:rPr>
        <w:t>第一部分   部门概况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一、部门职责</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pPr>
        <w:widowControl/>
        <w:spacing w:line="360" w:lineRule="auto"/>
        <w:jc w:val="left"/>
        <w:outlineLvl w:val="0"/>
        <w:rPr>
          <w:rFonts w:ascii="Times New Roman" w:eastAsia="黑体"/>
          <w:sz w:val="32"/>
          <w:szCs w:val="32"/>
        </w:rPr>
      </w:pPr>
      <w:r>
        <w:rPr>
          <w:rFonts w:ascii="Times New Roman" w:eastAsia="黑体"/>
          <w:sz w:val="32"/>
          <w:szCs w:val="32"/>
        </w:rPr>
        <w:t>第二部分   2024年度部门决算报表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pPr>
        <w:widowControl/>
        <w:spacing w:line="360" w:lineRule="auto"/>
        <w:jc w:val="left"/>
        <w:rPr>
          <w:rFonts w:ascii="Times New Roman" w:eastAsia="黑体"/>
          <w:sz w:val="32"/>
          <w:szCs w:val="32"/>
        </w:rPr>
      </w:pPr>
      <w:r>
        <w:rPr>
          <w:rFonts w:ascii="Times New Roman" w:eastAsia="黑体"/>
          <w:sz w:val="32"/>
          <w:szCs w:val="32"/>
        </w:rPr>
        <w:t>第三部分   2024年度部门决算情况说明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pPr>
        <w:widowControl/>
        <w:spacing w:line="360" w:lineRule="auto"/>
        <w:jc w:val="left"/>
        <w:rPr>
          <w:rFonts w:ascii="Times New Roman" w:eastAsia="黑体"/>
          <w:sz w:val="32"/>
          <w:szCs w:val="32"/>
        </w:rPr>
      </w:pPr>
      <w:r>
        <w:rPr>
          <w:rFonts w:ascii="Times New Roman" w:eastAsia="黑体"/>
          <w:sz w:val="32"/>
          <w:szCs w:val="32"/>
        </w:rPr>
        <w:t>第四部分   名词解释</w:t>
      </w:r>
    </w:p>
    <w:p>
      <w:pPr>
        <w:widowControl/>
        <w:spacing w:after="160" w:line="580" w:lineRule="exact"/>
        <w:rPr>
          <w:rFonts w:ascii="Times New Roman" w:hAnsi="Times New Roman" w:eastAsia="黑体" w:cs="Times New Roman"/>
          <w:sz w:val="32"/>
          <w:szCs w:val="32"/>
        </w:rPr>
        <w:sectPr>
          <w:headerReference r:id="rId6" w:type="first"/>
          <w:footerReference r:id="rId8" w:type="first"/>
          <w:headerReference r:id="rId5" w:type="default"/>
          <w:footerReference r:id="rId7" w:type="default"/>
          <w:pgSz w:w="11906" w:h="16838"/>
          <w:pgMar w:top="1474" w:right="1531" w:bottom="1474" w:left="1531" w:header="851" w:footer="992" w:gutter="0"/>
          <w:cols w:space="0" w:num="1"/>
          <w:titlePg/>
          <w:docGrid w:type="lines" w:linePitch="312" w:charSpace="0"/>
        </w:sectPr>
      </w:pPr>
    </w:p>
    <w:p>
      <w:pPr>
        <w:widowControl/>
        <w:spacing w:line="360" w:lineRule="auto"/>
        <w:jc w:val="center"/>
        <w:outlineLvl w:val="0"/>
        <w:rPr>
          <w:rFonts w:ascii="Times New Roman" w:eastAsia="黑体"/>
          <w:sz w:val="44"/>
          <w:szCs w:val="44"/>
        </w:rPr>
      </w:pPr>
      <w:r>
        <w:rPr>
          <w:rFonts w:ascii="Times New Roman" w:eastAsia="黑体"/>
          <w:sz w:val="44"/>
          <w:szCs w:val="44"/>
        </w:rPr>
        <w:t>第一部分   部门概况</w:t>
      </w:r>
    </w:p>
    <w:p>
      <w:pPr>
        <w:widowControl/>
        <w:spacing w:line="360" w:lineRule="auto"/>
        <w:jc w:val="left"/>
        <w:outlineLvl w:val="1"/>
        <w:rPr>
          <w:rFonts w:ascii="Times New Roman" w:eastAsia="黑体"/>
          <w:sz w:val="32"/>
          <w:szCs w:val="32"/>
        </w:rPr>
      </w:pPr>
      <w:r>
        <w:rPr>
          <w:rFonts w:ascii="Times New Roman" w:eastAsia="黑体"/>
          <w:sz w:val="32"/>
          <w:szCs w:val="32"/>
        </w:rPr>
        <w:t>一、部门职责</w:t>
      </w:r>
    </w:p>
    <w:p>
      <w:pPr>
        <w:widowControl/>
        <w:ind w:firstLine="640"/>
        <w:jc w:val="left"/>
        <w:rPr>
          <w:rFonts w:ascii="仿宋" w:hAnsi="仿宋" w:eastAsia="仿宋" w:cs="仿宋"/>
          <w:color w:val="000000"/>
          <w:kern w:val="1"/>
          <w:sz w:val="32"/>
          <w:szCs w:val="32"/>
        </w:rPr>
      </w:pPr>
      <w:r>
        <w:rPr>
          <w:rFonts w:ascii="仿宋" w:hAnsi="仿宋" w:eastAsia="仿宋" w:cs="仿宋"/>
          <w:color w:val="000000"/>
          <w:kern w:val="1"/>
          <w:sz w:val="32"/>
          <w:szCs w:val="32"/>
        </w:rPr>
        <w:t>1指导有关学会、协会、研究会及各企业科协、科协社会团体的科普工作，面向农民、社区居民、青少年、城镇劳动者、领导干部和公务员等重点人群，开展科技培训、科普惠农、科普益民等重点科普活动；开展科普日、科技周、减灾日、三下乡等系列科普活动；加强全民科学素质教育基地和科普教育基地建设，加强科普工作典型创建工作，加强科普设施建设，通过多种形式开展科普知识宣传活动。</w:t>
      </w:r>
    </w:p>
    <w:p>
      <w:pPr>
        <w:widowControl/>
        <w:ind w:firstLine="640"/>
        <w:jc w:val="left"/>
      </w:pPr>
      <w:r>
        <w:rPr>
          <w:rFonts w:ascii="仿宋" w:hAnsi="仿宋" w:eastAsia="仿宋" w:cs="仿宋"/>
          <w:color w:val="000000"/>
          <w:kern w:val="1"/>
          <w:sz w:val="32"/>
          <w:szCs w:val="32"/>
        </w:rPr>
        <w:t>2、开展反邪教、反对伪科学的活动。</w:t>
      </w:r>
    </w:p>
    <w:p>
      <w:pPr>
        <w:widowControl/>
        <w:ind w:firstLine="640"/>
        <w:jc w:val="left"/>
        <w:rPr>
          <w:rFonts w:ascii="Times New Roman" w:eastAsia="仿宋_GB2312"/>
          <w:sz w:val="32"/>
          <w:szCs w:val="32"/>
        </w:rPr>
      </w:pPr>
      <w:r>
        <w:rPr>
          <w:rFonts w:ascii="仿宋" w:hAnsi="仿宋" w:eastAsia="仿宋" w:cs="仿宋"/>
          <w:color w:val="000000"/>
          <w:kern w:val="1"/>
          <w:sz w:val="32"/>
          <w:szCs w:val="32"/>
        </w:rPr>
        <w:t>3、发展我区同外界科学技术团体、科学技术工作者的交往和联系，改进运行机制：一是坚持民主办会的原则，认真做好服务工作。二是发挥优势，广泛调动有关学会的积极性，加强集成，形成整体合力，做好涉及全局的重要工作。三是完善建设科技工作者之家的各项举措，全心全意为科技工作者服务。</w:t>
      </w:r>
    </w:p>
    <w:p>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从决算编报单位构成看，纳入2024年度本部门决算汇编范围的独立核算单位（以下简称“单位”）共</w:t>
      </w:r>
      <w:r>
        <w:rPr>
          <w:rFonts w:hint="eastAsia" w:ascii="Times New Roman" w:eastAsia="仿宋_GB2312"/>
          <w:sz w:val="32"/>
          <w:szCs w:val="32"/>
        </w:rPr>
        <w:t>1</w:t>
      </w:r>
      <w:r>
        <w:rPr>
          <w:rFonts w:ascii="Times New Roman" w:eastAsia="仿宋_GB2312"/>
          <w:sz w:val="32"/>
          <w:szCs w:val="32"/>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石家庄市鹿泉区科学技术协会(本级)</w:t>
            </w:r>
          </w:p>
        </w:tc>
        <w:tc>
          <w:tcPr>
            <w:tcW w:w="2445" w:type="dxa"/>
          </w:tcPr>
          <w:p>
            <w:pPr>
              <w:spacing w:line="560" w:lineRule="exact"/>
              <w:jc w:val="center"/>
              <w:rPr>
                <w:rFonts w:ascii="宋体" w:hAnsi="宋体" w:eastAsia="宋体"/>
                <w:sz w:val="28"/>
                <w:szCs w:val="28"/>
              </w:rPr>
            </w:pPr>
            <w:r>
              <w:rPr>
                <w:rFonts w:hint="eastAsia" w:ascii="仿宋_GB2312" w:eastAsia="仿宋_GB2312" w:cs="仿宋_GB2312"/>
                <w:kern w:val="0"/>
                <w:sz w:val="28"/>
                <w:szCs w:val="28"/>
              </w:rPr>
              <w:t>参公事业单位</w:t>
            </w:r>
          </w:p>
        </w:tc>
        <w:tc>
          <w:tcPr>
            <w:tcW w:w="2665" w:type="dxa"/>
          </w:tcPr>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全额</w:t>
            </w:r>
          </w:p>
        </w:tc>
      </w:tr>
    </w:tbl>
    <w:p>
      <w:pPr>
        <w:rPr>
          <w:rFonts w:hint="eastAsia" w:ascii="Times New Roman" w:hAnsi="Times New Roman" w:eastAsia="黑体" w:cs="Times New Roman"/>
          <w:sz w:val="32"/>
          <w:szCs w:val="32"/>
          <w:highlight w:val="yellow"/>
        </w:rPr>
      </w:pPr>
    </w:p>
    <w:p>
      <w:pPr>
        <w:rPr>
          <w:rFonts w:hint="eastAsia" w:ascii="Times New Roman" w:hAnsi="Times New Roman" w:eastAsia="黑体" w:cs="Times New Roman"/>
          <w:sz w:val="32"/>
          <w:szCs w:val="32"/>
          <w:highlight w:val="yellow"/>
        </w:rPr>
      </w:pPr>
    </w:p>
    <w:p>
      <w:pPr>
        <w:rPr>
          <w:rFonts w:hint="eastAsia" w:cs="宋体" w:asciiTheme="minorHAnsi" w:hAnsiTheme="minorHAnsi" w:eastAsiaTheme="minorEastAsia"/>
          <w:sz w:val="24"/>
          <w:szCs w:val="24"/>
          <w:lang w:val="en-US" w:eastAsia="zh-CN" w:bidi="ar-SA"/>
        </w:rPr>
      </w:pPr>
      <w:r>
        <w:rPr>
          <w:rFonts w:hint="eastAsia" w:ascii="Times New Roman" w:hAnsi="Times New Roman" w:eastAsia="黑体" w:cs="Times New Roman"/>
          <w:sz w:val="32"/>
          <w:szCs w:val="32"/>
          <w:highlight w:val="none"/>
        </w:rPr>
        <w:t>我部门无二级预算</w:t>
      </w:r>
      <w:r>
        <w:rPr>
          <w:rFonts w:hint="eastAsia" w:ascii="Times New Roman" w:hAnsi="Times New Roman" w:eastAsia="黑体" w:cs="Times New Roman"/>
          <w:sz w:val="32"/>
          <w:szCs w:val="32"/>
          <w:highlight w:val="none"/>
          <w:lang w:eastAsia="zh-CN"/>
        </w:rPr>
        <w:t>部门</w:t>
      </w:r>
      <w:r>
        <w:rPr>
          <w:rFonts w:hint="eastAsia" w:ascii="Times New Roman" w:hAnsi="Times New Roman" w:eastAsia="黑体" w:cs="Times New Roman"/>
          <w:sz w:val="32"/>
          <w:szCs w:val="32"/>
          <w:highlight w:val="none"/>
        </w:rPr>
        <w:t>，因此，</w:t>
      </w:r>
      <w:r>
        <w:rPr>
          <w:rFonts w:hint="eastAsia" w:ascii="Times New Roman" w:hAnsi="Times New Roman" w:eastAsia="黑体" w:cs="Times New Roman"/>
          <w:sz w:val="32"/>
          <w:szCs w:val="32"/>
          <w:highlight w:val="none"/>
          <w:lang w:eastAsia="zh-CN"/>
        </w:rPr>
        <w:t>石家庄市鹿泉区</w:t>
      </w:r>
      <w:r>
        <w:rPr>
          <w:rFonts w:hint="eastAsia" w:ascii="Times New Roman" w:hAnsi="Times New Roman" w:eastAsia="黑体" w:cs="Times New Roman"/>
          <w:sz w:val="32"/>
          <w:szCs w:val="32"/>
          <w:highlight w:val="none"/>
          <w:lang w:val="en-US" w:eastAsia="zh-CN"/>
        </w:rPr>
        <w:t>科学技术协</w:t>
      </w:r>
      <w:r>
        <w:rPr>
          <w:rFonts w:hint="eastAsia" w:ascii="Times New Roman" w:hAnsi="Times New Roman" w:eastAsia="黑体" w:cs="Times New Roman"/>
          <w:sz w:val="32"/>
          <w:szCs w:val="32"/>
          <w:highlight w:val="none"/>
          <w:lang w:eastAsia="zh-CN"/>
        </w:rPr>
        <w:t>会</w:t>
      </w:r>
      <w:r>
        <w:rPr>
          <w:rFonts w:hint="eastAsia" w:ascii="Times New Roman" w:hAnsi="Times New Roman" w:eastAsia="黑体" w:cs="Times New Roman"/>
          <w:sz w:val="32"/>
          <w:szCs w:val="32"/>
          <w:highlight w:val="none"/>
        </w:rPr>
        <w:t>202</w:t>
      </w:r>
      <w:r>
        <w:rPr>
          <w:rFonts w:hint="eastAsia" w:ascii="Times New Roman" w:hAnsi="Times New Roman" w:eastAsia="黑体" w:cs="Times New Roman"/>
          <w:sz w:val="32"/>
          <w:szCs w:val="32"/>
          <w:highlight w:val="none"/>
          <w:lang w:val="en-US" w:eastAsia="zh-CN"/>
        </w:rPr>
        <w:t>4</w:t>
      </w:r>
      <w:r>
        <w:rPr>
          <w:rFonts w:hint="eastAsia" w:ascii="Times New Roman" w:hAnsi="Times New Roman" w:eastAsia="黑体" w:cs="Times New Roman"/>
          <w:sz w:val="32"/>
          <w:szCs w:val="32"/>
          <w:highlight w:val="none"/>
        </w:rPr>
        <w:t>年度部门决算即</w:t>
      </w:r>
      <w:r>
        <w:rPr>
          <w:rFonts w:hint="eastAsia" w:ascii="Times New Roman" w:hAnsi="Times New Roman" w:eastAsia="黑体" w:cs="Times New Roman"/>
          <w:sz w:val="32"/>
          <w:szCs w:val="32"/>
          <w:highlight w:val="none"/>
          <w:lang w:eastAsia="zh-CN"/>
        </w:rPr>
        <w:t>石家庄市鹿泉区</w:t>
      </w:r>
      <w:r>
        <w:rPr>
          <w:rFonts w:hint="eastAsia" w:ascii="Times New Roman" w:hAnsi="Times New Roman" w:eastAsia="黑体" w:cs="Times New Roman"/>
          <w:sz w:val="32"/>
          <w:szCs w:val="32"/>
          <w:highlight w:val="none"/>
          <w:lang w:val="en-US" w:eastAsia="zh-CN"/>
        </w:rPr>
        <w:t>科学技术协</w:t>
      </w:r>
      <w:r>
        <w:rPr>
          <w:rFonts w:hint="eastAsia" w:ascii="Times New Roman" w:hAnsi="Times New Roman" w:eastAsia="黑体" w:cs="Times New Roman"/>
          <w:sz w:val="32"/>
          <w:szCs w:val="32"/>
          <w:highlight w:val="none"/>
          <w:lang w:eastAsia="zh-CN"/>
        </w:rPr>
        <w:t>会</w:t>
      </w:r>
      <w:r>
        <w:rPr>
          <w:rFonts w:hint="eastAsia" w:ascii="Times New Roman" w:hAnsi="Times New Roman" w:eastAsia="黑体" w:cs="Times New Roman"/>
          <w:sz w:val="32"/>
          <w:szCs w:val="32"/>
          <w:highlight w:val="none"/>
        </w:rPr>
        <w:t>本级202</w:t>
      </w:r>
      <w:r>
        <w:rPr>
          <w:rFonts w:hint="eastAsia" w:ascii="Times New Roman" w:hAnsi="Times New Roman" w:eastAsia="黑体" w:cs="Times New Roman"/>
          <w:sz w:val="32"/>
          <w:szCs w:val="32"/>
          <w:highlight w:val="none"/>
          <w:lang w:val="en-US" w:eastAsia="zh-CN"/>
        </w:rPr>
        <w:t>4</w:t>
      </w:r>
      <w:r>
        <w:rPr>
          <w:rFonts w:hint="eastAsia" w:ascii="Times New Roman" w:hAnsi="Times New Roman" w:eastAsia="黑体" w:cs="Times New Roman"/>
          <w:sz w:val="32"/>
          <w:szCs w:val="32"/>
          <w:highlight w:val="none"/>
        </w:rPr>
        <w:t>年度决算</w:t>
      </w:r>
      <w:r>
        <w:rPr>
          <w:rFonts w:hint="eastAsia" w:ascii="Times New Roman" w:hAnsi="Times New Roman" w:eastAsia="黑体" w:cs="Times New Roman"/>
          <w:sz w:val="32"/>
          <w:szCs w:val="32"/>
          <w:highlight w:val="none"/>
          <w:lang w:eastAsia="zh-CN"/>
        </w:rPr>
        <w:t>。</w:t>
      </w:r>
      <w:r>
        <w:rPr>
          <w:rFonts w:hint="eastAsia" w:ascii="Times New Roman" w:hAnsi="Times New Roman" w:eastAsia="黑体" w:cs="Times New Roman"/>
          <w:sz w:val="32"/>
          <w:szCs w:val="32"/>
          <w:highlight w:val="yellow"/>
        </w:rPr>
        <w:br w:type="page"/>
      </w:r>
    </w:p>
    <w:p>
      <w:pPr>
        <w:rPr>
          <w:rFonts w:hint="eastAsia" w:ascii="Times New Roman" w:hAnsi="Times New Roman" w:eastAsia="黑体" w:cs="Times New Roman"/>
          <w:sz w:val="32"/>
          <w:szCs w:val="32"/>
          <w:highlight w:val="yellow"/>
        </w:rPr>
      </w:pPr>
    </w:p>
    <w:p>
      <w:pPr>
        <w:widowControl/>
        <w:spacing w:line="360" w:lineRule="auto"/>
        <w:jc w:val="center"/>
        <w:outlineLvl w:val="0"/>
        <w:rPr>
          <w:rFonts w:ascii="Times New Roman" w:eastAsia="黑体"/>
          <w:sz w:val="44"/>
          <w:szCs w:val="44"/>
        </w:rPr>
      </w:pPr>
      <w:r>
        <w:rPr>
          <w:rFonts w:ascii="Times New Roman" w:eastAsia="黑体"/>
          <w:sz w:val="44"/>
          <w:szCs w:val="44"/>
        </w:rPr>
        <w:t>第二部分   </w:t>
      </w:r>
      <w:r>
        <w:rPr>
          <w:rFonts w:ascii="Times New Roman" w:eastAsia="仿宋_GB2312"/>
          <w:sz w:val="44"/>
          <w:szCs w:val="44"/>
        </w:rPr>
        <w:t>2024</w:t>
      </w:r>
      <w:r>
        <w:rPr>
          <w:rFonts w:ascii="Times New Roman" w:eastAsia="黑体"/>
          <w:sz w:val="44"/>
          <w:szCs w:val="44"/>
        </w:rPr>
        <w:t>年度部门决算表</w:t>
      </w:r>
    </w:p>
    <w:tbl>
      <w:tblPr>
        <w:tblStyle w:val="12"/>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部门（单位）：石家庄市鹿泉区科学技术协会</w:t>
            </w:r>
          </w:p>
        </w:tc>
        <w:tc>
          <w:tcPr>
            <w:tcW w:w="1262" w:type="pct"/>
            <w:gridSpan w:val="2"/>
            <w:tcBorders>
              <w:top w:val="nil"/>
              <w:left w:val="nil"/>
              <w:bottom w:val="single" w:color="auto" w:sz="4" w:space="0"/>
              <w:right w:val="nil"/>
            </w:tcBorders>
            <w:noWrap/>
            <w:vAlign w:val="bottom"/>
          </w:tcPr>
          <w:p>
            <w:pPr>
              <w:jc w:val="center"/>
              <w:rPr>
                <w:rFonts w:ascii="宋体" w:hAnsi="宋体" w:eastAsia="宋体"/>
                <w:color w:val="000000"/>
                <w:sz w:val="20"/>
                <w:szCs w:val="20"/>
                <w:lang w:bidi="ar"/>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lang w:bidi="ar"/>
              </w:rPr>
              <w:t>年度</w:t>
            </w:r>
          </w:p>
        </w:tc>
        <w:tc>
          <w:tcPr>
            <w:tcW w:w="1757" w:type="pct"/>
            <w:gridSpan w:val="3"/>
            <w:tcBorders>
              <w:top w:val="nil"/>
              <w:left w:val="nil"/>
              <w:bottom w:val="single" w:color="auto" w:sz="4" w:space="0"/>
              <w:right w:val="nil"/>
            </w:tcBorders>
            <w:noWrap/>
            <w:vAlign w:val="bottom"/>
          </w:tcPr>
          <w:p>
            <w:pPr>
              <w:jc w:val="right"/>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支出</w:t>
            </w:r>
          </w:p>
        </w:tc>
      </w:tr>
      <w:tr>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826"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826"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161.76</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四、上级补助收入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五、事业收入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六、经营收入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9.11</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七、附属单位上缴收入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八、其他收入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50.73</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11.31</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267"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826"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16.53</w:t>
            </w: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结余分配</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61</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r>
      <w:tr>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widowControl/>
              <w:jc w:val="left"/>
              <w:textAlignment w:val="center"/>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注：1.本表反映部门本年度的总收支和年末结转结余情况。</w:t>
            </w:r>
          </w:p>
          <w:p>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2.本套报表金额转换时可能存在尾数误差。</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 xml:space="preserve">部门（单位）：石家庄市鹿泉区科学技术协会                                                                                                         </w:t>
            </w:r>
          </w:p>
        </w:tc>
        <w:tc>
          <w:tcPr>
            <w:tcW w:w="3405" w:type="dxa"/>
            <w:gridSpan w:val="4"/>
            <w:tcBorders>
              <w:top w:val="nil"/>
              <w:left w:val="nil"/>
              <w:bottom w:val="single" w:color="auto" w:sz="4" w:space="0"/>
              <w:right w:val="nil"/>
            </w:tcBorders>
            <w:noWrap/>
            <w:vAlign w:val="bottom"/>
          </w:tcPr>
          <w:p>
            <w:pPr>
              <w:jc w:val="center"/>
              <w:rPr>
                <w:rFonts w:ascii="方正仿宋_GB2312" w:hAnsi="方正仿宋_GB2312" w:eastAsia="方正仿宋_GB2312" w:cs="方正仿宋_GB2312"/>
                <w:color w:val="000000"/>
                <w:sz w:val="20"/>
                <w:szCs w:val="20"/>
                <w:lang w:bidi="ar"/>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lang w:bidi="ar"/>
              </w:rPr>
              <w:t>年度</w:t>
            </w:r>
          </w:p>
        </w:tc>
        <w:tc>
          <w:tcPr>
            <w:tcW w:w="2588" w:type="dxa"/>
            <w:gridSpan w:val="3"/>
            <w:tcBorders>
              <w:top w:val="nil"/>
              <w:left w:val="nil"/>
              <w:bottom w:val="single" w:color="auto" w:sz="4" w:space="0"/>
              <w:right w:val="nil"/>
            </w:tcBorders>
            <w:noWrap/>
            <w:vAlign w:val="bottom"/>
          </w:tcPr>
          <w:p>
            <w:pPr>
              <w:jc w:val="right"/>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上级补助收入</w:t>
            </w:r>
          </w:p>
        </w:tc>
        <w:tc>
          <w:tcPr>
            <w:tcW w:w="964" w:type="dxa"/>
            <w:vMerge w:val="restart"/>
            <w:tcBorders>
              <w:top w:val="single" w:color="auto" w:sz="4" w:space="0"/>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其他收入</w:t>
            </w:r>
          </w:p>
        </w:tc>
      </w:tr>
      <w:tr>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964"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c>
          <w:tcPr>
            <w:tcW w:w="102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6</w:t>
            </w:r>
          </w:p>
        </w:tc>
        <w:tc>
          <w:tcPr>
            <w:tcW w:w="964"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7</w:t>
            </w:r>
          </w:p>
        </w:tc>
      </w:tr>
      <w:tr>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249.44</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249.44</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161.76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161.76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20131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党委办公厅（室）及相关机构事务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161.76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161.76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2013101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161.76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161.76</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206</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科学技术支出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9.11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9.11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20699</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其他科学技术支出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9.11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9.11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2069999</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其他科学技术支出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9.11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9.11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50.73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50.73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50.73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50.73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34.25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34.25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16.48</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16.48</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11.31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11.31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11.31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11.31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11.31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11.31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16.53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16.53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16.53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16.53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16.53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16.53</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注：本表反映部门本年度取得的各项收入情况。</w:t>
            </w:r>
          </w:p>
        </w:tc>
      </w:tr>
    </w:tbl>
    <w:p>
      <w:pPr>
        <w:rPr>
          <w:rFonts w:ascii="仿宋_GB2312" w:hAnsi="宋体" w:eastAsia="仿宋_GB2312"/>
          <w:b/>
          <w:sz w:val="32"/>
          <w:szCs w:val="32"/>
        </w:rPr>
      </w:pPr>
    </w:p>
    <w:p>
      <w:pPr>
        <w:rPr>
          <w:rFonts w:ascii="黑体" w:hAnsi="黑体" w:eastAsia="黑体"/>
          <w:bCs/>
          <w:sz w:val="32"/>
          <w:szCs w:val="32"/>
        </w:rPr>
      </w:pPr>
      <w:r>
        <w:rPr>
          <w:rFonts w:hint="eastAsia" w:ascii="仿宋_GB2312" w:hAnsi="宋体" w:eastAsia="仿宋_GB2312"/>
          <w:b/>
          <w:sz w:val="32"/>
          <w:szCs w:val="32"/>
        </w:rPr>
        <w:br w:type="page"/>
      </w:r>
    </w:p>
    <w:tbl>
      <w:tblPr>
        <w:tblStyle w:val="12"/>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03</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部门（单位）：石家庄市鹿泉区科学技术协会 </w:t>
            </w:r>
            <w:r>
              <w:rPr>
                <w:rFonts w:hint="eastAsia" w:asciiTheme="minorEastAsia" w:hAnsiTheme="minorEastAsia" w:cstheme="minorEastAsia"/>
                <w:color w:val="000000"/>
                <w:sz w:val="20"/>
                <w:szCs w:val="20"/>
                <w:lang w:bidi="ar"/>
              </w:rPr>
              <w:t xml:space="preserve">                                                                                                         </w:t>
            </w:r>
          </w:p>
        </w:tc>
        <w:tc>
          <w:tcPr>
            <w:tcW w:w="1403" w:type="pct"/>
            <w:gridSpan w:val="3"/>
            <w:tcBorders>
              <w:top w:val="nil"/>
              <w:left w:val="nil"/>
              <w:bottom w:val="single" w:color="auto" w:sz="4" w:space="0"/>
              <w:right w:val="nil"/>
            </w:tcBorders>
            <w:noWrap/>
            <w:vAlign w:val="bottom"/>
          </w:tcPr>
          <w:p>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734" w:type="pct"/>
            <w:gridSpan w:val="3"/>
            <w:tcBorders>
              <w:top w:val="nil"/>
              <w:left w:val="nil"/>
              <w:bottom w:val="single" w:color="auto" w:sz="4" w:space="0"/>
              <w:right w:val="nil"/>
            </w:tcBorders>
            <w:noWrap/>
            <w:vAlign w:val="bottom"/>
          </w:tcPr>
          <w:p>
            <w:pPr>
              <w:widowControl/>
              <w:jc w:val="right"/>
              <w:textAlignment w:val="bottom"/>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 xml:space="preserve"> 金额单位：万元</w:t>
            </w:r>
          </w:p>
        </w:tc>
      </w:tr>
      <w:tr>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03"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602"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经营支出</w:t>
            </w:r>
          </w:p>
        </w:tc>
        <w:tc>
          <w:tcPr>
            <w:tcW w:w="795"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对附属单位补助支出</w:t>
            </w:r>
          </w:p>
        </w:tc>
      </w:tr>
      <w:tr>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03"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02" w:type="pct"/>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02"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02" w:type="pct"/>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02"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795"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r>
      <w:tr>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240.33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9.11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党委办公厅（室）及相关机构事务</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2013101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科学技术支出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20699</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其他科学技术支出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2069999</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其他科学技术支出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50.73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50.73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50.73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50.73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34.25</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34.25</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16.48</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16.48</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注：本表反映部门本年度各项支出情况。</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公开04表</w:t>
            </w:r>
          </w:p>
        </w:tc>
      </w:tr>
      <w:tr>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lang w:bidi="ar"/>
              </w:rPr>
              <w:t xml:space="preserve">部门（单位）：石家庄市鹿泉区科学技术协会 </w:t>
            </w:r>
            <w:r>
              <w:rPr>
                <w:rFonts w:hint="eastAsia" w:asciiTheme="minorEastAsia" w:hAnsiTheme="minorEastAsia" w:cstheme="minorEastAsia"/>
                <w:color w:val="000000"/>
                <w:sz w:val="20"/>
                <w:szCs w:val="20"/>
                <w:lang w:bidi="ar"/>
              </w:rPr>
              <w:t xml:space="preserve">                                                                                                   </w:t>
            </w:r>
          </w:p>
        </w:tc>
        <w:tc>
          <w:tcPr>
            <w:tcW w:w="649" w:type="pct"/>
            <w:gridSpan w:val="3"/>
            <w:tcBorders>
              <w:top w:val="nil"/>
              <w:left w:val="nil"/>
              <w:bottom w:val="single" w:color="auto" w:sz="4" w:space="0"/>
              <w:right w:val="nil"/>
            </w:tcBorders>
            <w:noWrap/>
            <w:vAlign w:val="bottom"/>
          </w:tcPr>
          <w:p>
            <w:pPr>
              <w:jc w:val="center"/>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919" w:type="pct"/>
            <w:gridSpan w:val="4"/>
            <w:tcBorders>
              <w:top w:val="nil"/>
              <w:left w:val="nil"/>
              <w:bottom w:val="single" w:color="auto" w:sz="4" w:space="0"/>
              <w:right w:val="nil"/>
            </w:tcBorders>
            <w:noWrap/>
            <w:vAlign w:val="bottom"/>
          </w:tcPr>
          <w:p>
            <w:pPr>
              <w:jc w:val="right"/>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    目</w:t>
            </w:r>
          </w:p>
        </w:tc>
        <w:tc>
          <w:tcPr>
            <w:tcW w:w="266"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609"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6"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552" w:type="pct"/>
            <w:gridSpan w:val="2"/>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89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520"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520"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4</w:t>
            </w:r>
          </w:p>
        </w:tc>
        <w:tc>
          <w:tcPr>
            <w:tcW w:w="520" w:type="pct"/>
            <w:tcBorders>
              <w:top w:val="nil"/>
              <w:left w:val="nil"/>
              <w:bottom w:val="single" w:color="000000" w:sz="4" w:space="0"/>
              <w:right w:val="single" w:color="000000" w:sz="8"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161.76</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161.76</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9.11</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9.11</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50.73</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50.73</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11.31</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11.31</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609"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266"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16.53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16.53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89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年初财政拨款结转和结余</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年末财政拨款结转和结余</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30</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609" w:type="pct"/>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895" w:type="pct"/>
            <w:gridSpan w:val="2"/>
            <w:tcBorders>
              <w:top w:val="nil"/>
              <w:left w:val="nil"/>
              <w:bottom w:val="single" w:color="000000" w:sz="8"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520" w:type="pct"/>
            <w:tcBorders>
              <w:top w:val="nil"/>
              <w:left w:val="nil"/>
              <w:bottom w:val="single" w:color="000000" w:sz="8" w:space="0"/>
              <w:right w:val="single" w:color="000000" w:sz="4" w:space="0"/>
            </w:tcBorders>
            <w:noWrap/>
            <w:vAlign w:val="center"/>
          </w:tcPr>
          <w:p>
            <w:pPr>
              <w:jc w:val="right"/>
              <w:rPr>
                <w:rFonts w:ascii="Times New Roman" w:hAnsi="Times New Roman" w:cs="Times New Roman"/>
                <w:sz w:val="20"/>
                <w:szCs w:val="20"/>
              </w:rPr>
            </w:pPr>
          </w:p>
          <w:p>
            <w:pPr>
              <w:jc w:val="right"/>
              <w:rPr>
                <w:rFonts w:ascii="Times New Roman" w:hAnsi="Times New Roman" w:cs="Times New Roman"/>
                <w:sz w:val="20"/>
                <w:szCs w:val="20"/>
              </w:rPr>
            </w:pPr>
            <w:r>
              <w:rPr>
                <w:rFonts w:ascii="Times New Roman" w:hAnsi="Times New Roman" w:cs="Times New Roman"/>
                <w:sz w:val="20"/>
                <w:szCs w:val="20"/>
              </w:rPr>
              <w:t>249.44</w:t>
            </w:r>
          </w:p>
          <w:p>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注：本表反映部门本年度一般公共预算财政拨款、政府性基金预算财政拨款和国有资本经营预算财政拨款的总收支和年末结转结余情况。</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W w:w="5348" w:type="pct"/>
        <w:tblInd w:w="-657" w:type="dxa"/>
        <w:tblLayout w:type="autofit"/>
        <w:tblCellMar>
          <w:top w:w="0" w:type="dxa"/>
          <w:left w:w="108" w:type="dxa"/>
          <w:bottom w:w="0" w:type="dxa"/>
          <w:right w:w="108" w:type="dxa"/>
        </w:tblCellMar>
      </w:tblPr>
      <w:tblGrid>
        <w:gridCol w:w="903"/>
        <w:gridCol w:w="3416"/>
        <w:gridCol w:w="408"/>
        <w:gridCol w:w="838"/>
        <w:gridCol w:w="1002"/>
        <w:gridCol w:w="378"/>
        <w:gridCol w:w="1655"/>
      </w:tblGrid>
      <w:tr>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05</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编制部门（单位）：石家庄市鹿泉区科学技术协会</w:t>
            </w:r>
          </w:p>
        </w:tc>
        <w:tc>
          <w:tcPr>
            <w:tcW w:w="1541" w:type="pct"/>
            <w:gridSpan w:val="2"/>
            <w:tcBorders>
              <w:top w:val="nil"/>
              <w:left w:val="nil"/>
              <w:bottom w:val="single" w:color="auto" w:sz="4" w:space="0"/>
              <w:right w:val="nil"/>
            </w:tcBorders>
            <w:noWrap/>
            <w:vAlign w:val="bottom"/>
          </w:tcPr>
          <w:p>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590" w:type="pct"/>
            <w:gridSpan w:val="2"/>
            <w:tcBorders>
              <w:top w:val="nil"/>
              <w:left w:val="nil"/>
              <w:bottom w:val="single" w:color="auto" w:sz="4" w:space="0"/>
              <w:right w:val="nil"/>
            </w:tcBorders>
            <w:noWrap/>
            <w:vAlign w:val="bottom"/>
          </w:tcPr>
          <w:p>
            <w:pPr>
              <w:widowControl/>
              <w:jc w:val="right"/>
              <w:textAlignment w:val="bottom"/>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r>
      <w:tr>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r>
      <w:tr>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249.44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240.33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9.11</w:t>
            </w: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党委办公厅（室）及相关机构事务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2013101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161.76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2069999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9.11</w:t>
            </w: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50.73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50.73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34.25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16.48</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11.31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16.53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widowControl/>
              <w:jc w:val="left"/>
              <w:textAlignment w:val="center"/>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注：本表反映部门本年度一般公共预算财政拨款支出情况。</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 xml:space="preserve">部门（单位）：石家庄市鹿泉区科学技术协会 </w:t>
            </w:r>
            <w:r>
              <w:rPr>
                <w:rFonts w:hint="eastAsia" w:asciiTheme="minorEastAsia" w:hAnsiTheme="minorEastAsia" w:cstheme="minorEastAsia"/>
                <w:color w:val="000000"/>
                <w:sz w:val="18"/>
                <w:szCs w:val="18"/>
                <w:lang w:bidi="ar"/>
              </w:rPr>
              <w:t xml:space="preserve">                                                                   </w:t>
            </w:r>
          </w:p>
        </w:tc>
        <w:tc>
          <w:tcPr>
            <w:tcW w:w="865" w:type="pct"/>
            <w:gridSpan w:val="2"/>
            <w:tcBorders>
              <w:top w:val="nil"/>
              <w:left w:val="nil"/>
              <w:bottom w:val="single" w:color="auto" w:sz="4" w:space="0"/>
              <w:right w:val="nil"/>
            </w:tcBorders>
            <w:noWrap/>
            <w:vAlign w:val="bottom"/>
          </w:tcPr>
          <w:p>
            <w:pPr>
              <w:jc w:val="center"/>
              <w:rPr>
                <w:rFonts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2024</w:t>
            </w:r>
            <w:r>
              <w:rPr>
                <w:rFonts w:hint="eastAsia" w:ascii="方正仿宋_GB2312" w:hAnsi="方正仿宋_GB2312" w:eastAsia="方正仿宋_GB2312" w:cs="方正仿宋_GB2312"/>
                <w:color w:val="000000"/>
                <w:sz w:val="18"/>
                <w:szCs w:val="18"/>
                <w:lang w:bidi="ar"/>
              </w:rPr>
              <w:t>年度</w:t>
            </w:r>
          </w:p>
        </w:tc>
        <w:tc>
          <w:tcPr>
            <w:tcW w:w="1841" w:type="pct"/>
            <w:gridSpan w:val="4"/>
            <w:tcBorders>
              <w:top w:val="nil"/>
              <w:left w:val="nil"/>
              <w:bottom w:val="single" w:color="auto" w:sz="4" w:space="0"/>
              <w:right w:val="nil"/>
            </w:tcBorders>
            <w:noWrap/>
            <w:vAlign w:val="bottom"/>
          </w:tcPr>
          <w:p>
            <w:pPr>
              <w:jc w:val="right"/>
              <w:rPr>
                <w:rFonts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5"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5"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174.54</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32.00</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49.93</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5.26</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38.21</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39.21</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0.54</w:t>
            </w: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0.54</w:t>
            </w: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16.48</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5.87</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11.31</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2.86</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16.53</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33.26</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33.25</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9.32</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0.96</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0.01</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1.09</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1.64</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6.68</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1.17</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ascii="Times New Roman" w:hAnsi="Times New Roman" w:cs="Times New Roman"/>
                <w:sz w:val="18"/>
                <w:szCs w:val="18"/>
              </w:rPr>
              <w:t>207.79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ascii="Times New Roman" w:hAnsi="Times New Roman" w:cs="Times New Roman"/>
                <w:sz w:val="18"/>
                <w:szCs w:val="18"/>
              </w:rPr>
              <w:t>32.54</w:t>
            </w:r>
          </w:p>
        </w:tc>
      </w:tr>
      <w:tr>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注：本表反映部门本年度一般公共预算财政拨款基本支出明细情况。</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07</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部门（单位）：石家庄市鹿泉区科学技术协会 </w:t>
            </w:r>
            <w:r>
              <w:rPr>
                <w:rFonts w:hint="eastAsia" w:ascii="宋体" w:hAnsi="宋体" w:eastAsia="宋体"/>
                <w:color w:val="000000"/>
                <w:sz w:val="20"/>
                <w:szCs w:val="20"/>
                <w:lang w:bidi="ar"/>
              </w:rPr>
              <w:t xml:space="preserve">                                                                                     </w:t>
            </w:r>
          </w:p>
        </w:tc>
        <w:tc>
          <w:tcPr>
            <w:tcW w:w="1217" w:type="pct"/>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w:t>
            </w:r>
            <w:r>
              <w:rPr>
                <w:rFonts w:hint="eastAsia" w:ascii="Times New Roman" w:hAnsi="Times New Roman" w:eastAsia="宋体"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854" w:type="pct"/>
            <w:gridSpan w:val="3"/>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23"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w:t>
            </w:r>
          </w:p>
        </w:tc>
        <w:tc>
          <w:tcPr>
            <w:tcW w:w="1609" w:type="pct"/>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c>
          <w:tcPr>
            <w:tcW w:w="973" w:type="pct"/>
            <w:vMerge w:val="restart"/>
            <w:tcBorders>
              <w:top w:val="single" w:color="auto" w:sz="4" w:space="0"/>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r>
      <w:tr>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546"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973" w:type="pct"/>
            <w:vMerge w:val="continue"/>
            <w:tcBorders>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结转</w:t>
            </w:r>
          </w:p>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w:t>
            </w:r>
          </w:p>
        </w:tc>
      </w:tr>
      <w:tr>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23" w:type="pct"/>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1</w:t>
            </w:r>
          </w:p>
        </w:tc>
        <w:tc>
          <w:tcPr>
            <w:tcW w:w="489"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2</w:t>
            </w:r>
          </w:p>
        </w:tc>
        <w:tc>
          <w:tcPr>
            <w:tcW w:w="52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3</w:t>
            </w:r>
          </w:p>
        </w:tc>
        <w:tc>
          <w:tcPr>
            <w:tcW w:w="534"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4</w:t>
            </w:r>
          </w:p>
        </w:tc>
        <w:tc>
          <w:tcPr>
            <w:tcW w:w="54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5</w:t>
            </w:r>
          </w:p>
        </w:tc>
        <w:tc>
          <w:tcPr>
            <w:tcW w:w="973"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20"/>
                <w:szCs w:val="20"/>
                <w:lang w:bidi="ar"/>
              </w:rPr>
              <w:br w:type="page"/>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08</w:t>
            </w:r>
            <w:r>
              <w:rPr>
                <w:rFonts w:hint="eastAsia" w:ascii="方正仿宋_GB2312" w:hAnsi="方正仿宋_GB2312" w:eastAsia="方正仿宋_GB2312" w:cs="方正仿宋_GB2312"/>
                <w:color w:val="000000"/>
                <w:sz w:val="20"/>
                <w:szCs w:val="20"/>
                <w:lang w:bidi="ar"/>
              </w:rPr>
              <w:t>表</w:t>
            </w:r>
          </w:p>
        </w:tc>
      </w:tr>
      <w:tr>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部门（单位）：石家庄市鹿泉区科学技术协会</w:t>
            </w:r>
          </w:p>
        </w:tc>
        <w:tc>
          <w:tcPr>
            <w:tcW w:w="1421" w:type="pct"/>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w:t>
            </w:r>
            <w:r>
              <w:rPr>
                <w:rFonts w:hint="eastAsia" w:ascii="Times New Roman" w:hAnsi="Times New Roman" w:eastAsia="宋体"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603" w:type="pct"/>
            <w:gridSpan w:val="3"/>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注：本表反映部门本年度国有资本经营预算财政拨款支出情况。（如无相关数据，则需注明空表列示）</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2"/>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部门（单位）：石家庄市鹿泉区科学技术协会</w:t>
            </w:r>
          </w:p>
        </w:tc>
        <w:tc>
          <w:tcPr>
            <w:tcW w:w="933" w:type="pct"/>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18"/>
                <w:szCs w:val="18"/>
                <w:lang w:bidi="ar"/>
              </w:rPr>
            </w:pPr>
            <w:r>
              <w:rPr>
                <w:rFonts w:ascii="Times New Roman" w:hAnsi="Times New Roman" w:eastAsia="宋体" w:cs="Times New Roman"/>
                <w:color w:val="000000"/>
                <w:sz w:val="18"/>
                <w:szCs w:val="18"/>
                <w:lang w:bidi="ar"/>
              </w:rPr>
              <w:t>202</w:t>
            </w:r>
            <w:r>
              <w:rPr>
                <w:rFonts w:hint="eastAsia" w:ascii="Times New Roman" w:hAnsi="Times New Roman" w:eastAsia="宋体" w:cs="Times New Roman"/>
                <w:color w:val="000000"/>
                <w:sz w:val="18"/>
                <w:szCs w:val="18"/>
                <w:lang w:bidi="ar"/>
              </w:rPr>
              <w:t>4</w:t>
            </w:r>
            <w:r>
              <w:rPr>
                <w:rFonts w:hint="eastAsia" w:ascii="方正仿宋_GB2312" w:hAnsi="方正仿宋_GB2312" w:eastAsia="方正仿宋_GB2312" w:cs="方正仿宋_GB2312"/>
                <w:color w:val="000000"/>
                <w:sz w:val="18"/>
                <w:szCs w:val="18"/>
                <w:lang w:bidi="ar"/>
              </w:rPr>
              <w:t>年度</w:t>
            </w:r>
          </w:p>
        </w:tc>
        <w:tc>
          <w:tcPr>
            <w:tcW w:w="2129" w:type="pct"/>
            <w:gridSpan w:val="5"/>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2493" w:type="pct"/>
            <w:gridSpan w:val="6"/>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528"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217" w:type="pct"/>
            <w:gridSpan w:val="4"/>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366"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488"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126" w:type="pct"/>
            <w:gridSpan w:val="3"/>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58"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42"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52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350"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458"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335"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3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48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275"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44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511"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1.64</w:t>
            </w:r>
          </w:p>
        </w:tc>
        <w:tc>
          <w:tcPr>
            <w:tcW w:w="528"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1.64</w:t>
            </w:r>
          </w:p>
        </w:tc>
        <w:tc>
          <w:tcPr>
            <w:tcW w:w="407"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1.64</w:t>
            </w:r>
          </w:p>
        </w:tc>
        <w:tc>
          <w:tcPr>
            <w:tcW w:w="335"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366"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1.64</w:t>
            </w:r>
          </w:p>
        </w:tc>
        <w:tc>
          <w:tcPr>
            <w:tcW w:w="488"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1.64</w:t>
            </w:r>
          </w:p>
        </w:tc>
        <w:tc>
          <w:tcPr>
            <w:tcW w:w="442"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1.64</w:t>
            </w:r>
          </w:p>
        </w:tc>
        <w:tc>
          <w:tcPr>
            <w:tcW w:w="511"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r>
      <w:tr>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rPr>
          <w:rFonts w:ascii="仿宋_GB2312" w:hAnsi="宋体" w:eastAsia="仿宋_GB2312"/>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p>
      <w:pPr>
        <w:rPr>
          <w:rFonts w:ascii="仿宋_GB2312" w:hAnsi="宋体" w:eastAsia="仿宋_GB2312"/>
          <w:b/>
          <w:sz w:val="32"/>
          <w:szCs w:val="32"/>
        </w:rPr>
        <w:sectPr>
          <w:headerReference r:id="rId9" w:type="default"/>
          <w:footerReference r:id="rId10" w:type="default"/>
          <w:pgSz w:w="11906" w:h="16838"/>
          <w:pgMar w:top="1531" w:right="1984" w:bottom="1531" w:left="2098" w:header="851" w:footer="992" w:gutter="0"/>
          <w:cols w:space="720" w:num="1"/>
          <w:docGrid w:type="lines" w:linePitch="312" w:charSpace="0"/>
        </w:sectPr>
      </w:pPr>
    </w:p>
    <w:p>
      <w:pPr>
        <w:widowControl/>
        <w:spacing w:line="360" w:lineRule="auto"/>
        <w:jc w:val="center"/>
        <w:outlineLvl w:val="0"/>
        <w:rPr>
          <w:rFonts w:ascii="Times New Roman" w:eastAsia="黑体"/>
          <w:sz w:val="44"/>
          <w:szCs w:val="44"/>
        </w:rPr>
      </w:pPr>
      <w:r>
        <w:rPr>
          <w:rFonts w:ascii="Times New Roman" w:eastAsia="黑体"/>
          <w:sz w:val="44"/>
          <w:szCs w:val="44"/>
        </w:rPr>
        <w:t>第三部分   </w:t>
      </w:r>
      <w:r>
        <w:rPr>
          <w:rFonts w:ascii="Times New Roman" w:eastAsia="仿宋_GB2312"/>
          <w:sz w:val="44"/>
          <w:szCs w:val="44"/>
        </w:rPr>
        <w:t>2024</w:t>
      </w:r>
      <w:r>
        <w:rPr>
          <w:rFonts w:ascii="Times New Roman" w:eastAsia="黑体"/>
          <w:sz w:val="44"/>
          <w:szCs w:val="44"/>
        </w:rPr>
        <w:t>年度部门决算情况说明</w:t>
      </w:r>
    </w:p>
    <w:p>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本部门2024年度收、支总计（含结转和结余）均为249.44万元。与2023年度决算相比，收支各减少0.21万元，下降0.1%，主要原因是</w:t>
      </w:r>
      <w:r>
        <w:rPr>
          <w:rFonts w:hint="eastAsia" w:ascii="Times New Roman" w:eastAsia="仿宋_GB2312"/>
          <w:sz w:val="32"/>
          <w:szCs w:val="32"/>
        </w:rPr>
        <w:t>人员减少、项目支出减少</w:t>
      </w:r>
      <w:r>
        <w:rPr>
          <w:rFonts w:ascii="Times New Roman" w:eastAsia="仿宋_GB2312"/>
          <w:sz w:val="32"/>
          <w:szCs w:val="32"/>
        </w:rPr>
        <w:t>。</w:t>
      </w:r>
    </w:p>
    <w:p>
      <w:pPr>
        <w:pStyle w:val="11"/>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eastAsia="Arial"/>
          <w:color w:val="000000"/>
          <w:sz w:val="18"/>
          <w:szCs w:val="18"/>
          <w:shd w:val="clear" w:color="auto" w:fill="FFFFFF"/>
        </w:rPr>
        <w:t> </w:t>
      </w:r>
    </w:p>
    <w:p>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本年收入合计249.44万元，其中：财政拨款收入249.44万元，占100.0%​；上级补助收入0.00万元，占0.0%；事业收入0.00万元，占0.0%；经营收入0.00万元，占0.0%；附属单位上缴收入0.00万元，占0.0%；其他收入0.00万元，占0.0%。</w:t>
      </w:r>
    </w:p>
    <w:p>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本部门2024年度本年支出合计249.44万元，其中：基本支出240.33万元，占96.3%；项目支出9.11万元，占3.7%；上缴上级支出0.00万元，占0.0%；经营支出0.00万元，占0.0%；对附属单位补助支出0.00万元，占0.0%。</w:t>
      </w:r>
    </w:p>
    <w:p>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本部门2024年度财政拨款收、支总计（含结转和结余）均为249.44万元。与2023年度相比，财政拨款收支各减少0.21万元，降低0.1%，主要原因是</w:t>
      </w:r>
      <w:r>
        <w:rPr>
          <w:rFonts w:hint="eastAsia" w:ascii="Times New Roman" w:eastAsia="仿宋_GB2312"/>
          <w:sz w:val="32"/>
          <w:szCs w:val="32"/>
        </w:rPr>
        <w:t>项目支出减少</w:t>
      </w:r>
      <w:r>
        <w:rPr>
          <w:rFonts w:ascii="Times New Roman" w:eastAsia="仿宋_GB2312"/>
          <w:sz w:val="32"/>
          <w:szCs w:val="32"/>
        </w:rPr>
        <w:t>。</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本部门2024年度财政拨款本年收入249.44万元,比上年减少0.21万元，降低0.1%，主要原因是</w:t>
      </w:r>
      <w:r>
        <w:rPr>
          <w:rFonts w:hint="eastAsia" w:ascii="Times New Roman" w:eastAsia="仿宋_GB2312"/>
          <w:sz w:val="32"/>
          <w:szCs w:val="32"/>
        </w:rPr>
        <w:t>项目支出减少</w:t>
      </w:r>
      <w:r>
        <w:rPr>
          <w:rFonts w:ascii="Times New Roman" w:eastAsia="仿宋_GB2312"/>
          <w:sz w:val="32"/>
          <w:szCs w:val="32"/>
        </w:rPr>
        <w:t>；本年支出249.44万元，比上年减少0.21万元，降低0.1%，主要原因是</w:t>
      </w:r>
      <w:r>
        <w:rPr>
          <w:rFonts w:hint="eastAsia" w:ascii="Times New Roman" w:eastAsia="仿宋_GB2312"/>
          <w:sz w:val="32"/>
          <w:szCs w:val="32"/>
        </w:rPr>
        <w:t>项目支出减少</w:t>
      </w:r>
      <w:r>
        <w:rPr>
          <w:rFonts w:ascii="Times New Roman" w:eastAsia="仿宋_GB2312"/>
          <w:sz w:val="32"/>
          <w:szCs w:val="32"/>
        </w:rPr>
        <w:t>。具体情况如下：</w:t>
      </w:r>
    </w:p>
    <w:p>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一般公共预算财政拨款本年收入249.44万元,比上年减少0.21万元，降低0.1%，主要原因是</w:t>
      </w:r>
      <w:r>
        <w:rPr>
          <w:rFonts w:hint="eastAsia" w:ascii="Times New Roman" w:eastAsia="仿宋_GB2312"/>
          <w:sz w:val="32"/>
          <w:szCs w:val="32"/>
        </w:rPr>
        <w:t>项目支出减少</w:t>
      </w:r>
      <w:r>
        <w:rPr>
          <w:rFonts w:ascii="Times New Roman" w:eastAsia="仿宋_GB2312"/>
          <w:sz w:val="32"/>
          <w:szCs w:val="32"/>
        </w:rPr>
        <w:t>；本年支出249.44万元，比上年减少0.21万元，降低0.1%，主要原因是</w:t>
      </w:r>
      <w:r>
        <w:rPr>
          <w:rFonts w:hint="eastAsia" w:ascii="Times New Roman" w:eastAsia="仿宋_GB2312"/>
          <w:sz w:val="32"/>
          <w:szCs w:val="32"/>
        </w:rPr>
        <w:t>项目支出减少</w:t>
      </w:r>
      <w:r>
        <w:rPr>
          <w:rFonts w:ascii="Times New Roman" w:eastAsia="仿宋_GB2312"/>
          <w:sz w:val="32"/>
          <w:szCs w:val="32"/>
        </w:rPr>
        <w:t>。</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政府性基金预算财政拨款本年收入0.00万元，比上年增加0.00万元，增长0.00%，主要原因是我</w:t>
      </w:r>
      <w:r>
        <w:rPr>
          <w:rFonts w:hint="eastAsia" w:ascii="Times New Roman" w:eastAsia="仿宋_GB2312"/>
          <w:sz w:val="32"/>
          <w:szCs w:val="32"/>
        </w:rPr>
        <w:t>部门</w:t>
      </w:r>
      <w:r>
        <w:rPr>
          <w:rFonts w:ascii="Times New Roman" w:eastAsia="仿宋_GB2312"/>
          <w:sz w:val="32"/>
          <w:szCs w:val="32"/>
        </w:rPr>
        <w:t>无政府性基金预算；本年支出0.00万元，比上年增加0.00万元，增长0.00%，主要原因是我</w:t>
      </w:r>
      <w:r>
        <w:rPr>
          <w:rFonts w:hint="eastAsia" w:ascii="Times New Roman" w:eastAsia="仿宋_GB2312"/>
          <w:sz w:val="32"/>
          <w:szCs w:val="32"/>
        </w:rPr>
        <w:t>部门</w:t>
      </w:r>
      <w:r>
        <w:rPr>
          <w:rFonts w:ascii="Times New Roman" w:eastAsia="仿宋_GB2312"/>
          <w:sz w:val="32"/>
          <w:szCs w:val="32"/>
        </w:rPr>
        <w:t>无政府性基金预算。</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国有资本经营预算财政拨款本年收入0.00万元，比上年增加0.00万元，增长0.00%，主要原因是我</w:t>
      </w:r>
      <w:r>
        <w:rPr>
          <w:rFonts w:hint="eastAsia" w:ascii="Times New Roman" w:eastAsia="仿宋_GB2312"/>
          <w:sz w:val="32"/>
          <w:szCs w:val="32"/>
        </w:rPr>
        <w:t>部门</w:t>
      </w:r>
      <w:r>
        <w:rPr>
          <w:rFonts w:ascii="Times New Roman" w:eastAsia="仿宋_GB2312"/>
          <w:sz w:val="32"/>
          <w:szCs w:val="32"/>
        </w:rPr>
        <w:t>无国有资本经营预算；本年支出0.00万元，比上年增加0.00万元，增长0.00%，主要原因是我</w:t>
      </w:r>
      <w:r>
        <w:rPr>
          <w:rFonts w:hint="eastAsia" w:ascii="Times New Roman" w:eastAsia="仿宋_GB2312"/>
          <w:sz w:val="32"/>
          <w:szCs w:val="32"/>
        </w:rPr>
        <w:t>部门</w:t>
      </w:r>
      <w:r>
        <w:rPr>
          <w:rFonts w:ascii="Times New Roman" w:eastAsia="仿宋_GB2312"/>
          <w:sz w:val="32"/>
          <w:szCs w:val="32"/>
        </w:rPr>
        <w:t>无国有资本经营预算。</w:t>
      </w:r>
    </w:p>
    <w:p>
      <w:pPr>
        <w:pStyle w:val="11"/>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本部门2024年度财政拨款本年收入249.44万元，完成年初预算的96.9%，比年初预算减少8.03万元，决算数小于预算数主要原因是</w:t>
      </w:r>
      <w:r>
        <w:rPr>
          <w:rFonts w:hint="eastAsia" w:ascii="Times New Roman" w:eastAsia="仿宋_GB2312"/>
          <w:sz w:val="32"/>
          <w:szCs w:val="32"/>
        </w:rPr>
        <w:t>项目支出减少</w:t>
      </w:r>
      <w:r>
        <w:rPr>
          <w:rFonts w:ascii="Times New Roman" w:eastAsia="仿宋_GB2312"/>
          <w:sz w:val="32"/>
          <w:szCs w:val="32"/>
        </w:rPr>
        <w:t> ；本年支出249.44万元，完成年初预算的96.9%，比年初预算减少8.03万元，决算数小于预算数主要原因是</w:t>
      </w:r>
      <w:r>
        <w:rPr>
          <w:rFonts w:hint="eastAsia" w:ascii="Times New Roman" w:eastAsia="仿宋_GB2312"/>
          <w:sz w:val="32"/>
          <w:szCs w:val="32"/>
        </w:rPr>
        <w:t>项目支出减少</w:t>
      </w:r>
      <w:r>
        <w:rPr>
          <w:rFonts w:ascii="Times New Roman" w:eastAsia="仿宋_GB2312"/>
          <w:sz w:val="32"/>
          <w:szCs w:val="32"/>
        </w:rPr>
        <w:t> 。具体情况如下：</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一般公共预算财政拨款本年收入完成年初预算的96.9%，比年初预算减少8.03万元，主要原因是</w:t>
      </w:r>
      <w:r>
        <w:rPr>
          <w:rFonts w:hint="eastAsia" w:ascii="Times New Roman" w:eastAsia="仿宋_GB2312"/>
          <w:sz w:val="32"/>
          <w:szCs w:val="32"/>
        </w:rPr>
        <w:t>项目支出减少</w:t>
      </w:r>
      <w:r>
        <w:rPr>
          <w:rFonts w:ascii="Times New Roman" w:eastAsia="仿宋_GB2312"/>
          <w:sz w:val="32"/>
          <w:szCs w:val="32"/>
        </w:rPr>
        <w:t>；支出完成年初预算的96.9%，比年初预算减少8.03万元，主要原因是</w:t>
      </w:r>
      <w:r>
        <w:rPr>
          <w:rFonts w:hint="eastAsia" w:ascii="Times New Roman" w:eastAsia="仿宋_GB2312"/>
          <w:sz w:val="32"/>
          <w:szCs w:val="32"/>
        </w:rPr>
        <w:t>项目支出减少</w:t>
      </w:r>
      <w:r>
        <w:rPr>
          <w:rFonts w:ascii="Times New Roman" w:eastAsia="仿宋_GB2312"/>
          <w:sz w:val="32"/>
          <w:szCs w:val="32"/>
        </w:rPr>
        <w:t>。</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政府性基金预算财政拨款本年收入完成年初预算的0.0%，比年初预算增加0.00万元，主要原因是我</w:t>
      </w:r>
      <w:r>
        <w:rPr>
          <w:rFonts w:hint="eastAsia" w:ascii="Times New Roman" w:eastAsia="仿宋_GB2312"/>
          <w:sz w:val="32"/>
          <w:szCs w:val="32"/>
        </w:rPr>
        <w:t>部门</w:t>
      </w:r>
      <w:r>
        <w:rPr>
          <w:rFonts w:ascii="Times New Roman" w:eastAsia="仿宋_GB2312"/>
          <w:sz w:val="32"/>
          <w:szCs w:val="32"/>
        </w:rPr>
        <w:t>无政府性基金预算；支出完成年初预算的0.0%，比年初预算增加0.00万元，主要原因是我</w:t>
      </w:r>
      <w:r>
        <w:rPr>
          <w:rFonts w:hint="eastAsia" w:ascii="Times New Roman" w:eastAsia="仿宋_GB2312"/>
          <w:sz w:val="32"/>
          <w:szCs w:val="32"/>
        </w:rPr>
        <w:t>部门</w:t>
      </w:r>
      <w:r>
        <w:rPr>
          <w:rFonts w:ascii="Times New Roman" w:eastAsia="仿宋_GB2312"/>
          <w:sz w:val="32"/>
          <w:szCs w:val="32"/>
        </w:rPr>
        <w:t>无政府性基金预算。</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国有资本经营预算财政拨款本年收入完成年初预算的0.0 %，比年初预算增加0.00万元，主要原因是我</w:t>
      </w:r>
      <w:r>
        <w:rPr>
          <w:rFonts w:hint="eastAsia" w:ascii="Times New Roman" w:eastAsia="仿宋_GB2312"/>
          <w:sz w:val="32"/>
          <w:szCs w:val="32"/>
        </w:rPr>
        <w:t>部门</w:t>
      </w:r>
      <w:r>
        <w:rPr>
          <w:rFonts w:ascii="Times New Roman" w:eastAsia="仿宋_GB2312"/>
          <w:sz w:val="32"/>
          <w:szCs w:val="32"/>
        </w:rPr>
        <w:t>无国有资本经营预算；支出完成年初预算的0.0%，比年初预算增加0.00万元，主要原因是我</w:t>
      </w:r>
      <w:r>
        <w:rPr>
          <w:rFonts w:hint="eastAsia" w:ascii="Times New Roman" w:eastAsia="仿宋_GB2312"/>
          <w:sz w:val="32"/>
          <w:szCs w:val="32"/>
        </w:rPr>
        <w:t>部门</w:t>
      </w:r>
      <w:r>
        <w:rPr>
          <w:rFonts w:ascii="Times New Roman" w:eastAsia="仿宋_GB2312"/>
          <w:sz w:val="32"/>
          <w:szCs w:val="32"/>
        </w:rPr>
        <w:t>无国有资本经营预算。</w:t>
      </w:r>
    </w:p>
    <w:p>
      <w:pPr>
        <w:pStyle w:val="11"/>
        <w:widowControl/>
        <w:spacing w:beforeAutospacing="0" w:afterAutospacing="0"/>
        <w:rPr>
          <w:rFonts w:ascii="Times New Roman" w:hAnsi="Times New Roman" w:eastAsia="Arial"/>
        </w:rPr>
      </w:pPr>
    </w:p>
    <w:p>
      <w:pPr>
        <w:pStyle w:val="11"/>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2024年度财政拨款支出249.44万元，主要用于以下方面：</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一般公共服务（类）支出161.76万元，占64.8%，主要用于行政管理事务等支出；科学技术（类）支出9.11万元，占3.7%，主要用于等支出；社会保障和就业 （类）支出50.73万元，占20.3%，主要用于缴纳社保、退休人员补助等支出；卫生健康（类）支出11.31万元，占4.5%，主要用于缴纳医保等支出；住房保障（类）支出16.53万元，占6.6%，主要用于缴纳住房公积金等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lang w:val="en-US" w:eastAsia="zh-CN"/>
        </w:rPr>
        <w:t>我单位无政府性基金预算财政拨款支出</w:t>
      </w:r>
      <w:r>
        <w:rPr>
          <w:rFonts w:ascii="Times New Roman" w:eastAsia="仿宋_GB2312"/>
          <w:sz w:val="32"/>
          <w:szCs w:val="32"/>
        </w:rPr>
        <w:t>。</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lang w:val="en-US" w:eastAsia="zh-CN"/>
        </w:rPr>
        <w:t>我单位无国有资本经营预算财政拨款支出。</w:t>
      </w:r>
    </w:p>
    <w:p>
      <w:pPr>
        <w:pStyle w:val="11"/>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2024年度财政拨款基本支出240.33万元，其中：</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207.79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32.54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本部门2024年度“三公”经费财政拨款支出预算为1.64万元，支出决算为1.64万元，完成预算的100.0%，较预算增加0.00万元，增长0.0%，主要原因是</w:t>
      </w:r>
      <w:r>
        <w:rPr>
          <w:rFonts w:hint="eastAsia" w:ascii="Times New Roman" w:eastAsia="仿宋_GB2312"/>
          <w:sz w:val="32"/>
          <w:szCs w:val="32"/>
        </w:rPr>
        <w:t>无增减变化</w:t>
      </w:r>
      <w:r>
        <w:rPr>
          <w:rFonts w:ascii="Times New Roman" w:eastAsia="仿宋_GB2312"/>
          <w:sz w:val="32"/>
          <w:szCs w:val="32"/>
        </w:rPr>
        <w:t>；较2023年度决算减少0.46万元，降低22.3%，主要原因是</w:t>
      </w:r>
      <w:r>
        <w:rPr>
          <w:rFonts w:hint="eastAsia" w:ascii="Times New Roman" w:eastAsia="仿宋_GB2312"/>
          <w:sz w:val="32"/>
          <w:szCs w:val="32"/>
        </w:rPr>
        <w:t>活动减少，公车使用减少</w:t>
      </w:r>
      <w:r>
        <w:rPr>
          <w:rFonts w:ascii="Times New Roman" w:eastAsia="仿宋_GB2312"/>
          <w:sz w:val="32"/>
          <w:szCs w:val="32"/>
        </w:rPr>
        <w:t>。</w:t>
      </w:r>
    </w:p>
    <w:p>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sz w:val="32"/>
          <w:szCs w:val="32"/>
        </w:rPr>
        <w:t>本部门2024年度因公出国（境）费支出预算为0.00万元,支出决算0.00万元。完成预算的0.0%。因公出国（境）费支出较预算增加0.00万元，增长0.0%,主要原因是我</w:t>
      </w:r>
      <w:r>
        <w:rPr>
          <w:rFonts w:hint="eastAsia" w:ascii="Times New Roman" w:eastAsia="仿宋_GB2312"/>
          <w:sz w:val="32"/>
          <w:szCs w:val="32"/>
        </w:rPr>
        <w:t>部门</w:t>
      </w:r>
      <w:r>
        <w:rPr>
          <w:rFonts w:ascii="Times New Roman" w:eastAsia="仿宋_GB2312"/>
          <w:sz w:val="32"/>
          <w:szCs w:val="32"/>
        </w:rPr>
        <w:t>无因公出国（境）费支出；较上年增加0.00万元，增长0.00%,主要原因是我</w:t>
      </w:r>
      <w:r>
        <w:rPr>
          <w:rFonts w:hint="eastAsia" w:ascii="Times New Roman" w:eastAsia="仿宋_GB2312"/>
          <w:sz w:val="32"/>
          <w:szCs w:val="32"/>
        </w:rPr>
        <w:t>部门</w:t>
      </w:r>
      <w:r>
        <w:rPr>
          <w:rFonts w:ascii="Times New Roman" w:eastAsia="仿宋_GB2312"/>
          <w:sz w:val="32"/>
          <w:szCs w:val="32"/>
        </w:rPr>
        <w:t>无因公出国（境）费支出。因公出国（境）团组0个、共0人、参加其他单位组织的因公出国（境）团组</w:t>
      </w:r>
      <w:r>
        <w:rPr>
          <w:rFonts w:hint="eastAsia" w:ascii="宋体" w:hAnsi="宋体" w:eastAsia="宋体"/>
          <w:sz w:val="32"/>
          <w:szCs w:val="32"/>
        </w:rPr>
        <w:t>0</w:t>
      </w:r>
      <w:r>
        <w:rPr>
          <w:rFonts w:ascii="Times New Roman" w:eastAsia="仿宋_GB2312"/>
          <w:sz w:val="32"/>
          <w:szCs w:val="32"/>
        </w:rPr>
        <w:t>个、共</w:t>
      </w:r>
      <w:r>
        <w:rPr>
          <w:rFonts w:hint="eastAsia" w:ascii="宋体" w:hAnsi="宋体" w:eastAsia="宋体"/>
          <w:sz w:val="32"/>
          <w:szCs w:val="32"/>
        </w:rPr>
        <w:t>0</w:t>
      </w:r>
      <w:r>
        <w:rPr>
          <w:rFonts w:ascii="Times New Roman" w:eastAsia="仿宋_GB2312"/>
          <w:sz w:val="32"/>
          <w:szCs w:val="32"/>
        </w:rPr>
        <w:t>人/无本部门组织的出国（境）团组。</w:t>
      </w:r>
    </w:p>
    <w:p>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sz w:val="32"/>
          <w:szCs w:val="32"/>
        </w:rPr>
        <w:t>本部门2024年度公务用车购置及运行维护费预算为1.64万元，支出决算1.64万元，完成预算的100.0%,较预算增加0.00万元，增长0.0%,主要原因是</w:t>
      </w:r>
      <w:r>
        <w:rPr>
          <w:rFonts w:hint="eastAsia" w:ascii="Times New Roman" w:eastAsia="仿宋_GB2312"/>
          <w:sz w:val="32"/>
          <w:szCs w:val="32"/>
        </w:rPr>
        <w:t>无增减变化</w:t>
      </w:r>
      <w:r>
        <w:rPr>
          <w:rFonts w:ascii="Times New Roman" w:eastAsia="仿宋_GB2312"/>
          <w:sz w:val="32"/>
          <w:szCs w:val="32"/>
        </w:rPr>
        <w:t>；较上年减少0.46万元，降低22.3%,主要原因是</w:t>
      </w:r>
      <w:r>
        <w:rPr>
          <w:rFonts w:hint="eastAsia" w:ascii="Times New Roman" w:eastAsia="仿宋_GB2312"/>
          <w:sz w:val="32"/>
          <w:szCs w:val="32"/>
        </w:rPr>
        <w:t>活动减少，公车使用减少</w:t>
      </w:r>
      <w:r>
        <w:rPr>
          <w:rFonts w:ascii="Times New Roman" w:eastAsia="仿宋_GB2312"/>
          <w:sz w:val="32"/>
          <w:szCs w:val="32"/>
        </w:rPr>
        <w:t>。其中：</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sz w:val="32"/>
          <w:szCs w:val="32"/>
        </w:rPr>
        <w:t>本部门2024年度公务用车购置量0辆，发生“公务用车购置”经费支出0.00 万元。公务用车购置费支出较预算增加0.00万元，增长0.0%,主要原因是我单位未发生公务用车购置费支出；较上年增加0.00万元，增长0.00%,主要原因是我单位未发生公务用车购置费支出。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公务用车运行维护费支出1.64万元：</w:t>
      </w:r>
      <w:r>
        <w:rPr>
          <w:rFonts w:ascii="Times New Roman" w:eastAsia="仿宋_GB2312"/>
          <w:sz w:val="32"/>
          <w:szCs w:val="32"/>
        </w:rPr>
        <w:t>本部门2024年度单位公务用车保有量1辆，发生运行维护费支出1.64万元。公车运行维护费支出较预算增加0.00万元，增长0.0%,主要原因是</w:t>
      </w:r>
      <w:r>
        <w:rPr>
          <w:rFonts w:hint="eastAsia" w:ascii="Times New Roman" w:eastAsia="仿宋_GB2312"/>
          <w:sz w:val="32"/>
          <w:szCs w:val="32"/>
        </w:rPr>
        <w:t>无增减变化</w:t>
      </w:r>
      <w:r>
        <w:rPr>
          <w:rFonts w:ascii="Times New Roman" w:eastAsia="仿宋_GB2312"/>
          <w:sz w:val="32"/>
          <w:szCs w:val="32"/>
        </w:rPr>
        <w:t>；较上年减少0.46万元，降低22.3%，主要原因是活动减少</w:t>
      </w:r>
      <w:r>
        <w:rPr>
          <w:rFonts w:hint="eastAsia" w:ascii="Times New Roman" w:eastAsia="仿宋_GB2312"/>
          <w:sz w:val="32"/>
          <w:szCs w:val="32"/>
        </w:rPr>
        <w:t>，公车使用减少</w:t>
      </w:r>
      <w:r>
        <w:rPr>
          <w:rFonts w:ascii="Times New Roman" w:eastAsia="仿宋_GB2312"/>
          <w:sz w:val="32"/>
          <w:szCs w:val="32"/>
        </w:rPr>
        <w:t>。</w:t>
      </w:r>
    </w:p>
    <w:p>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本部门2024年度公务接待费支出预算为0.00万元，支出决算0.00万元，完成预算的0.0%。公务接待费支出较预算增加0.00万元，增长0.0%,主要原因是我</w:t>
      </w:r>
      <w:r>
        <w:rPr>
          <w:rFonts w:hint="eastAsia" w:ascii="Times New Roman" w:eastAsia="仿宋_GB2312"/>
          <w:sz w:val="32"/>
          <w:szCs w:val="32"/>
        </w:rPr>
        <w:t>部门</w:t>
      </w:r>
      <w:r>
        <w:rPr>
          <w:rFonts w:ascii="Times New Roman" w:eastAsia="仿宋_GB2312"/>
          <w:sz w:val="32"/>
          <w:szCs w:val="32"/>
        </w:rPr>
        <w:t>未发生公务接待支出；较上年度增加0.00万元，增长0.00%,主要原因是我</w:t>
      </w:r>
      <w:r>
        <w:rPr>
          <w:rFonts w:hint="eastAsia" w:ascii="Times New Roman" w:eastAsia="仿宋_GB2312"/>
          <w:sz w:val="32"/>
          <w:szCs w:val="32"/>
        </w:rPr>
        <w:t>部门</w:t>
      </w:r>
      <w:r>
        <w:rPr>
          <w:rFonts w:ascii="Times New Roman" w:eastAsia="仿宋_GB2312"/>
          <w:sz w:val="32"/>
          <w:szCs w:val="32"/>
        </w:rPr>
        <w:t>未发生公务接待支出。本年度共发生公务接待0批次、0人次。</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本部门2024年度机关运行经费支出32.54万元，较2023年度增加1.09万元，增长3.5%。主要原因是办公经费支出减少。</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政府采购支出总额2.23万元，从采购类型来看，政府采购货物支出1.35万元、政府采购工程支出0.00万元、政府采购服务支出0.88万元。授予中小企业合同金额2.23万元，占政府采购支出总额的100.0%，其中授予小微企业合同金额2.23万元，占政府采购支出总额的100.0%。</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部门共有车辆1辆，比上年增加0辆，主要是。其中，副部（省）级及以上领导用车0辆，主要负责人用车0辆，机要通信用车0辆，应急保障用车1辆，执法执勤用车0辆，特种专业技术用车0辆，离退休干部用车0辆，其他用车0辆，其他用车主要是。单位价值100万元（含）以上设备（不含车辆）0台（套）。</w:t>
      </w:r>
    </w:p>
    <w:p>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根据预算绩效管理要求，本部门组织对2024年度本级预算项目支出全面开展绩效自评，共涉及资金</w:t>
      </w:r>
      <w:r>
        <w:rPr>
          <w:rFonts w:hint="eastAsia" w:ascii="Times New Roman" w:eastAsia="仿宋_GB2312"/>
          <w:sz w:val="32"/>
          <w:szCs w:val="32"/>
        </w:rPr>
        <w:t>9.11</w:t>
      </w:r>
      <w:r>
        <w:rPr>
          <w:rFonts w:ascii="Times New Roman" w:eastAsia="仿宋_GB2312"/>
          <w:sz w:val="32"/>
          <w:szCs w:val="32"/>
        </w:rPr>
        <w:t>万元（决算金额）。其中，一般公共预算项目</w:t>
      </w:r>
      <w:r>
        <w:rPr>
          <w:rFonts w:hint="eastAsia" w:ascii="宋体" w:hAnsi="宋体" w:eastAsia="宋体"/>
          <w:sz w:val="32"/>
          <w:szCs w:val="32"/>
        </w:rPr>
        <w:t>2</w:t>
      </w:r>
      <w:r>
        <w:rPr>
          <w:rFonts w:ascii="Times New Roman" w:eastAsia="仿宋_GB2312"/>
          <w:sz w:val="32"/>
          <w:szCs w:val="32"/>
        </w:rPr>
        <w:t>个，涉及资金</w:t>
      </w:r>
      <w:r>
        <w:rPr>
          <w:rFonts w:hint="eastAsia" w:ascii="Times New Roman" w:eastAsia="仿宋_GB2312"/>
          <w:sz w:val="32"/>
          <w:szCs w:val="32"/>
        </w:rPr>
        <w:t>9.11</w:t>
      </w:r>
      <w:r>
        <w:rPr>
          <w:rFonts w:ascii="Times New Roman" w:eastAsia="仿宋_GB2312"/>
          <w:sz w:val="32"/>
          <w:szCs w:val="32"/>
        </w:rPr>
        <w:t>万元，占一般公共预算项目支出总额的</w:t>
      </w:r>
      <w:r>
        <w:rPr>
          <w:rFonts w:hint="eastAsia" w:ascii="Times New Roman" w:eastAsia="仿宋_GB2312"/>
          <w:sz w:val="32"/>
          <w:szCs w:val="32"/>
        </w:rPr>
        <w:t>100</w:t>
      </w:r>
      <w:r>
        <w:rPr>
          <w:rFonts w:ascii="Times New Roman" w:eastAsia="仿宋_GB2312"/>
          <w:sz w:val="32"/>
          <w:szCs w:val="32"/>
        </w:rPr>
        <w:t>%；政府性基金预算项目</w:t>
      </w:r>
      <w:r>
        <w:rPr>
          <w:rFonts w:hint="eastAsia" w:ascii="宋体" w:hAnsi="宋体" w:eastAsia="宋体"/>
          <w:sz w:val="32"/>
          <w:szCs w:val="32"/>
        </w:rPr>
        <w:t>0</w:t>
      </w:r>
      <w:r>
        <w:rPr>
          <w:rFonts w:ascii="Times New Roman" w:eastAsia="仿宋_GB2312"/>
          <w:sz w:val="32"/>
          <w:szCs w:val="32"/>
        </w:rPr>
        <w:t>个，涉及资金</w:t>
      </w:r>
      <w:r>
        <w:rPr>
          <w:rFonts w:hint="eastAsia" w:ascii="宋体" w:hAnsi="宋体" w:eastAsia="宋体"/>
          <w:sz w:val="32"/>
          <w:szCs w:val="32"/>
        </w:rPr>
        <w:t>0</w:t>
      </w:r>
      <w:r>
        <w:rPr>
          <w:rFonts w:ascii="Times New Roman" w:eastAsia="仿宋_GB2312"/>
          <w:sz w:val="32"/>
          <w:szCs w:val="32"/>
        </w:rPr>
        <w:t>万元，占政府性基金预算项目支出总额的</w:t>
      </w:r>
      <w:r>
        <w:rPr>
          <w:rFonts w:hint="eastAsia" w:ascii="宋体" w:hAnsi="宋体" w:eastAsia="宋体"/>
          <w:sz w:val="32"/>
          <w:szCs w:val="32"/>
        </w:rPr>
        <w:t>0</w:t>
      </w:r>
      <w:r>
        <w:rPr>
          <w:rFonts w:ascii="Times New Roman" w:eastAsia="仿宋_GB2312"/>
          <w:sz w:val="32"/>
          <w:szCs w:val="32"/>
        </w:rPr>
        <w:t>%；国有资本经营预算项目</w:t>
      </w:r>
      <w:r>
        <w:rPr>
          <w:rFonts w:hint="eastAsia" w:ascii="宋体" w:hAnsi="宋体" w:eastAsia="宋体"/>
          <w:sz w:val="32"/>
          <w:szCs w:val="32"/>
        </w:rPr>
        <w:t>0</w:t>
      </w:r>
      <w:r>
        <w:rPr>
          <w:rFonts w:ascii="Times New Roman" w:eastAsia="仿宋_GB2312"/>
          <w:sz w:val="32"/>
          <w:szCs w:val="32"/>
        </w:rPr>
        <w:t>个，涉及资金</w:t>
      </w:r>
      <w:r>
        <w:rPr>
          <w:rFonts w:hint="eastAsia" w:ascii="宋体" w:hAnsi="宋体" w:eastAsia="宋体"/>
          <w:sz w:val="32"/>
          <w:szCs w:val="32"/>
        </w:rPr>
        <w:t>0</w:t>
      </w:r>
      <w:r>
        <w:rPr>
          <w:rFonts w:ascii="Times New Roman" w:eastAsia="仿宋_GB2312"/>
          <w:sz w:val="32"/>
          <w:szCs w:val="32"/>
        </w:rPr>
        <w:t>万元，占国有资本经营预算项目支出总额的</w:t>
      </w:r>
      <w:r>
        <w:rPr>
          <w:rFonts w:hint="eastAsia" w:ascii="宋体" w:hAnsi="宋体" w:eastAsia="宋体"/>
          <w:sz w:val="32"/>
          <w:szCs w:val="32"/>
        </w:rPr>
        <w:t>0</w:t>
      </w:r>
      <w:r>
        <w:rPr>
          <w:rFonts w:ascii="Times New Roman" w:eastAsia="仿宋_GB2312"/>
          <w:sz w:val="32"/>
          <w:szCs w:val="32"/>
        </w:rPr>
        <w:t>%。</w:t>
      </w:r>
      <w:bookmarkStart w:id="0" w:name="_GoBack"/>
      <w:bookmarkEnd w:id="0"/>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本部门在今年部门决算公开中反映科普经费、老科协活动经费等2个项目绩效自评结果。</w:t>
      </w:r>
    </w:p>
    <w:p>
      <w:pPr>
        <w:pStyle w:val="26"/>
        <w:rPr>
          <w:rFonts w:eastAsia="仿宋_GB2312" w:cs="宋体" w:hAnsiTheme="minorHAnsi"/>
          <w:sz w:val="32"/>
          <w:szCs w:val="32"/>
          <w:lang w:eastAsia="zh-CN"/>
        </w:rPr>
      </w:pPr>
      <w:r>
        <w:rPr>
          <w:rFonts w:hint="eastAsia" w:eastAsia="仿宋_GB2312" w:cs="宋体" w:hAnsiTheme="minorHAnsi"/>
          <w:sz w:val="32"/>
          <w:szCs w:val="32"/>
          <w:lang w:eastAsia="zh-CN"/>
        </w:rPr>
        <w:t>（1）科普经费</w:t>
      </w:r>
      <w:r>
        <w:rPr>
          <w:rFonts w:eastAsia="仿宋_GB2312" w:cs="宋体" w:hAnsiTheme="minorHAnsi"/>
          <w:sz w:val="32"/>
          <w:szCs w:val="32"/>
          <w:lang w:eastAsia="zh-CN"/>
        </w:rPr>
        <w:t>专项项目绩效自评</w:t>
      </w:r>
      <w:r>
        <w:rPr>
          <w:rFonts w:hint="eastAsia" w:eastAsia="仿宋_GB2312" w:cs="宋体" w:hAnsiTheme="minorHAnsi"/>
          <w:sz w:val="32"/>
          <w:szCs w:val="32"/>
          <w:lang w:eastAsia="zh-CN"/>
        </w:rPr>
        <w:t>综述：根据年初设定的绩效目标，</w:t>
      </w:r>
      <w:r>
        <w:rPr>
          <w:rFonts w:hint="eastAsia" w:ascii="宋体" w:hAnsi="宋体" w:eastAsia="宋体" w:cs="宋体"/>
          <w:sz w:val="32"/>
          <w:szCs w:val="32"/>
          <w:lang w:eastAsia="zh-CN"/>
        </w:rPr>
        <w:t>该</w:t>
      </w:r>
      <w:r>
        <w:rPr>
          <w:rFonts w:hint="eastAsia" w:eastAsia="仿宋_GB2312" w:cs="宋体" w:hAnsiTheme="minorHAnsi"/>
          <w:sz w:val="32"/>
          <w:szCs w:val="32"/>
          <w:lang w:eastAsia="zh-CN"/>
        </w:rPr>
        <w:t>专项项目绩效自评得分为75</w:t>
      </w:r>
      <w:r>
        <w:rPr>
          <w:rFonts w:eastAsia="仿宋_GB2312" w:cs="宋体" w:hAnsiTheme="minorHAnsi"/>
          <w:sz w:val="32"/>
          <w:szCs w:val="32"/>
          <w:lang w:eastAsia="zh-CN"/>
        </w:rPr>
        <w:t>分（绩效自评表附后：附</w:t>
      </w:r>
      <w:r>
        <w:rPr>
          <w:rFonts w:hint="eastAsia" w:eastAsia="仿宋_GB2312" w:cs="宋体" w:hAnsiTheme="minorHAnsi"/>
          <w:sz w:val="32"/>
          <w:szCs w:val="32"/>
          <w:lang w:eastAsia="zh-CN"/>
        </w:rPr>
        <w:t>1</w:t>
      </w:r>
      <w:r>
        <w:rPr>
          <w:rFonts w:eastAsia="仿宋_GB2312" w:cs="宋体" w:hAnsiTheme="minorHAnsi"/>
          <w:sz w:val="32"/>
          <w:szCs w:val="32"/>
          <w:lang w:eastAsia="zh-CN"/>
        </w:rPr>
        <w:t>）。全年预算数为</w:t>
      </w:r>
      <w:r>
        <w:rPr>
          <w:rFonts w:hint="eastAsia" w:eastAsia="仿宋_GB2312" w:cs="宋体" w:hAnsiTheme="minorHAnsi"/>
          <w:sz w:val="32"/>
          <w:szCs w:val="32"/>
          <w:lang w:eastAsia="zh-CN"/>
        </w:rPr>
        <w:t>12</w:t>
      </w:r>
      <w:r>
        <w:rPr>
          <w:rFonts w:eastAsia="仿宋_GB2312" w:cs="宋体" w:hAnsiTheme="minorHAnsi"/>
          <w:sz w:val="32"/>
          <w:szCs w:val="32"/>
          <w:lang w:eastAsia="zh-CN"/>
        </w:rPr>
        <w:t>万元，执行数为</w:t>
      </w:r>
      <w:r>
        <w:rPr>
          <w:rFonts w:hint="eastAsia" w:eastAsia="仿宋_GB2312" w:cs="宋体" w:hAnsiTheme="minorHAnsi"/>
          <w:sz w:val="32"/>
          <w:szCs w:val="32"/>
          <w:lang w:eastAsia="zh-CN"/>
        </w:rPr>
        <w:t>5.36</w:t>
      </w:r>
      <w:r>
        <w:rPr>
          <w:rFonts w:eastAsia="仿宋_GB2312" w:cs="宋体" w:hAnsiTheme="minorHAnsi"/>
          <w:sz w:val="32"/>
          <w:szCs w:val="32"/>
          <w:lang w:eastAsia="zh-CN"/>
        </w:rPr>
        <w:t>万元，完成预算的</w:t>
      </w:r>
      <w:r>
        <w:rPr>
          <w:rFonts w:hint="eastAsia" w:eastAsia="仿宋_GB2312" w:cs="宋体" w:hAnsiTheme="minorHAnsi"/>
          <w:sz w:val="32"/>
          <w:szCs w:val="32"/>
          <w:lang w:eastAsia="zh-CN"/>
        </w:rPr>
        <w:t>44.67</w:t>
      </w:r>
      <w:r>
        <w:rPr>
          <w:rFonts w:eastAsia="仿宋_GB2312" w:cs="宋体" w:hAnsiTheme="minorHAnsi"/>
          <w:sz w:val="32"/>
          <w:szCs w:val="32"/>
          <w:lang w:eastAsia="zh-CN"/>
        </w:rPr>
        <w:t>%。项目绩效目标完成情况：我</w:t>
      </w:r>
      <w:r>
        <w:rPr>
          <w:rFonts w:hint="eastAsia" w:eastAsia="仿宋_GB2312" w:cs="宋体" w:hAnsiTheme="minorHAnsi"/>
          <w:sz w:val="32"/>
          <w:szCs w:val="32"/>
          <w:lang w:eastAsia="zh-CN"/>
        </w:rPr>
        <w:t>单位定期开展科普宣传活动</w:t>
      </w:r>
      <w:r>
        <w:rPr>
          <w:rFonts w:eastAsia="仿宋_GB2312" w:cs="宋体" w:hAnsiTheme="minorHAnsi"/>
          <w:sz w:val="32"/>
          <w:szCs w:val="32"/>
          <w:lang w:eastAsia="zh-CN"/>
        </w:rPr>
        <w:t>，发</w:t>
      </w:r>
      <w:r>
        <w:rPr>
          <w:rFonts w:hint="eastAsia" w:eastAsia="仿宋_GB2312" w:cs="宋体" w:hAnsiTheme="minorHAnsi"/>
          <w:sz w:val="32"/>
          <w:szCs w:val="32"/>
          <w:lang w:eastAsia="zh-CN"/>
        </w:rPr>
        <w:t>放科技资料、图书，提高全民素养</w:t>
      </w:r>
      <w:r>
        <w:rPr>
          <w:rFonts w:eastAsia="仿宋_GB2312" w:cs="宋体" w:hAnsiTheme="minorHAnsi"/>
          <w:sz w:val="32"/>
          <w:szCs w:val="32"/>
          <w:lang w:eastAsia="zh-CN"/>
        </w:rPr>
        <w:t>。发现的主要问题及原因：一是社会</w:t>
      </w:r>
      <w:r>
        <w:rPr>
          <w:rFonts w:hint="eastAsia" w:eastAsia="仿宋_GB2312" w:cs="宋体" w:hAnsiTheme="minorHAnsi"/>
          <w:sz w:val="32"/>
          <w:szCs w:val="32"/>
          <w:lang w:eastAsia="zh-CN"/>
        </w:rPr>
        <w:t>影响力不够大，影响范围不够广，拨款不及时。</w:t>
      </w:r>
      <w:r>
        <w:rPr>
          <w:rFonts w:eastAsia="仿宋_GB2312" w:cs="宋体" w:hAnsiTheme="minorHAnsi"/>
          <w:sz w:val="32"/>
          <w:szCs w:val="32"/>
          <w:lang w:eastAsia="zh-CN"/>
        </w:rPr>
        <w:t>下一步改进措施：一是</w:t>
      </w:r>
      <w:r>
        <w:rPr>
          <w:rFonts w:hint="eastAsia" w:eastAsia="仿宋_GB2312" w:cs="宋体" w:hAnsiTheme="minorHAnsi"/>
          <w:sz w:val="32"/>
          <w:szCs w:val="32"/>
          <w:lang w:eastAsia="zh-CN"/>
        </w:rPr>
        <w:t>扩大社会影响力，增加参与活动的</w:t>
      </w:r>
      <w:r>
        <w:rPr>
          <w:rFonts w:eastAsia="仿宋_GB2312" w:cs="宋体" w:hAnsiTheme="minorHAnsi"/>
          <w:sz w:val="32"/>
          <w:szCs w:val="32"/>
          <w:lang w:eastAsia="zh-CN"/>
        </w:rPr>
        <w:t>人数</w:t>
      </w:r>
      <w:r>
        <w:rPr>
          <w:rFonts w:hint="eastAsia" w:eastAsia="仿宋_GB2312" w:cs="宋体" w:hAnsiTheme="minorHAnsi"/>
          <w:sz w:val="32"/>
          <w:szCs w:val="32"/>
          <w:lang w:eastAsia="zh-CN"/>
        </w:rPr>
        <w:t>，加强资金支出管理，进一步优化支出结构</w:t>
      </w:r>
      <w:r>
        <w:rPr>
          <w:rFonts w:eastAsia="仿宋_GB2312" w:cs="宋体" w:hAnsiTheme="minorHAnsi"/>
          <w:sz w:val="32"/>
          <w:szCs w:val="32"/>
          <w:lang w:eastAsia="zh-CN"/>
        </w:rPr>
        <w:t>。</w:t>
      </w:r>
    </w:p>
    <w:p>
      <w:pPr>
        <w:pStyle w:val="26"/>
        <w:rPr>
          <w:rFonts w:hint="eastAsia" w:eastAsia="仿宋_GB2312" w:cs="宋体" w:hAnsiTheme="minorHAnsi"/>
          <w:sz w:val="32"/>
          <w:szCs w:val="32"/>
          <w:lang w:eastAsia="zh-CN"/>
        </w:rPr>
      </w:pPr>
      <w:r>
        <w:rPr>
          <w:rFonts w:hint="eastAsia" w:eastAsia="仿宋_GB2312" w:cs="宋体" w:hAnsiTheme="minorHAnsi"/>
          <w:sz w:val="32"/>
          <w:szCs w:val="32"/>
          <w:lang w:eastAsia="zh-CN"/>
        </w:rPr>
        <w:t>（</w:t>
      </w:r>
      <w:r>
        <w:rPr>
          <w:rFonts w:hint="eastAsia" w:ascii="宋体" w:hAnsi="宋体" w:eastAsia="宋体" w:cs="宋体"/>
          <w:sz w:val="32"/>
          <w:szCs w:val="32"/>
          <w:lang w:eastAsia="zh-CN"/>
        </w:rPr>
        <w:t>2</w:t>
      </w:r>
      <w:r>
        <w:rPr>
          <w:rFonts w:hint="eastAsia" w:eastAsia="仿宋_GB2312" w:cs="宋体" w:hAnsiTheme="minorHAnsi"/>
          <w:sz w:val="32"/>
          <w:szCs w:val="32"/>
          <w:lang w:eastAsia="zh-CN"/>
        </w:rPr>
        <w:t>）老科协经费</w:t>
      </w:r>
      <w:r>
        <w:rPr>
          <w:rFonts w:eastAsia="仿宋_GB2312" w:cs="宋体" w:hAnsiTheme="minorHAnsi"/>
          <w:sz w:val="32"/>
          <w:szCs w:val="32"/>
          <w:lang w:eastAsia="zh-CN"/>
        </w:rPr>
        <w:t>专项项目绩效自评</w:t>
      </w:r>
      <w:r>
        <w:rPr>
          <w:rFonts w:hint="eastAsia" w:eastAsia="仿宋_GB2312" w:cs="宋体" w:hAnsiTheme="minorHAnsi"/>
          <w:sz w:val="32"/>
          <w:szCs w:val="32"/>
          <w:lang w:eastAsia="zh-CN"/>
        </w:rPr>
        <w:t>综述：根据年初设定的绩效目标，该</w:t>
      </w:r>
      <w:r>
        <w:rPr>
          <w:rFonts w:eastAsia="仿宋_GB2312" w:cs="宋体" w:hAnsiTheme="minorHAnsi"/>
          <w:sz w:val="32"/>
          <w:szCs w:val="32"/>
          <w:lang w:eastAsia="zh-CN"/>
        </w:rPr>
        <w:t>专项项目绩效自评得分为</w:t>
      </w:r>
      <w:r>
        <w:rPr>
          <w:rFonts w:hint="eastAsia" w:eastAsia="仿宋_GB2312" w:cs="宋体" w:hAnsiTheme="minorHAnsi"/>
          <w:sz w:val="32"/>
          <w:szCs w:val="32"/>
          <w:lang w:eastAsia="zh-CN"/>
        </w:rPr>
        <w:t>90</w:t>
      </w:r>
      <w:r>
        <w:rPr>
          <w:rFonts w:eastAsia="仿宋_GB2312" w:cs="宋体" w:hAnsiTheme="minorHAnsi"/>
          <w:sz w:val="32"/>
          <w:szCs w:val="32"/>
          <w:lang w:eastAsia="zh-CN"/>
        </w:rPr>
        <w:t>分（绩效自评表附后：附</w:t>
      </w:r>
      <w:r>
        <w:rPr>
          <w:rFonts w:hint="eastAsia" w:eastAsia="仿宋_GB2312" w:cs="宋体" w:hAnsiTheme="minorHAnsi"/>
          <w:sz w:val="32"/>
          <w:szCs w:val="32"/>
          <w:lang w:eastAsia="zh-CN"/>
        </w:rPr>
        <w:t>1</w:t>
      </w:r>
      <w:r>
        <w:rPr>
          <w:rFonts w:eastAsia="仿宋_GB2312" w:cs="宋体" w:hAnsiTheme="minorHAnsi"/>
          <w:sz w:val="32"/>
          <w:szCs w:val="32"/>
          <w:lang w:eastAsia="zh-CN"/>
        </w:rPr>
        <w:t>）。全年预算数为</w:t>
      </w:r>
      <w:r>
        <w:rPr>
          <w:rFonts w:hint="eastAsia" w:eastAsia="仿宋_GB2312" w:cs="宋体" w:hAnsiTheme="minorHAnsi"/>
          <w:sz w:val="32"/>
          <w:szCs w:val="32"/>
          <w:lang w:eastAsia="zh-CN"/>
        </w:rPr>
        <w:t>5</w:t>
      </w:r>
      <w:r>
        <w:rPr>
          <w:rFonts w:eastAsia="仿宋_GB2312" w:cs="宋体" w:hAnsiTheme="minorHAnsi"/>
          <w:sz w:val="32"/>
          <w:szCs w:val="32"/>
          <w:lang w:eastAsia="zh-CN"/>
        </w:rPr>
        <w:t>万元，执行数为</w:t>
      </w:r>
      <w:r>
        <w:rPr>
          <w:rFonts w:hint="eastAsia" w:eastAsia="仿宋_GB2312" w:cs="宋体" w:hAnsiTheme="minorHAnsi"/>
          <w:sz w:val="32"/>
          <w:szCs w:val="32"/>
          <w:lang w:eastAsia="zh-CN"/>
        </w:rPr>
        <w:t>3.75</w:t>
      </w:r>
      <w:r>
        <w:rPr>
          <w:rFonts w:eastAsia="仿宋_GB2312" w:cs="宋体" w:hAnsiTheme="minorHAnsi"/>
          <w:sz w:val="32"/>
          <w:szCs w:val="32"/>
          <w:lang w:eastAsia="zh-CN"/>
        </w:rPr>
        <w:t>万元，完成预算的</w:t>
      </w:r>
      <w:r>
        <w:rPr>
          <w:rFonts w:hint="eastAsia" w:eastAsia="仿宋_GB2312" w:cs="宋体" w:hAnsiTheme="minorHAnsi"/>
          <w:sz w:val="32"/>
          <w:szCs w:val="32"/>
          <w:lang w:eastAsia="zh-CN"/>
        </w:rPr>
        <w:t>75</w:t>
      </w:r>
      <w:r>
        <w:rPr>
          <w:rFonts w:eastAsia="仿宋_GB2312" w:cs="宋体" w:hAnsiTheme="minorHAnsi"/>
          <w:sz w:val="32"/>
          <w:szCs w:val="32"/>
          <w:lang w:eastAsia="zh-CN"/>
        </w:rPr>
        <w:t>%。项目绩效目标完成情况：我</w:t>
      </w:r>
      <w:r>
        <w:rPr>
          <w:rFonts w:hint="eastAsia" w:eastAsia="仿宋_GB2312" w:cs="宋体" w:hAnsiTheme="minorHAnsi"/>
          <w:sz w:val="32"/>
          <w:szCs w:val="32"/>
          <w:lang w:eastAsia="zh-CN"/>
        </w:rPr>
        <w:t>单位定期开展科普宣传活动</w:t>
      </w:r>
      <w:r>
        <w:rPr>
          <w:rFonts w:eastAsia="仿宋_GB2312" w:cs="宋体" w:hAnsiTheme="minorHAnsi"/>
          <w:sz w:val="32"/>
          <w:szCs w:val="32"/>
          <w:lang w:eastAsia="zh-CN"/>
        </w:rPr>
        <w:t>，发</w:t>
      </w:r>
      <w:r>
        <w:rPr>
          <w:rFonts w:hint="eastAsia" w:eastAsia="仿宋_GB2312" w:cs="宋体" w:hAnsiTheme="minorHAnsi"/>
          <w:sz w:val="32"/>
          <w:szCs w:val="32"/>
          <w:lang w:eastAsia="zh-CN"/>
        </w:rPr>
        <w:t>放科技资料、图书，提高全民素养</w:t>
      </w:r>
      <w:r>
        <w:rPr>
          <w:rFonts w:eastAsia="仿宋_GB2312" w:cs="宋体" w:hAnsiTheme="minorHAnsi"/>
          <w:sz w:val="32"/>
          <w:szCs w:val="32"/>
          <w:lang w:eastAsia="zh-CN"/>
        </w:rPr>
        <w:t>。发现的主要问题及原因：一是社会</w:t>
      </w:r>
      <w:r>
        <w:rPr>
          <w:rFonts w:hint="eastAsia" w:eastAsia="仿宋_GB2312" w:cs="宋体" w:hAnsiTheme="minorHAnsi"/>
          <w:sz w:val="32"/>
          <w:szCs w:val="32"/>
          <w:lang w:eastAsia="zh-CN"/>
        </w:rPr>
        <w:t>影响力不够大，影响范围不够广，拨款不及时。</w:t>
      </w:r>
      <w:r>
        <w:rPr>
          <w:rFonts w:eastAsia="仿宋_GB2312" w:cs="宋体" w:hAnsiTheme="minorHAnsi"/>
          <w:sz w:val="32"/>
          <w:szCs w:val="32"/>
          <w:lang w:eastAsia="zh-CN"/>
        </w:rPr>
        <w:t>下一步改进措施：一是</w:t>
      </w:r>
      <w:r>
        <w:rPr>
          <w:rFonts w:hint="eastAsia" w:eastAsia="仿宋_GB2312" w:cs="宋体" w:hAnsiTheme="minorHAnsi"/>
          <w:sz w:val="32"/>
          <w:szCs w:val="32"/>
          <w:lang w:eastAsia="zh-CN"/>
        </w:rPr>
        <w:t>扩大社会影响力，增加参与活动的</w:t>
      </w:r>
      <w:r>
        <w:rPr>
          <w:rFonts w:eastAsia="仿宋_GB2312" w:cs="宋体" w:hAnsiTheme="minorHAnsi"/>
          <w:sz w:val="32"/>
          <w:szCs w:val="32"/>
          <w:lang w:eastAsia="zh-CN"/>
        </w:rPr>
        <w:t>人数</w:t>
      </w:r>
      <w:r>
        <w:rPr>
          <w:rFonts w:hint="eastAsia" w:eastAsia="仿宋_GB2312" w:cs="宋体" w:hAnsiTheme="minorHAnsi"/>
          <w:sz w:val="32"/>
          <w:szCs w:val="32"/>
          <w:lang w:eastAsia="zh-CN"/>
        </w:rPr>
        <w:t>，加强资金支出管理，进一步优化支出结构</w:t>
      </w:r>
      <w:r>
        <w:rPr>
          <w:rFonts w:eastAsia="仿宋_GB2312" w:cs="宋体" w:hAnsiTheme="minorHAnsi"/>
          <w:sz w:val="32"/>
          <w:szCs w:val="32"/>
          <w:lang w:eastAsia="zh-CN"/>
        </w:rPr>
        <w:t>。</w:t>
      </w:r>
    </w:p>
    <w:p>
      <w:pPr>
        <w:pStyle w:val="26"/>
        <w:rPr>
          <w:rFonts w:hint="eastAsia" w:eastAsia="仿宋_GB2312" w:cs="宋体" w:hAnsiTheme="minorHAnsi"/>
          <w:sz w:val="32"/>
          <w:szCs w:val="32"/>
          <w:lang w:eastAsia="zh-CN"/>
        </w:rPr>
      </w:pPr>
    </w:p>
    <w:p>
      <w:pPr>
        <w:pStyle w:val="26"/>
        <w:tabs>
          <w:tab w:val="left" w:pos="5831"/>
        </w:tabs>
        <w:rPr>
          <w:rFonts w:hint="eastAsia" w:eastAsia="仿宋_GB2312" w:cs="宋体" w:hAnsiTheme="minorHAnsi"/>
          <w:sz w:val="32"/>
          <w:szCs w:val="32"/>
          <w:lang w:eastAsia="zh-CN"/>
        </w:rPr>
      </w:pPr>
      <w:r>
        <w:rPr>
          <w:rFonts w:hint="eastAsia" w:eastAsia="仿宋_GB2312" w:cs="宋体" w:hAnsiTheme="minorHAnsi"/>
          <w:sz w:val="32"/>
          <w:szCs w:val="32"/>
          <w:lang w:eastAsia="zh-CN"/>
        </w:rPr>
        <w:tab/>
      </w: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r>
        <w:rPr>
          <w:rFonts w:hint="eastAsia" w:eastAsia="仿宋_GB2312" w:cs="宋体" w:hAnsiTheme="minorHAnsi"/>
          <w:sz w:val="32"/>
          <w:szCs w:val="32"/>
          <w:lang w:eastAsia="zh-CN"/>
        </w:rPr>
        <w:tab/>
      </w: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p>
    <w:p>
      <w:pPr>
        <w:pStyle w:val="26"/>
        <w:tabs>
          <w:tab w:val="left" w:pos="1587"/>
        </w:tabs>
        <w:ind w:firstLine="0"/>
        <w:rPr>
          <w:rFonts w:hint="eastAsia" w:eastAsia="仿宋_GB2312" w:cs="宋体" w:hAnsiTheme="minorHAnsi"/>
          <w:sz w:val="32"/>
          <w:szCs w:val="32"/>
          <w:lang w:eastAsia="zh-CN"/>
        </w:rPr>
      </w:pPr>
      <w:r>
        <w:rPr>
          <w:rFonts w:hint="eastAsia" w:eastAsia="仿宋_GB2312" w:cs="宋体" w:hAnsiTheme="minorHAnsi"/>
          <w:sz w:val="32"/>
          <w:szCs w:val="32"/>
          <w:lang w:eastAsia="zh-CN"/>
        </w:rPr>
        <w:pict>
          <v:shape id="_x0000_s1028" o:spid="_x0000_s1028" o:spt="75" type="#_x0000_t75" style="position:absolute;left:0pt;margin-left:0pt;margin-top:-549.5pt;height:569.5pt;width:453.25pt;z-index:251662336;mso-width-relative:page;mso-height-relative:page;" o:ole="t" filled="f" o:preferrelative="t" stroked="f" coordsize="21600,21600">
            <v:path/>
            <v:fill on="f" focussize="0,0"/>
            <v:stroke on="f"/>
            <v:imagedata r:id="rId20" o:title=""/>
            <o:lock v:ext="edit" aspectratio="f"/>
          </v:shape>
          <o:OLEObject Type="Embed" ProgID="Excel.Sheet.12" ShapeID="_x0000_s1028" DrawAspect="Content" ObjectID="_1468075725" r:id="rId19">
            <o:LockedField>false</o:LockedField>
          </o:OLEObject>
        </w:pict>
      </w:r>
    </w:p>
    <w:p>
      <w:pPr>
        <w:widowControl/>
        <w:spacing w:line="360" w:lineRule="auto"/>
        <w:ind w:firstLine="321" w:firstLineChars="100"/>
        <w:jc w:val="left"/>
        <w:rPr>
          <w:rFonts w:ascii="Times New Roman" w:eastAsia="仿宋_GB2312"/>
          <w:b/>
          <w:sz w:val="32"/>
          <w:szCs w:val="32"/>
        </w:rPr>
      </w:pPr>
    </w:p>
    <w:p>
      <w:pPr>
        <w:widowControl/>
        <w:spacing w:line="360" w:lineRule="auto"/>
        <w:jc w:val="left"/>
        <w:rPr>
          <w:rFonts w:ascii="Times New Roman" w:eastAsia="仿宋_GB2312"/>
          <w:b/>
          <w:sz w:val="32"/>
          <w:szCs w:val="32"/>
        </w:rPr>
      </w:pPr>
    </w:p>
    <w:p>
      <w:pPr>
        <w:widowControl/>
        <w:spacing w:line="360" w:lineRule="auto"/>
        <w:jc w:val="left"/>
        <w:rPr>
          <w:rFonts w:ascii="Times New Roman" w:eastAsia="仿宋_GB2312"/>
          <w:b/>
          <w:sz w:val="32"/>
          <w:szCs w:val="32"/>
        </w:rPr>
      </w:pPr>
      <w:r>
        <w:rPr>
          <w:rFonts w:ascii="Times New Roman" w:eastAsia="仿宋_GB2312"/>
          <w:b/>
          <w:sz w:val="32"/>
          <w:szCs w:val="32"/>
        </w:rPr>
        <w:object>
          <v:shape id="_x0000_i1025" o:spt="75" type="#_x0000_t75" style="height:573.3pt;width:453.2pt;" o:ole="t" filled="f" o:preferrelative="t" stroked="f" coordsize="21600,21600">
            <v:path/>
            <v:fill on="f" focussize="0,0"/>
            <v:stroke on="f"/>
            <v:imagedata r:id="rId22" o:title=""/>
            <o:lock v:ext="edit" aspectratio="f"/>
            <w10:wrap type="none"/>
            <w10:anchorlock/>
          </v:shape>
          <o:OLEObject Type="Embed" ProgID="Excel.Sheet.12" ShapeID="_x0000_i1025" DrawAspect="Content" ObjectID="_1468075726" r:id="rId21">
            <o:LockedField>false</o:LockedField>
          </o:OLEObject>
        </w:object>
      </w:r>
    </w:p>
    <w:p>
      <w:pPr>
        <w:widowControl/>
        <w:spacing w:line="360" w:lineRule="auto"/>
        <w:jc w:val="left"/>
        <w:rPr>
          <w:rFonts w:ascii="Times New Roman" w:eastAsia="仿宋_GB2312"/>
          <w:sz w:val="32"/>
          <w:szCs w:val="32"/>
        </w:rPr>
      </w:pPr>
      <w:r>
        <w:rPr>
          <w:rFonts w:ascii="Times New Roman" w:eastAsia="仿宋_GB2312"/>
          <w:b/>
          <w:sz w:val="32"/>
          <w:szCs w:val="32"/>
        </w:rPr>
        <w:t>（三）部门评价项目绩效评价结果（如有）</w:t>
      </w:r>
    </w:p>
    <w:p>
      <w:pPr>
        <w:adjustRightInd w:val="0"/>
        <w:snapToGrid w:val="0"/>
        <w:spacing w:line="580" w:lineRule="exact"/>
        <w:ind w:firstLine="640" w:firstLineChars="200"/>
        <w:rPr>
          <w:rFonts w:ascii="Times New Roman" w:hAnsi="Times New Roman" w:eastAsia="仿宋_GB2312" w:cs="Times New Roman"/>
          <w:sz w:val="32"/>
          <w:szCs w:val="32"/>
          <w:lang w:val="zh-CN"/>
        </w:rPr>
      </w:pPr>
      <w:r>
        <w:rPr>
          <w:rFonts w:ascii="Times New Roman" w:hAnsi="Times New Roman" w:eastAsia="仿宋_GB2312" w:cs="Times New Roman"/>
          <w:sz w:val="32"/>
          <w:szCs w:val="32"/>
          <w:lang w:val="zh-CN"/>
        </w:rPr>
        <w:t>202</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lang w:val="zh-CN"/>
        </w:rPr>
        <w:t>年度</w:t>
      </w:r>
      <w:r>
        <w:rPr>
          <w:rFonts w:hint="eastAsia" w:ascii="Times New Roman" w:hAnsi="Times New Roman" w:eastAsia="仿宋_GB2312" w:cs="Times New Roman"/>
          <w:sz w:val="32"/>
          <w:szCs w:val="32"/>
          <w:lang w:val="en-US" w:eastAsia="zh-CN"/>
        </w:rPr>
        <w:t>科学技术协</w:t>
      </w:r>
      <w:r>
        <w:rPr>
          <w:rFonts w:ascii="Times New Roman" w:hAnsi="Times New Roman" w:eastAsia="仿宋_GB2312" w:cs="Times New Roman"/>
          <w:sz w:val="32"/>
          <w:szCs w:val="32"/>
          <w:lang w:val="zh-CN"/>
        </w:rPr>
        <w:t>会绩效自评项目共</w:t>
      </w:r>
      <w:r>
        <w:rPr>
          <w:rFonts w:hint="eastAsia" w:ascii="Times New Roman" w:hAnsi="Times New Roman" w:eastAsia="仿宋_GB2312" w:cs="Times New Roman"/>
          <w:sz w:val="32"/>
          <w:szCs w:val="32"/>
          <w:lang w:val="en-US" w:eastAsia="zh-CN"/>
        </w:rPr>
        <w:t>2</w:t>
      </w:r>
      <w:r>
        <w:rPr>
          <w:rFonts w:ascii="Times New Roman" w:hAnsi="Times New Roman" w:eastAsia="仿宋_GB2312" w:cs="Times New Roman"/>
          <w:sz w:val="32"/>
          <w:szCs w:val="32"/>
          <w:lang w:val="zh-CN"/>
        </w:rPr>
        <w:t xml:space="preserve">个，其中评价等级为“优”项目 </w:t>
      </w:r>
      <w:r>
        <w:rPr>
          <w:rFonts w:hint="eastAsia" w:ascii="Times New Roman" w:hAnsi="Times New Roman" w:eastAsia="仿宋_GB2312" w:cs="Times New Roman"/>
          <w:sz w:val="32"/>
          <w:szCs w:val="32"/>
          <w:lang w:val="en-US" w:eastAsia="zh-CN"/>
        </w:rPr>
        <w:t>2</w:t>
      </w:r>
      <w:r>
        <w:rPr>
          <w:rFonts w:ascii="Times New Roman" w:hAnsi="Times New Roman" w:eastAsia="仿宋_GB2312" w:cs="Times New Roman"/>
          <w:sz w:val="32"/>
          <w:szCs w:val="32"/>
          <w:lang w:val="zh-CN"/>
        </w:rPr>
        <w:t>个，评优率为100%；评价等级为“良”的项目 0个，评良率为0%。</w:t>
      </w:r>
    </w:p>
    <w:tbl>
      <w:tblPr>
        <w:tblStyle w:val="12"/>
        <w:tblW w:w="0" w:type="auto"/>
        <w:tblInd w:w="75" w:type="dxa"/>
        <w:tblLayout w:type="fixed"/>
        <w:tblCellMar>
          <w:top w:w="0" w:type="dxa"/>
          <w:left w:w="108" w:type="dxa"/>
          <w:bottom w:w="0" w:type="dxa"/>
          <w:right w:w="108" w:type="dxa"/>
        </w:tblCellMar>
      </w:tblPr>
      <w:tblGrid>
        <w:gridCol w:w="856"/>
        <w:gridCol w:w="4408"/>
        <w:gridCol w:w="1336"/>
        <w:gridCol w:w="1784"/>
      </w:tblGrid>
      <w:tr>
        <w:tblPrEx>
          <w:tblCellMar>
            <w:top w:w="0" w:type="dxa"/>
            <w:left w:w="108" w:type="dxa"/>
            <w:bottom w:w="0" w:type="dxa"/>
            <w:right w:w="108" w:type="dxa"/>
          </w:tblCellMar>
        </w:tblPrEx>
        <w:trPr>
          <w:trHeight w:val="534"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42" w:line="240" w:lineRule="exact"/>
              <w:jc w:val="center"/>
            </w:pPr>
            <w:r>
              <w:rPr>
                <w:rFonts w:ascii="bQT96stb+FangSong" w:hAnsi="bQT96stb+FangSong" w:eastAsia="bQT96stb+FangSong"/>
                <w:color w:val="000000"/>
              </w:rPr>
              <w:t>序号</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42" w:line="240" w:lineRule="exact"/>
              <w:jc w:val="center"/>
            </w:pPr>
            <w:r>
              <w:rPr>
                <w:rFonts w:ascii="bQT96stb+FangSong" w:hAnsi="bQT96stb+FangSong" w:eastAsia="bQT96stb+FangSong"/>
                <w:color w:val="000000"/>
              </w:rPr>
              <w:t>项目名称</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42" w:line="240" w:lineRule="exact"/>
              <w:jc w:val="center"/>
            </w:pPr>
            <w:r>
              <w:rPr>
                <w:rFonts w:ascii="bQT96stb+FangSong" w:hAnsi="bQT96stb+FangSong" w:eastAsia="bQT96stb+FangSong"/>
                <w:color w:val="000000"/>
              </w:rPr>
              <w:t>自评得分</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42" w:line="240" w:lineRule="exact"/>
              <w:jc w:val="center"/>
            </w:pPr>
            <w:r>
              <w:rPr>
                <w:rFonts w:ascii="bQT96stb+FangSong" w:hAnsi="bQT96stb+FangSong" w:eastAsia="bQT96stb+FangSong"/>
                <w:color w:val="000000"/>
              </w:rPr>
              <w:t>自评等级</w:t>
            </w:r>
          </w:p>
        </w:tc>
      </w:tr>
      <w:tr>
        <w:tblPrEx>
          <w:tblCellMar>
            <w:top w:w="0" w:type="dxa"/>
            <w:left w:w="108" w:type="dxa"/>
            <w:bottom w:w="0" w:type="dxa"/>
            <w:right w:w="108" w:type="dxa"/>
          </w:tblCellMar>
        </w:tblPrEx>
        <w:trPr>
          <w:trHeight w:val="588"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82" w:line="220" w:lineRule="exact"/>
              <w:jc w:val="center"/>
              <w:rPr>
                <w:rFonts w:hint="eastAsia" w:eastAsiaTheme="minorEastAsia"/>
                <w:lang w:val="en-US" w:eastAsia="zh-CN"/>
              </w:rPr>
            </w:pPr>
            <w:r>
              <w:rPr>
                <w:rFonts w:hint="eastAsia"/>
                <w:lang w:val="en-US" w:eastAsia="zh-CN"/>
              </w:rPr>
              <w:t>1</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52" w:line="222" w:lineRule="exact"/>
              <w:jc w:val="center"/>
              <w:rPr>
                <w:rFonts w:hint="eastAsia" w:ascii="bQT96stb+FangSong" w:hAnsi="bQT96stb+FangSong" w:eastAsia="宋体"/>
                <w:color w:val="000000"/>
                <w:sz w:val="22"/>
                <w:lang w:eastAsia="zh-CN"/>
              </w:rPr>
            </w:pPr>
            <w:r>
              <w:rPr>
                <w:rFonts w:hint="eastAsia" w:ascii="bQT96stb+FangSong" w:hAnsi="bQT96stb+FangSong" w:eastAsia="宋体"/>
                <w:color w:val="000000"/>
                <w:sz w:val="22"/>
                <w:lang w:val="en-US" w:eastAsia="zh-CN"/>
              </w:rPr>
              <w:t>科普经费</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54" w:line="220" w:lineRule="exact"/>
              <w:jc w:val="center"/>
              <w:rPr>
                <w:rFonts w:eastAsia="宋体"/>
              </w:rPr>
            </w:pPr>
            <w:r>
              <w:rPr>
                <w:rFonts w:hint="eastAsia" w:eastAsia="宋体"/>
                <w:lang w:val="en-US" w:eastAsia="zh-CN"/>
              </w:rPr>
              <w:t>75</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54" w:line="220" w:lineRule="exact"/>
              <w:jc w:val="center"/>
              <w:rPr>
                <w:rFonts w:eastAsia="宋体"/>
              </w:rPr>
            </w:pPr>
            <w:r>
              <w:rPr>
                <w:rFonts w:hint="eastAsia" w:eastAsia="宋体"/>
              </w:rPr>
              <w:t>优</w:t>
            </w:r>
          </w:p>
        </w:tc>
      </w:tr>
      <w:tr>
        <w:tblPrEx>
          <w:tblCellMar>
            <w:top w:w="0" w:type="dxa"/>
            <w:left w:w="108" w:type="dxa"/>
            <w:bottom w:w="0" w:type="dxa"/>
            <w:right w:w="108" w:type="dxa"/>
          </w:tblCellMar>
        </w:tblPrEx>
        <w:trPr>
          <w:trHeight w:val="534"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52" w:line="222" w:lineRule="exact"/>
              <w:jc w:val="center"/>
              <w:rPr>
                <w:rFonts w:hint="eastAsia" w:eastAsiaTheme="minorEastAsia"/>
                <w:lang w:val="en-US" w:eastAsia="zh-CN"/>
              </w:rPr>
            </w:pPr>
            <w:r>
              <w:rPr>
                <w:rFonts w:hint="eastAsia"/>
                <w:lang w:val="en-US" w:eastAsia="zh-CN"/>
              </w:rPr>
              <w:t>2</w:t>
            </w:r>
          </w:p>
        </w:tc>
        <w:tc>
          <w:tcPr>
            <w:tcW w:w="4408"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52" w:line="222" w:lineRule="exact"/>
              <w:jc w:val="center"/>
              <w:rPr>
                <w:rFonts w:ascii="bQT96stb+FangSong" w:hAnsi="bQT96stb+FangSong" w:eastAsia="宋体"/>
                <w:color w:val="000000"/>
                <w:sz w:val="22"/>
              </w:rPr>
            </w:pPr>
            <w:r>
              <w:rPr>
                <w:rFonts w:hint="eastAsia" w:ascii="bQT96stb+FangSong" w:hAnsi="bQT96stb+FangSong"/>
                <w:color w:val="000000"/>
                <w:sz w:val="22"/>
                <w:lang w:val="en-US" w:eastAsia="zh-CN"/>
              </w:rPr>
              <w:t>老科协</w:t>
            </w:r>
            <w:r>
              <w:rPr>
                <w:rFonts w:hint="eastAsia" w:ascii="bQT96stb+FangSong" w:hAnsi="bQT96stb+FangSong"/>
                <w:color w:val="000000"/>
                <w:sz w:val="22"/>
              </w:rPr>
              <w:t>活动经费</w:t>
            </w:r>
          </w:p>
        </w:tc>
        <w:tc>
          <w:tcPr>
            <w:tcW w:w="1336"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52" w:line="222" w:lineRule="exact"/>
              <w:jc w:val="center"/>
              <w:rPr>
                <w:rFonts w:hint="default" w:eastAsia="宋体"/>
                <w:lang w:val="en-US" w:eastAsia="zh-CN"/>
              </w:rPr>
            </w:pPr>
            <w:r>
              <w:rPr>
                <w:rFonts w:hint="eastAsia" w:eastAsia="宋体"/>
                <w:lang w:val="en-US" w:eastAsia="zh-CN"/>
              </w:rPr>
              <w:t>90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pPr>
              <w:widowControl/>
              <w:autoSpaceDE w:val="0"/>
              <w:autoSpaceDN w:val="0"/>
              <w:spacing w:before="152" w:line="222" w:lineRule="exact"/>
              <w:jc w:val="center"/>
            </w:pPr>
            <w:r>
              <w:rPr>
                <w:rFonts w:ascii="bQT96stb+FangSong" w:hAnsi="bQT96stb+FangSong" w:eastAsia="bQT96stb+FangSong"/>
                <w:color w:val="000000"/>
                <w:sz w:val="22"/>
              </w:rPr>
              <w:t>优</w:t>
            </w:r>
          </w:p>
        </w:tc>
      </w:tr>
    </w:tbl>
    <w:p>
      <w:pPr>
        <w:widowControl/>
        <w:spacing w:line="360" w:lineRule="auto"/>
        <w:ind w:firstLine="640" w:firstLineChars="200"/>
        <w:jc w:val="left"/>
        <w:rPr>
          <w:rFonts w:ascii="Times New Roman" w:eastAsia="仿宋_GB2312"/>
          <w:sz w:val="32"/>
          <w:szCs w:val="32"/>
        </w:rPr>
      </w:pPr>
    </w:p>
    <w:p>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1.本部门2024年度政府性基金预算财政拨款收入支出决算表（公开07表）、国有资本经营预算财政拨款支出决算表（公开08表）无相应收支，故空表列示。</w:t>
      </w:r>
    </w:p>
    <w:p>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指单位从同级财政部门取得的财政预算资金。</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指事业单位在专业业务活动及其辅助活动之外开展非独立核算经营活动发生的支出。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1D81A82E-504F-48E0-A246-FC85F8D0D75E}"/>
  </w:font>
  <w:font w:name="黑体">
    <w:panose1 w:val="02010609060101010101"/>
    <w:charset w:val="86"/>
    <w:family w:val="auto"/>
    <w:pitch w:val="default"/>
    <w:sig w:usb0="800002BF" w:usb1="38CF7CFA" w:usb2="00000016" w:usb3="00000000" w:csb0="00040001" w:csb1="00000000"/>
    <w:embedRegular r:id="rId2" w:fontKey="{244D907D-5F6C-4B50-9450-63BF8C6C4E8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embedRegular r:id="rId3" w:fontKey="{EA2587D1-C119-4557-9466-3036D694592D}"/>
  </w:font>
  <w:font w:name="仿宋">
    <w:panose1 w:val="02010609060101010101"/>
    <w:charset w:val="86"/>
    <w:family w:val="modern"/>
    <w:pitch w:val="default"/>
    <w:sig w:usb0="800002BF" w:usb1="38CF7CFA" w:usb2="00000016" w:usb3="00000000" w:csb0="00040001" w:csb1="00000000"/>
    <w:embedRegular r:id="rId4" w:fontKey="{0206762A-97C7-41D6-9400-418B3C00A8F7}"/>
  </w:font>
  <w:font w:name="Calibri Light">
    <w:panose1 w:val="020F0302020204030204"/>
    <w:charset w:val="00"/>
    <w:family w:val="auto"/>
    <w:pitch w:val="default"/>
    <w:sig w:usb0="E0002AFF" w:usb1="C000247B" w:usb2="00000009" w:usb3="00000000" w:csb0="200001FF" w:csb1="00000000"/>
  </w:font>
  <w:font w:name="华文中宋">
    <w:altName w:val="宋体"/>
    <w:panose1 w:val="02010600040101010101"/>
    <w:charset w:val="86"/>
    <w:family w:val="auto"/>
    <w:pitch w:val="default"/>
    <w:sig w:usb0="00000000" w:usb1="00000000" w:usb2="00000010" w:usb3="00000000" w:csb0="0004009F" w:csb1="00000000"/>
  </w:font>
  <w:font w:name="方正仿宋_GBK">
    <w:altName w:val="微软雅黑"/>
    <w:panose1 w:val="00000000000000000000"/>
    <w:charset w:val="00"/>
    <w:family w:val="auto"/>
    <w:pitch w:val="default"/>
    <w:sig w:usb0="00000000" w:usb1="00000000" w:usb2="00000000" w:usb3="00000000" w:csb0="00000000" w:csb1="00000000"/>
  </w:font>
  <w:font w:name="楷体_GB2312">
    <w:panose1 w:val="02010609030101010101"/>
    <w:charset w:val="86"/>
    <w:family w:val="auto"/>
    <w:pitch w:val="default"/>
    <w:sig w:usb0="00000000" w:usb1="00000000" w:usb2="00000000" w:usb3="00000000" w:csb0="00000000" w:csb1="00000000"/>
    <w:embedRegular r:id="rId5" w:fontKey="{E5FDBDAB-2A51-461D-8741-D64BE522A336}"/>
  </w:font>
  <w:font w:name="方正小标宋_GBK">
    <w:panose1 w:val="02000000000000000000"/>
    <w:charset w:val="86"/>
    <w:family w:val="script"/>
    <w:pitch w:val="default"/>
    <w:sig w:usb0="00000000" w:usb1="00000000" w:usb2="00000000" w:usb3="00000000" w:csb0="00000000" w:csb1="00000000"/>
    <w:embedRegular r:id="rId6" w:fontKey="{21E00F44-BE8A-4D70-B60D-1F411B043FD7}"/>
  </w:font>
  <w:font w:name="仿宋_GB2312">
    <w:panose1 w:val="02010609030101010101"/>
    <w:charset w:val="86"/>
    <w:family w:val="auto"/>
    <w:pitch w:val="default"/>
    <w:sig w:usb0="00000000" w:usb1="00000000" w:usb2="00000000" w:usb3="00000000" w:csb0="00000000" w:csb1="00000000"/>
    <w:embedRegular r:id="rId7" w:fontKey="{6B81FB82-64D6-47BC-9504-1DCF42626361}"/>
  </w:font>
  <w:font w:name="ArialUnicodeMS">
    <w:altName w:val="Malgun Gothic"/>
    <w:panose1 w:val="00000000000000000000"/>
    <w:charset w:val="81"/>
    <w:family w:val="auto"/>
    <w:pitch w:val="default"/>
    <w:sig w:usb0="00000000" w:usb1="00000000" w:usb2="00000010" w:usb3="00000000" w:csb0="00080001" w:csb1="00000000"/>
    <w:embedRegular r:id="rId8" w:fontKey="{E30C5823-060C-4D5B-BE36-E1CEAFC2C352}"/>
  </w:font>
  <w:font w:name="方正仿宋_GB2312">
    <w:panose1 w:val="02000000000000000000"/>
    <w:charset w:val="86"/>
    <w:family w:val="auto"/>
    <w:pitch w:val="default"/>
    <w:sig w:usb0="00000000" w:usb1="00000000" w:usb2="00000000" w:usb3="00000000" w:csb0="00000000" w:csb1="00000000"/>
    <w:embedRegular r:id="rId9" w:fontKey="{F1C56D8B-B3A4-4346-AD13-6DBCDF5696CA}"/>
  </w:font>
  <w:font w:name="bQT96stb+FangSong">
    <w:altName w:val="PMingLiU-ExtB"/>
    <w:panose1 w:val="00000000000000000000"/>
    <w:charset w:val="88"/>
    <w:family w:val="auto"/>
    <w:pitch w:val="default"/>
    <w:sig w:usb0="00000000" w:usb1="00000000" w:usb2="00000010" w:usb3="00000000" w:csb0="00100000" w:csb1="00000000"/>
    <w:embedRegular r:id="rId10" w:fontKey="{0A0BCA4F-19DD-4A44-887D-A016D1E686AF}"/>
  </w:font>
  <w:font w:name="微软雅黑">
    <w:panose1 w:val="020B0503020204020204"/>
    <w:charset w:val="86"/>
    <w:family w:val="auto"/>
    <w:pitch w:val="default"/>
    <w:sig w:usb0="80000287" w:usb1="2ACF3C50" w:usb2="00000016" w:usb3="00000000" w:csb0="0004001F" w:csb1="00000000"/>
  </w:font>
  <w:font w:name="PMingLiU-ExtB">
    <w:panose1 w:val="02020500000000000000"/>
    <w:charset w:val="88"/>
    <w:family w:val="auto"/>
    <w:pitch w:val="default"/>
    <w:sig w:usb0="8000002F" w:usb1="02000008" w:usb2="00000000" w:usb3="00000000" w:csb0="0010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3</w:t>
    </w:r>
    <w:r>
      <w:fldChar w:fldCharType="end"/>
    </w:r>
  </w:p>
  <w:p/>
  <w:p>
    <w:pPr>
      <w:pStyle w:val="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35</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val="1"/>
  <w:embedTrueTypeFonts/>
  <w:saveSubsetFonts/>
  <w:bordersDoNotSurroundHeader w:val="1"/>
  <w:bordersDoNotSurroundFooter w:val="1"/>
  <w:documentProtection w:enforcement="0"/>
  <w:defaultTabStop w:val="420"/>
  <w:drawingGridVerticalSpacing w:val="165"/>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FE3B12"/>
    <w:rsid w:val="00086151"/>
    <w:rsid w:val="00236F8C"/>
    <w:rsid w:val="0049573C"/>
    <w:rsid w:val="0067331F"/>
    <w:rsid w:val="00681F5F"/>
    <w:rsid w:val="006A4626"/>
    <w:rsid w:val="00781088"/>
    <w:rsid w:val="00822154"/>
    <w:rsid w:val="0087136F"/>
    <w:rsid w:val="008A33E1"/>
    <w:rsid w:val="00AD16D3"/>
    <w:rsid w:val="00C65689"/>
    <w:rsid w:val="00CC2C8E"/>
    <w:rsid w:val="00D118CF"/>
    <w:rsid w:val="00D84CA8"/>
    <w:rsid w:val="00E74A54"/>
    <w:rsid w:val="00F01FF6"/>
    <w:rsid w:val="00F564A1"/>
    <w:rsid w:val="00FA55B7"/>
    <w:rsid w:val="00FE3B12"/>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8B3BC0"/>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23374"/>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506048"/>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5F41D4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AA0B10"/>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458C2"/>
    <w:rsid w:val="579C7F80"/>
    <w:rsid w:val="57B30D7C"/>
    <w:rsid w:val="58166B03"/>
    <w:rsid w:val="583E3C94"/>
    <w:rsid w:val="584B5062"/>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0D42D2A"/>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31215"/>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4">
    <w:name w:val="heading 2"/>
    <w:basedOn w:val="1"/>
    <w:next w:val="1"/>
    <w:link w:val="16"/>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5">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6">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customStyle="1" w:styleId="2">
    <w:name w:val="Normal Indent1"/>
    <w:basedOn w:val="1"/>
    <w:qFormat/>
    <w:uiPriority w:val="99"/>
    <w:pPr>
      <w:ind w:firstLine="420" w:firstLineChars="200"/>
    </w:p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Autospacing="1" w:afterAutospacing="1"/>
      <w:jc w:val="left"/>
    </w:pPr>
    <w:rPr>
      <w:rFonts w:cs="Times New Roman"/>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4"/>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 w:type="paragraph" w:customStyle="1" w:styleId="26">
    <w:name w:val="插入文本样式-插入职责分类绩效目标文件"/>
    <w:basedOn w:val="1"/>
    <w:qFormat/>
    <w:uiPriority w:val="0"/>
    <w:pPr>
      <w:widowControl/>
      <w:spacing w:line="500" w:lineRule="exact"/>
      <w:ind w:firstLine="560"/>
      <w:jc w:val="left"/>
    </w:pPr>
    <w:rPr>
      <w:rFonts w:ascii="Times New Roman" w:hAnsi="Times New Roman" w:eastAsia="方正仿宋_GBK" w:cs="Times New Roman"/>
      <w:sz w:val="28"/>
      <w:lang w:eastAsia="uk-U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3.emf"/><Relationship Id="rId21" Type="http://schemas.openxmlformats.org/officeDocument/2006/relationships/oleObject" Target="embeddings/oleObject2.bin"/><Relationship Id="rId20" Type="http://schemas.openxmlformats.org/officeDocument/2006/relationships/image" Target="media/image2.emf"/><Relationship Id="rId2" Type="http://schemas.openxmlformats.org/officeDocument/2006/relationships/settings" Target="settings.xml"/><Relationship Id="rId19" Type="http://schemas.openxmlformats.org/officeDocument/2006/relationships/oleObject" Target="embeddings/oleObject1.bin"/><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6.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249.65</c:v>
                </c:pt>
                <c:pt idx="1">
                  <c:v>249.44</c:v>
                </c:pt>
              </c:numCache>
            </c:numRef>
          </c:val>
        </c:ser>
        <c:dLbls>
          <c:showLegendKey val="0"/>
          <c:showVal val="1"/>
          <c:showCatName val="0"/>
          <c:showSerName val="0"/>
          <c:showPercent val="0"/>
          <c:showBubbleSize val="0"/>
        </c:dLbls>
        <c:gapWidth val="246"/>
        <c:overlap val="-28"/>
        <c:axId val="380663296"/>
        <c:axId val="381386112"/>
      </c:barChart>
      <c:catAx>
        <c:axId val="38066329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81386112"/>
        <c:crosses val="autoZero"/>
        <c:auto val="1"/>
        <c:lblAlgn val="ctr"/>
        <c:lblOffset val="100"/>
        <c:noMultiLvlLbl val="0"/>
      </c:catAx>
      <c:valAx>
        <c:axId val="381386112"/>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806632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2494406.12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2403297.12</c:v>
                </c:pt>
                <c:pt idx="1">
                  <c:v>91109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249.65</c:v>
                </c:pt>
                <c:pt idx="1">
                  <c:v>249.65</c:v>
                </c:pt>
                <c:pt idx="2">
                  <c:v>249.65</c:v>
                </c:pt>
                <c:pt idx="3">
                  <c:v>249.65</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249.44</c:v>
                </c:pt>
                <c:pt idx="1">
                  <c:v>249.44</c:v>
                </c:pt>
                <c:pt idx="2">
                  <c:v>249.44</c:v>
                </c:pt>
                <c:pt idx="3">
                  <c:v>249.44</c:v>
                </c:pt>
                <c:pt idx="4">
                  <c:v>0</c:v>
                </c:pt>
                <c:pt idx="5">
                  <c:v>0</c:v>
                </c:pt>
                <c:pt idx="6">
                  <c:v>0</c:v>
                </c:pt>
                <c:pt idx="7">
                  <c:v>0</c:v>
                </c:pt>
              </c:numCache>
            </c:numRef>
          </c:val>
        </c:ser>
        <c:dLbls>
          <c:showLegendKey val="0"/>
          <c:showVal val="1"/>
          <c:showCatName val="0"/>
          <c:showSerName val="0"/>
          <c:showPercent val="0"/>
          <c:showBubbleSize val="0"/>
        </c:dLbls>
        <c:gapWidth val="246"/>
        <c:overlap val="-28"/>
        <c:axId val="444780928"/>
        <c:axId val="446044800"/>
      </c:barChart>
      <c:catAx>
        <c:axId val="444780928"/>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6044800"/>
        <c:crosses val="autoZero"/>
        <c:auto val="1"/>
        <c:lblAlgn val="ctr"/>
        <c:lblOffset val="100"/>
        <c:noMultiLvlLbl val="0"/>
      </c:catAx>
      <c:valAx>
        <c:axId val="44604480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4780928"/>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257.47</c:v>
                </c:pt>
                <c:pt idx="1">
                  <c:v>257.47</c:v>
                </c:pt>
                <c:pt idx="2">
                  <c:v>257.47</c:v>
                </c:pt>
                <c:pt idx="3">
                  <c:v>257.47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249.44</c:v>
                </c:pt>
                <c:pt idx="1">
                  <c:v>249.44</c:v>
                </c:pt>
                <c:pt idx="2">
                  <c:v>249.44</c:v>
                </c:pt>
                <c:pt idx="3">
                  <c:v>249.44</c:v>
                </c:pt>
                <c:pt idx="4">
                  <c:v>0</c:v>
                </c:pt>
                <c:pt idx="5">
                  <c:v>0</c:v>
                </c:pt>
                <c:pt idx="6">
                  <c:v>0</c:v>
                </c:pt>
                <c:pt idx="7">
                  <c:v>0</c:v>
                </c:pt>
              </c:numCache>
            </c:numRef>
          </c:val>
        </c:ser>
        <c:dLbls>
          <c:showLegendKey val="0"/>
          <c:showVal val="1"/>
          <c:showCatName val="0"/>
          <c:showSerName val="0"/>
          <c:showPercent val="0"/>
          <c:showBubbleSize val="0"/>
        </c:dLbls>
        <c:gapWidth val="150"/>
        <c:axId val="375347840"/>
        <c:axId val="375357824"/>
      </c:barChart>
      <c:catAx>
        <c:axId val="37534784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75357824"/>
        <c:crosses val="autoZero"/>
        <c:auto val="1"/>
        <c:lblAlgn val="ctr"/>
        <c:lblOffset val="100"/>
        <c:noMultiLvlLbl val="0"/>
      </c:catAx>
      <c:valAx>
        <c:axId val="375357824"/>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75347840"/>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161.76</c:v>
                </c:pt>
                <c:pt idx="1">
                  <c:v>0</c:v>
                </c:pt>
                <c:pt idx="2">
                  <c:v>0</c:v>
                </c:pt>
                <c:pt idx="3">
                  <c:v>0</c:v>
                </c:pt>
                <c:pt idx="4">
                  <c:v>0</c:v>
                </c:pt>
                <c:pt idx="5">
                  <c:v>9.11</c:v>
                </c:pt>
                <c:pt idx="6">
                  <c:v>0</c:v>
                </c:pt>
                <c:pt idx="7">
                  <c:v>50.73</c:v>
                </c:pt>
                <c:pt idx="8">
                  <c:v>11.31</c:v>
                </c:pt>
                <c:pt idx="9">
                  <c:v>0</c:v>
                </c:pt>
                <c:pt idx="10">
                  <c:v>0</c:v>
                </c:pt>
                <c:pt idx="11">
                  <c:v>0</c:v>
                </c:pt>
                <c:pt idx="12">
                  <c:v>0</c:v>
                </c:pt>
                <c:pt idx="13">
                  <c:v>0</c:v>
                </c:pt>
                <c:pt idx="14">
                  <c:v>0</c:v>
                </c:pt>
                <c:pt idx="15">
                  <c:v>0</c:v>
                </c:pt>
                <c:pt idx="16">
                  <c:v>0</c:v>
                </c:pt>
                <c:pt idx="17">
                  <c:v>0</c:v>
                </c:pt>
                <c:pt idx="18">
                  <c:v>16.53</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40</Pages>
  <Words>2425</Words>
  <Characters>13824</Characters>
  <Lines>115</Lines>
  <Paragraphs>32</Paragraphs>
  <TotalTime>3</TotalTime>
  <ScaleCrop>false</ScaleCrop>
  <LinksUpToDate>false</LinksUpToDate>
  <CharactersWithSpaces>16217</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2025-09-17T07:53:00Z</dcterms:created>
  <dc:creator>王明新TIAD</dc:creator>
  <cp:lastModifiedBy>得了，在这歇会吧</cp:lastModifiedBy>
  <cp:lastPrinted>2023-08-04T01:00:00Z</cp:lastPrinted>
  <dcterms:modified xsi:type="dcterms:W3CDTF">2025-09-30T03:14:42Z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