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502E6B"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auto"/>
          <w:sz w:val="32"/>
          <w:szCs w:val="32"/>
        </w:rPr>
        <w:t>附件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3</w:t>
      </w:r>
    </w:p>
    <w:p w14:paraId="153A732F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color w:val="auto"/>
          <w:sz w:val="44"/>
          <w:szCs w:val="44"/>
        </w:rPr>
      </w:pPr>
    </w:p>
    <w:p w14:paraId="702879CC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color w:val="auto"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sz w:val="44"/>
          <w:szCs w:val="44"/>
          <w:lang w:val="en-US" w:eastAsia="zh-CN"/>
        </w:rPr>
        <w:t>获鹿镇人民政府</w:t>
      </w:r>
    </w:p>
    <w:p w14:paraId="3231B429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color w:val="auto"/>
          <w:sz w:val="44"/>
          <w:szCs w:val="44"/>
        </w:rPr>
      </w:pPr>
      <w:r>
        <w:rPr>
          <w:rFonts w:hint="eastAsia" w:ascii="宋体" w:hAnsi="宋体" w:cs="宋体"/>
          <w:b/>
          <w:bCs/>
          <w:color w:val="auto"/>
          <w:sz w:val="44"/>
          <w:szCs w:val="44"/>
          <w:lang w:val="en-US" w:eastAsia="zh-CN"/>
        </w:rPr>
        <w:t>2024年度整体支出绩效</w:t>
      </w:r>
      <w:r>
        <w:rPr>
          <w:rFonts w:hint="eastAsia" w:ascii="宋体" w:hAnsi="宋体" w:cs="宋体"/>
          <w:b/>
          <w:bCs/>
          <w:color w:val="auto"/>
          <w:sz w:val="44"/>
          <w:szCs w:val="44"/>
        </w:rPr>
        <w:t>自评报告</w:t>
      </w:r>
    </w:p>
    <w:p w14:paraId="2EF31463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color w:val="auto"/>
          <w:sz w:val="32"/>
          <w:szCs w:val="32"/>
        </w:rPr>
      </w:pPr>
    </w:p>
    <w:p w14:paraId="699708FD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为</w:t>
      </w:r>
      <w:r>
        <w:rPr>
          <w:rFonts w:hint="eastAsia" w:ascii="仿宋" w:hAnsi="仿宋" w:eastAsia="仿宋"/>
          <w:color w:val="auto"/>
          <w:sz w:val="32"/>
          <w:szCs w:val="32"/>
        </w:rPr>
        <w:t>贯彻落实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color w:val="auto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获鹿镇人民政府对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color w:val="auto"/>
          <w:sz w:val="32"/>
          <w:szCs w:val="32"/>
        </w:rPr>
        <w:t>实施了财政支出绩效自评价，形成本评价报告。</w:t>
      </w:r>
    </w:p>
    <w:p w14:paraId="3333D8AC"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color w:val="auto"/>
          <w:sz w:val="32"/>
          <w:szCs w:val="36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 xml:space="preserve">    </w:t>
      </w:r>
      <w:r>
        <w:rPr>
          <w:rFonts w:hint="eastAsia" w:ascii="黑体" w:hAnsi="黑体" w:eastAsia="黑体"/>
          <w:color w:val="auto"/>
          <w:sz w:val="32"/>
          <w:szCs w:val="32"/>
        </w:rPr>
        <w:t>一、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color w:val="auto"/>
          <w:sz w:val="32"/>
          <w:szCs w:val="36"/>
        </w:rPr>
        <w:t>基本情况</w:t>
      </w:r>
    </w:p>
    <w:p w14:paraId="14312476"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>概况</w:t>
      </w:r>
    </w:p>
    <w:p w14:paraId="4E8C7D6B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获鹿镇人民政府是一级预算单位，部门职责如下：</w:t>
      </w:r>
    </w:p>
    <w:p w14:paraId="0B5F399E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（一）机关事务管理。负责乡镇党委、政府各项工作的督导催办，处理机关日常事务，搞好文秘、档案管理、政务公开和机关后勤保障工作；负责相关党群单位的工作；抓好农村基层组织建设和民主政治建设。负责制定乡镇财政计划和经济发展规划；为招商引资、发展民营企业和第三产业提供服务；做好乡镇统计、审计工作；负责社会治安综合治理和司法工作；做好宗教工作，打击邪教；调处矛盾纠纷；做好群众来信来访、社会稳定等工作。负责精神文明和新农村建设，以及与各部门社会事务工作的指导服务和协调。</w:t>
      </w:r>
    </w:p>
    <w:p w14:paraId="33317462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（二）农业综合服务。负责配合农口部门（农、林、牧、水）做好农业技术服务和技术推广工作，动物防疫工作；加强农田水利基本建设，增强农业抗御自然灾害的能力。做好农村一事一议项目管理。</w:t>
      </w:r>
    </w:p>
    <w:p w14:paraId="419F0732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（三）卫生计生服务。配合食品药品监督管理的协调、督导，做好新型农村合作医疗等卫生方面工作，负责计划生育技术服务及人口生育管理，负责育龄妇女普查、妇女病防治、四术及协会等项工作。</w:t>
      </w:r>
    </w:p>
    <w:p w14:paraId="5113F7B5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（四）文化综治服务。负责群众文化娱乐、体育活动、广播电视村村通等工作。</w:t>
      </w:r>
    </w:p>
    <w:p w14:paraId="109D9D1B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（五）社会保障服务。配合劳动保障部门做好劳动法的宣传贯彻、劳动就业、社会保障等工作。配合安全生产监督管理部门做好安全生产监督管理等工作。</w:t>
      </w:r>
    </w:p>
    <w:p w14:paraId="42561B54"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default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机构设置人员情况：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从决算编报单位构成看，纳入2024年度本部门决算汇编范围的独立核算单位1个，获鹿镇政府本级。年末在编在职人员104人，退休人员36人。</w:t>
      </w:r>
    </w:p>
    <w:p w14:paraId="3746335E"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  <w:lang w:val="en-US" w:eastAsia="zh-CN"/>
        </w:rPr>
        <w:t>国有资产占用情况：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截至2024年12月31日，本单位固定资产总值842.39万元。共有公车辆3辆，比上年增加（减少）0辆，与上年持平，主要应急保障用车辆。本单位没有单位价值50万元以上通用设备及单位价值100万元以上专用设备，与上年持平。</w:t>
      </w:r>
    </w:p>
    <w:p w14:paraId="14E109D4"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  <w:lang w:eastAsia="zh-CN"/>
        </w:rPr>
        <w:t>部门收支预决算情况</w:t>
      </w:r>
    </w:p>
    <w:p w14:paraId="34F5FA8A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本部门202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年度财政拨款本年收入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9533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万元，完成年初预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算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8301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的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114.8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%,比年初预算增加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1232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万元，决算数大于预算数主要原因是生态环保示范专班建设增加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110万元、社区改造提升项目增加217万元、城乡基础设施建设及环境整治补助项目增加600万元，追加社区工作补助及农村环卫保洁等资金117万元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；新增农村综改项目资金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114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万元，七街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2号路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占地补偿及村级防火美丽乡村建设等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74万元。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完成年初预算的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114.8%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,比年初预算增加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1232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万元，决算数大于预算数主要原因是，决算数大于预算数主要原因是：生态环保示范专班建设增加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110万元、社区改造提升项目增加217万元、城乡基础设施建设及环境整治补助项目增加600万元，追加社区工作补助及农村环卫保洁等资金117万元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；新增农村综改项目资金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114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万元，七街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2号路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占地补偿及村级防火美丽乡村建设等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74万元。</w:t>
      </w:r>
    </w:p>
    <w:p w14:paraId="25D51A33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（三）部门整体支出绩效目标、指标</w:t>
      </w:r>
    </w:p>
    <w:p w14:paraId="2856D914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参见部门预算绩效文本绩效目标、指标，本单位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2024年支出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绩效目标、指标均达到考核要求。从评价情况来看区级项目资金及时到位，绩效评估为优，镇级项目绩效评估较差，主要原因是今年预算资金不足，项目进展缓慢。</w:t>
      </w:r>
    </w:p>
    <w:p w14:paraId="305690BC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二、自评工作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color w:val="auto"/>
          <w:sz w:val="32"/>
          <w:szCs w:val="32"/>
        </w:rPr>
        <w:t>情况</w:t>
      </w:r>
    </w:p>
    <w:p w14:paraId="468923A0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>（一）自评的组织工作</w:t>
      </w:r>
    </w:p>
    <w:p w14:paraId="634D4F06"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根据预算绩效管理要求，本部门组织对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年度一般公共预算项目支出全面开展绩效自评，其中，一级项目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个，二级项目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。其中，一级项目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13个，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共涉及资金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3525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万元，占一般公共预算项目支出总额的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44.4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对追加预算项目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9个，共涉及资金1232万元，也组织了绩效自评工作。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拆我单位无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政府性基金预算项目支出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国有资本经营预算项目支出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 w14:paraId="5F521272"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组织对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区级“智慧广场花海租地项目、获鹿北侧监测点周边绿化”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个一级项目开展了重点评价，涉及一般公共预算支出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309.18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</w:p>
    <w:p w14:paraId="249E7961">
      <w:pPr>
        <w:widowControl w:val="0"/>
        <w:numPr>
          <w:ilvl w:val="0"/>
          <w:numId w:val="1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>自评的方法和过程</w:t>
      </w:r>
    </w:p>
    <w:p w14:paraId="5EEFC806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我单位组织各部门人员，参照预算绩效文本中总体绩效目标，解析整体绩效目标实现情况。参照预算绩效文本中分项绩效目标、指标，从完成数量、质量、时效、成本效益</w:t>
      </w:r>
      <w:r>
        <w:rPr>
          <w:rFonts w:hint="eastAsia" w:ascii="仿宋" w:hAnsi="仿宋" w:eastAsia="仿宋"/>
          <w:color w:val="auto"/>
          <w:sz w:val="32"/>
          <w:szCs w:val="32"/>
        </w:rPr>
        <w:t>等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方面</w:t>
      </w:r>
      <w:r>
        <w:rPr>
          <w:rFonts w:hint="eastAsia" w:ascii="仿宋" w:hAnsi="仿宋" w:eastAsia="仿宋"/>
          <w:color w:val="auto"/>
          <w:sz w:val="32"/>
          <w:szCs w:val="32"/>
        </w:rPr>
        <w:t>，对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分项目标指标完成情况进行评价。考查指标要细化、量化，得分依据等。</w:t>
      </w:r>
    </w:p>
    <w:p w14:paraId="4BC92BB9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auto"/>
          <w:sz w:val="32"/>
          <w:szCs w:val="32"/>
        </w:rPr>
        <w:t>三、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color w:val="auto"/>
          <w:sz w:val="32"/>
          <w:szCs w:val="32"/>
        </w:rPr>
        <w:t>绩效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目标实现情况及指标分析</w:t>
      </w:r>
    </w:p>
    <w:p w14:paraId="01C77F4B">
      <w:pPr>
        <w:widowControl w:val="0"/>
        <w:numPr>
          <w:ilvl w:val="0"/>
          <w:numId w:val="2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  <w:t>总体绩效目标实现情况</w:t>
      </w:r>
    </w:p>
    <w:p w14:paraId="3498DF2E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参照预算绩效文本中总体绩效目标，本单位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2024年度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整体绩效目标均已实现。</w:t>
      </w:r>
    </w:p>
    <w:p w14:paraId="0D2E1090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 xml:space="preserve"> （二）</w:t>
      </w: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  <w:t>分项绩效目标实现情况及指标分析</w:t>
      </w:r>
    </w:p>
    <w:p w14:paraId="5C1AB30E">
      <w:pPr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Times New Roman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本部门在今年部门决算公开中反映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啤酒厂占地补偿、获中侧北监测点周边绿化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等区级资金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镇级“公共安全保卫维稳、节能环保管理”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个项目绩效自评结果。</w:t>
      </w:r>
    </w:p>
    <w:p w14:paraId="0FF0714C">
      <w:pPr>
        <w:numPr>
          <w:ilvl w:val="0"/>
          <w:numId w:val="3"/>
        </w:numPr>
        <w:adjustRightInd w:val="0"/>
        <w:snapToGrid w:val="0"/>
        <w:spacing w:line="600" w:lineRule="exact"/>
        <w:ind w:left="-10" w:leftChars="0" w:firstLine="640" w:firstLineChars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军人退役人员公益性岗位工资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项目自评综述：根据年初设定的绩效目标，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项目绩效自评得分为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分。全年预算数为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109.13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调整预算数为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109.13万元，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执行数为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109.13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万元，完成预算的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。项目绩效目标完成情况：一是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按时完成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；二是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高质量完成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该项目有效安置退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役军人岗位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16个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16名退役军人得到相应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补偿。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下一步改进措施：一是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健全考核机制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；二是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加强事后监督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 w14:paraId="0853C785">
      <w:pPr>
        <w:numPr>
          <w:ilvl w:val="0"/>
          <w:numId w:val="3"/>
        </w:numPr>
        <w:adjustRightInd w:val="0"/>
        <w:snapToGrid w:val="0"/>
        <w:spacing w:line="600" w:lineRule="exact"/>
        <w:ind w:left="-10" w:leftChars="0" w:firstLine="640" w:firstLineChars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七街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2号路北侧租地项目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、武装部占地补偿、排水泵站管护运行费、获中北侧监测点周边绿化租地、智慧广场花海租地等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项目绩效自评综述：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5个项目都是区级资金支持项目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预算资金共计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90.29万元，执行数90.29万元，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预算数和执行数一致，预算完成率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100%。项目目标都能按时高质量完成，补偿及时到位有效保障了人民的生活水平。</w:t>
      </w:r>
    </w:p>
    <w:p w14:paraId="040F2B7E">
      <w:pPr>
        <w:numPr>
          <w:ilvl w:val="0"/>
          <w:numId w:val="3"/>
        </w:numPr>
        <w:adjustRightInd w:val="0"/>
        <w:snapToGrid w:val="0"/>
        <w:spacing w:line="600" w:lineRule="exact"/>
        <w:ind w:left="-10" w:leftChars="0" w:firstLine="640" w:firstLineChars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公共安全保卫维稳事务、节能环保管理事务、城乡社区基础设施建设项目、人居环境打造项目、医疗卫生与计划生育事务、文化体育宣传事务、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人居环境打造、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个项目都是保障我镇正常运行的自有资金项目。预算资金756万元，执行数为756万元，预算执行率100%。上述项目目标都能较好完成，保障了我镇各项工作正常运行。</w:t>
      </w:r>
    </w:p>
    <w:p w14:paraId="7147D7FB">
      <w:pPr>
        <w:numPr>
          <w:ilvl w:val="0"/>
          <w:numId w:val="3"/>
        </w:numPr>
        <w:adjustRightInd w:val="0"/>
        <w:snapToGrid w:val="0"/>
        <w:spacing w:line="600" w:lineRule="exact"/>
        <w:ind w:left="-10" w:leftChars="0" w:firstLine="640" w:firstLineChars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学校代课老师劳务费项目、机关社区辅助人员劳务费项目、社区管理服务提升等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3个项目，是我镇的民生投入项目，预算数1970万元，执行数1970万元，预算执行率100%。按照三保要求，确保了辅助人员的工资发放。社区管理服务提升项目由于预算资金不足，支付进度缓慢。</w:t>
      </w:r>
    </w:p>
    <w:p w14:paraId="312B4E15">
      <w:pPr>
        <w:numPr>
          <w:ilvl w:val="0"/>
          <w:numId w:val="3"/>
        </w:numPr>
        <w:adjustRightInd w:val="0"/>
        <w:snapToGrid w:val="0"/>
        <w:spacing w:line="600" w:lineRule="exact"/>
        <w:ind w:left="-10" w:leftChars="0" w:firstLine="640" w:firstLineChars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中小学改扩建项目、镇中改扩建土地划拨款、北海山小学土地划拨款项目、三四街小学土地划拨款项目、村庄规划等5个项目涉及资金3172万元；其中涉及土地划拨款项目预算执行率100%；涉及村庄规划和改扩建项目均预算压缩，有待下年足额预算。</w:t>
      </w:r>
    </w:p>
    <w:p w14:paraId="2DA6BF51">
      <w:pPr>
        <w:numPr>
          <w:ilvl w:val="0"/>
          <w:numId w:val="3"/>
        </w:numPr>
        <w:adjustRightInd w:val="0"/>
        <w:snapToGrid w:val="0"/>
        <w:spacing w:line="600" w:lineRule="exact"/>
        <w:ind w:left="-10" w:leftChars="0" w:firstLine="640" w:firstLineChars="0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2024年预算新增项目8个：主要是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生态环保示范专班建设增加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110万元、社区改造提升项目增加217万元、城乡基础设施建设及环境整治补助项目增加600万元，追加社区工作补助、农村环卫保洁等资金117万元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；新增农村综改项目资金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114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万元，七街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2号路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占地补偿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35万元，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村级防火美丽乡村建设等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39万元。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等8个项目，追加预算数1232万元，执行预算数1232万元，8个都是本年预算追加项目，均按时保质保量完成了预算目标。</w:t>
      </w:r>
    </w:p>
    <w:p w14:paraId="0BE05330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四、评价结论和评价等级</w:t>
      </w:r>
    </w:p>
    <w:p w14:paraId="3C7E297F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根据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color w:val="auto"/>
          <w:sz w:val="32"/>
          <w:szCs w:val="32"/>
        </w:rPr>
        <w:t>，给出总得分，满分100分，得出综合绩效评价等级。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color w:val="auto"/>
          <w:sz w:val="32"/>
          <w:szCs w:val="32"/>
        </w:rPr>
        <w:t>综合绩效评价分为4个等级：得分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&gt;</w:t>
      </w:r>
      <w:r>
        <w:rPr>
          <w:rFonts w:hint="eastAsia" w:ascii="仿宋" w:hAnsi="仿宋" w:eastAsia="仿宋"/>
          <w:color w:val="auto"/>
          <w:sz w:val="32"/>
          <w:szCs w:val="32"/>
        </w:rPr>
        <w:t>85分为优秀；75</w:t>
      </w:r>
      <w:r>
        <w:rPr>
          <w:rFonts w:ascii="仿宋" w:hAnsi="仿宋" w:eastAsia="仿宋" w:cs="Arial"/>
          <w:color w:val="auto"/>
          <w:sz w:val="32"/>
          <w:szCs w:val="32"/>
        </w:rPr>
        <w:t>≤</w:t>
      </w:r>
      <w:r>
        <w:rPr>
          <w:rFonts w:hint="eastAsia" w:ascii="仿宋" w:hAnsi="仿宋" w:eastAsia="仿宋"/>
          <w:color w:val="auto"/>
          <w:sz w:val="32"/>
          <w:szCs w:val="32"/>
        </w:rPr>
        <w:t>得分＜85分为良好；60</w:t>
      </w:r>
      <w:r>
        <w:rPr>
          <w:rFonts w:ascii="仿宋" w:hAnsi="仿宋" w:eastAsia="仿宋" w:cs="Arial"/>
          <w:color w:val="auto"/>
          <w:sz w:val="32"/>
          <w:szCs w:val="32"/>
        </w:rPr>
        <w:t>≤</w:t>
      </w:r>
      <w:r>
        <w:rPr>
          <w:rFonts w:hint="eastAsia" w:ascii="仿宋" w:hAnsi="仿宋" w:eastAsia="仿宋"/>
          <w:color w:val="auto"/>
          <w:sz w:val="32"/>
          <w:szCs w:val="32"/>
        </w:rPr>
        <w:t>得分＜75分为一般；得分＜60分为较差。</w:t>
      </w:r>
    </w:p>
    <w:p w14:paraId="12742C25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</w:rPr>
      </w:pPr>
      <w:r>
        <w:rPr>
          <w:rFonts w:hint="eastAsia" w:ascii="仿宋_GB2312" w:hAnsi="宋体" w:eastAsia="仿宋_GB2312"/>
          <w:color w:val="auto"/>
          <w:sz w:val="32"/>
          <w:szCs w:val="32"/>
        </w:rPr>
        <w:t>202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年</w:t>
      </w: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本单位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绩效自评项目共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29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个，其中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评价等级为“优”项目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25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个，评优率为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86.2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%；评价等级为“良”的项目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个，评良率为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13.79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%。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详见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下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表。</w:t>
      </w:r>
    </w:p>
    <w:p w14:paraId="1EB04306">
      <w:pPr>
        <w:wordWrap/>
        <w:adjustRightInd/>
        <w:snapToGrid w:val="0"/>
        <w:spacing w:before="0" w:after="0" w:line="360" w:lineRule="auto"/>
        <w:ind w:left="-105" w:leftChars="-50" w:right="-105" w:rightChars="-50"/>
        <w:jc w:val="center"/>
        <w:textAlignment w:val="auto"/>
        <w:outlineLvl w:val="9"/>
        <w:rPr>
          <w:rFonts w:ascii="仿宋_GB2312" w:hAnsi="宋体" w:eastAsia="仿宋_GB2312"/>
          <w:b/>
          <w:color w:val="auto"/>
          <w:sz w:val="32"/>
          <w:szCs w:val="32"/>
        </w:rPr>
      </w:pPr>
      <w:r>
        <w:rPr>
          <w:rFonts w:hint="eastAsia" w:ascii="仿宋_GB2312" w:hAnsi="宋体" w:eastAsia="仿宋_GB2312"/>
          <w:b/>
          <w:color w:val="auto"/>
          <w:sz w:val="32"/>
          <w:szCs w:val="32"/>
          <w:lang w:val="en-US" w:eastAsia="zh-CN"/>
        </w:rPr>
        <w:t>获鹿镇</w:t>
      </w:r>
      <w:r>
        <w:rPr>
          <w:rFonts w:hint="eastAsia" w:ascii="仿宋_GB2312" w:hAnsi="宋体" w:eastAsia="仿宋_GB2312"/>
          <w:b/>
          <w:color w:val="auto"/>
          <w:sz w:val="32"/>
          <w:szCs w:val="32"/>
        </w:rPr>
        <w:t>绩效自评结果统计表</w:t>
      </w:r>
    </w:p>
    <w:tbl>
      <w:tblPr>
        <w:tblStyle w:val="5"/>
        <w:tblW w:w="823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3"/>
        <w:gridCol w:w="5515"/>
        <w:gridCol w:w="1000"/>
        <w:gridCol w:w="960"/>
      </w:tblGrid>
      <w:tr w14:paraId="08B35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07D86A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  <w:t>序号</w:t>
            </w:r>
          </w:p>
        </w:tc>
        <w:tc>
          <w:tcPr>
            <w:tcW w:w="55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AD47926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  <w:t>项目名称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152BBBC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  <w:t>自评得分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3C41CE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  <w:t>评价等级</w:t>
            </w:r>
          </w:p>
        </w:tc>
      </w:tr>
      <w:tr w14:paraId="0CE594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4F9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BD986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武装部占地补偿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90B9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AC95563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>优</w:t>
            </w:r>
          </w:p>
        </w:tc>
      </w:tr>
      <w:tr w14:paraId="14A7D1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736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69AF0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排水泵站管护运行费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D1DD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610748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优 </w:t>
            </w:r>
          </w:p>
        </w:tc>
      </w:tr>
      <w:tr w14:paraId="34C0BB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EB8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7EC9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获中北侧监测点周边绿化租地款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4B06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024D9E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优 </w:t>
            </w:r>
          </w:p>
        </w:tc>
      </w:tr>
      <w:tr w14:paraId="174322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B2C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02147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智慧广场花海租地项目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EAC5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159A9C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优 </w:t>
            </w:r>
          </w:p>
        </w:tc>
      </w:tr>
      <w:tr w14:paraId="08B8FF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923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F2BC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军人退役人员公益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性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岗位工资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5C3E6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651948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>优</w:t>
            </w:r>
          </w:p>
        </w:tc>
      </w:tr>
      <w:tr w14:paraId="085551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6A0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8BAC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七街2号机耕路北侧租地项目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938E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BF0633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优</w:t>
            </w:r>
          </w:p>
        </w:tc>
      </w:tr>
      <w:tr w14:paraId="0BA9B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9B1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9140E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鹿泉区生态环保示范区精细化管理项目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1405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14F3064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37705A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056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636A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追加鹿泉区生态环保示范区专班建设项目补助资金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F2A49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156435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优 </w:t>
            </w:r>
          </w:p>
        </w:tc>
      </w:tr>
      <w:tr w14:paraId="0B7F6B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CEC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8DD5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镇公共安全保卫维稳事务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43B9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30E7A83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优 </w:t>
            </w:r>
          </w:p>
        </w:tc>
      </w:tr>
      <w:tr w14:paraId="030324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986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highlight w:val="yellow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30660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highlight w:val="yellow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镇节能环保管理事务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1A01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B8563A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50EBEE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B25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FB6F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镇级城乡社区基础设施建设项目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072F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40A852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5D213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962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DE08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城乡社区改造提升建设项目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271A4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5932C1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优 </w:t>
            </w:r>
          </w:p>
        </w:tc>
      </w:tr>
      <w:tr w14:paraId="30CC2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063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C045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镇级追加城乡社区改造提升项目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B48B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B678B2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优 </w:t>
            </w:r>
          </w:p>
        </w:tc>
      </w:tr>
      <w:tr w14:paraId="67405F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4E0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FE6B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镇级城乡社区建设及环境整治补助资金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F084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849D1F3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良</w:t>
            </w:r>
          </w:p>
        </w:tc>
      </w:tr>
      <w:tr w14:paraId="3211C0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533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55CF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镇级社区管理服务提升项目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C5D6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2A2850D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良</w:t>
            </w:r>
          </w:p>
        </w:tc>
      </w:tr>
      <w:tr w14:paraId="02635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778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4F9C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镇级城乡社区管理事务项目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F367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83201B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良</w:t>
            </w:r>
          </w:p>
        </w:tc>
      </w:tr>
      <w:tr w14:paraId="6E8E34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866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07FE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城乡社区工作经费补助项目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E979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EDAEEC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优 </w:t>
            </w:r>
          </w:p>
        </w:tc>
      </w:tr>
      <w:tr w14:paraId="3D642A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963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8B93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镇级城乡人居环境打造项目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A2CA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22C3EE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优 </w:t>
            </w:r>
          </w:p>
        </w:tc>
      </w:tr>
      <w:tr w14:paraId="68978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423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6D1B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镇级农村环卫保洁项目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26B4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81EDC0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581AAD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DFC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20B1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镇级预拨村庄规划编制工作项目资金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CF4B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022D6D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5E65C6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9DC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2AFB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农村综合改革项目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75F3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B7F1A2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09601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4D1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2840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镇级机关社区辅助人员劳务费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7A63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2F89E2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05E22A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44C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91E5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镇级学校代课教师劳务费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8B6C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E5F42A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1B18CF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0F3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FBE6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镇文化体育宣传事务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38AD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A95DE2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1C5ACB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330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1E62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镇级中小学改扩建项目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3DC8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7360E3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良</w:t>
            </w:r>
          </w:p>
        </w:tc>
      </w:tr>
      <w:tr w14:paraId="120F96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D9F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1166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获鹿镇中学改扩建项目土地划拨款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6684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143C36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119F6C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643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F0F1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北海山小学教育用地划拨价款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4DEB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4362C2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632DA2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B8D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CE45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三四街小学异地新建项目划拨款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E2C6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0F3B97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47CE45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9CE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A49C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镇级防火专项资金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AE1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7AED33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</w:tbl>
    <w:p w14:paraId="04A7DF36">
      <w:pPr>
        <w:widowControl w:val="0"/>
        <w:wordWrap/>
        <w:spacing w:line="560" w:lineRule="exact"/>
        <w:ind w:right="0"/>
        <w:textAlignment w:val="auto"/>
        <w:outlineLvl w:val="9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763089DD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五、存在的问题及改进措施</w:t>
      </w:r>
    </w:p>
    <w:p w14:paraId="7F64E1C3"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（一）存在的主要问题</w:t>
      </w:r>
    </w:p>
    <w:p w14:paraId="18EBDDBB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制度建设不足：预算绩效管理制度、资金管理办法、工作保障制度等运行不够完善，不能为预算绩效目标的实现奠定制度基础。</w:t>
      </w:r>
    </w:p>
    <w:p w14:paraId="7493C5EB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支出管理有待加强。由于财力不足支出结构不优化、有的项目不能及时支付资金、没有按规定及时下达资金，支出进度不达标。</w:t>
      </w:r>
    </w:p>
    <w:p w14:paraId="00A7955D">
      <w:pPr>
        <w:widowControl w:val="0"/>
        <w:numPr>
          <w:ilvl w:val="0"/>
          <w:numId w:val="2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针对问题提出具体的改进措施或建议</w:t>
      </w:r>
    </w:p>
    <w:p w14:paraId="1D19D070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加强绩效运行监控。按要求开展绩效运行监控，发现问题及时采取措施，确保绩效目标如期保质实现。</w:t>
      </w:r>
    </w:p>
    <w:p w14:paraId="4E2EF6B0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做好绩效自评。按要求开展上年度部门预算绩效自评和重点评价工作，对评价中发现的问题及时整改，调整优化支出结构，提高财政资金使用效益。</w:t>
      </w:r>
    </w:p>
    <w:p w14:paraId="6D9F6AA1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规范财务资产管理。完善财务管理制度，严格审批程序，加强固定资产登记、使用和报废处置管理，做到支出合理，物尽其用。</w:t>
      </w:r>
    </w:p>
    <w:p w14:paraId="761C8371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加强内部监督。加强内部监督制度建设，对绩效运行情况、重大支出决策、对外投资、资产处置及其他重要经济业务事项的决策和执行进行督导，对会计资料进行内部审计，并配合做好审计、财政监督等外部监督工作，确保财政资金安全有效。</w:t>
      </w:r>
    </w:p>
    <w:p w14:paraId="5C1B2620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加强宣传培训调研等。加强人员培训，提高本部门职工业务素质；加强调研，提出优化财政资金配置、提高资金使用效益的意见；加大宣传力度，强化预算绩效管理意识，促进预算绩效管理水平进一步提升。</w:t>
      </w:r>
    </w:p>
    <w:p w14:paraId="0DADAA32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六、评价工作组人员名单及签字（姓名、工作单位、职务、职称）</w:t>
      </w:r>
    </w:p>
    <w:p w14:paraId="728431B7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姚亚伟：获鹿镇人民政府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 xml:space="preserve">  党委副书记</w:t>
      </w:r>
    </w:p>
    <w:p w14:paraId="0CE3DDE4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齐志霞; 获鹿镇人民政府  纪委书记</w:t>
      </w:r>
    </w:p>
    <w:p w14:paraId="3476AF20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于春晖：获鹿镇人民政府  财政所长</w:t>
      </w:r>
    </w:p>
    <w:p w14:paraId="00807828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default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封建玲：获鹿镇人民政府  财务工作</w:t>
      </w:r>
    </w:p>
    <w:p w14:paraId="219C37F0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  <w:color w:val="auto"/>
        </w:rPr>
      </w:pPr>
    </w:p>
    <w:p w14:paraId="4ACB0D86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  <w:color w:val="auto"/>
        </w:rPr>
      </w:pPr>
    </w:p>
    <w:p w14:paraId="4B8F942D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lang w:val="en-US" w:eastAsia="zh-CN"/>
        </w:rPr>
        <w:t xml:space="preserve">                                          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 xml:space="preserve">获鹿镇人民政府 </w:t>
      </w:r>
    </w:p>
    <w:p w14:paraId="7027D41B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 xml:space="preserve">                              2025年4月20日</w:t>
      </w:r>
    </w:p>
    <w:p w14:paraId="1B47A1A7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default" w:ascii="仿宋" w:hAnsi="仿宋" w:eastAsia="仿宋"/>
          <w:color w:val="auto"/>
          <w:lang w:val="en-US" w:eastAsia="zh-CN"/>
        </w:rPr>
      </w:pPr>
      <w:r>
        <w:rPr>
          <w:rFonts w:hint="eastAsia" w:ascii="仿宋" w:hAnsi="仿宋" w:eastAsia="仿宋"/>
          <w:color w:val="auto"/>
          <w:lang w:val="en-US" w:eastAsia="zh-CN"/>
        </w:rPr>
        <w:t xml:space="preserve">                                           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769599">
    <w:pPr>
      <w:pStyle w:val="3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4D3CEC3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4D3CEC3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abstractNum w:abstractNumId="2">
    <w:nsid w:val="5F222FFA"/>
    <w:multiLevelType w:val="singleLevel"/>
    <w:tmpl w:val="5F222FFA"/>
    <w:lvl w:ilvl="0" w:tentative="0">
      <w:start w:val="1"/>
      <w:numFmt w:val="decimal"/>
      <w:suff w:val="nothing"/>
      <w:lvlText w:val="（%1）"/>
      <w:lvlJc w:val="left"/>
      <w:rPr>
        <w:rFonts w:hint="default"/>
        <w:color w:val="auto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6553A"/>
    <w:rsid w:val="016A5787"/>
    <w:rsid w:val="01B104CA"/>
    <w:rsid w:val="02106AB0"/>
    <w:rsid w:val="02B43A28"/>
    <w:rsid w:val="046F331E"/>
    <w:rsid w:val="06F400F2"/>
    <w:rsid w:val="07956271"/>
    <w:rsid w:val="09721397"/>
    <w:rsid w:val="0A4C1634"/>
    <w:rsid w:val="0BB63BED"/>
    <w:rsid w:val="0EB97A43"/>
    <w:rsid w:val="0EBD2122"/>
    <w:rsid w:val="0F214EAE"/>
    <w:rsid w:val="11B71E6A"/>
    <w:rsid w:val="15A359A1"/>
    <w:rsid w:val="15FF3B26"/>
    <w:rsid w:val="165C3BEE"/>
    <w:rsid w:val="17476063"/>
    <w:rsid w:val="19EA6DA4"/>
    <w:rsid w:val="1AAF0063"/>
    <w:rsid w:val="1BE140DE"/>
    <w:rsid w:val="1D617582"/>
    <w:rsid w:val="20781B74"/>
    <w:rsid w:val="21B1419E"/>
    <w:rsid w:val="248C197D"/>
    <w:rsid w:val="252959AF"/>
    <w:rsid w:val="277A6671"/>
    <w:rsid w:val="283D6A9E"/>
    <w:rsid w:val="292D35B7"/>
    <w:rsid w:val="2A594280"/>
    <w:rsid w:val="2BBD4C31"/>
    <w:rsid w:val="2C72685D"/>
    <w:rsid w:val="2D470BC1"/>
    <w:rsid w:val="32D035CB"/>
    <w:rsid w:val="33EB6CFF"/>
    <w:rsid w:val="35A12947"/>
    <w:rsid w:val="35AE44DD"/>
    <w:rsid w:val="360B5F19"/>
    <w:rsid w:val="37387040"/>
    <w:rsid w:val="3B625C0A"/>
    <w:rsid w:val="3CEE1963"/>
    <w:rsid w:val="3E3A7ABE"/>
    <w:rsid w:val="4269404B"/>
    <w:rsid w:val="43FA2AB0"/>
    <w:rsid w:val="4639532D"/>
    <w:rsid w:val="4B420DB7"/>
    <w:rsid w:val="4C534A19"/>
    <w:rsid w:val="4C687A0B"/>
    <w:rsid w:val="4C9C27FE"/>
    <w:rsid w:val="4DC70F65"/>
    <w:rsid w:val="512260B4"/>
    <w:rsid w:val="51F810A9"/>
    <w:rsid w:val="52BD6ACB"/>
    <w:rsid w:val="52C224DD"/>
    <w:rsid w:val="54405B8C"/>
    <w:rsid w:val="54F94C2A"/>
    <w:rsid w:val="55537534"/>
    <w:rsid w:val="561A74F1"/>
    <w:rsid w:val="56A9535C"/>
    <w:rsid w:val="57364773"/>
    <w:rsid w:val="58CE1983"/>
    <w:rsid w:val="597244E8"/>
    <w:rsid w:val="598E30A7"/>
    <w:rsid w:val="5A1650F5"/>
    <w:rsid w:val="5E3B4FA3"/>
    <w:rsid w:val="5EB71C30"/>
    <w:rsid w:val="5F74673D"/>
    <w:rsid w:val="5FE150EF"/>
    <w:rsid w:val="602C042B"/>
    <w:rsid w:val="61C9786C"/>
    <w:rsid w:val="621929B3"/>
    <w:rsid w:val="65D579B9"/>
    <w:rsid w:val="66AF0CE5"/>
    <w:rsid w:val="676F5C56"/>
    <w:rsid w:val="6AC537CF"/>
    <w:rsid w:val="6ADA67FB"/>
    <w:rsid w:val="6DF80670"/>
    <w:rsid w:val="6E5B14A6"/>
    <w:rsid w:val="6E9F3A75"/>
    <w:rsid w:val="6ECC6373"/>
    <w:rsid w:val="711B255E"/>
    <w:rsid w:val="7317199D"/>
    <w:rsid w:val="75F53104"/>
    <w:rsid w:val="77975F27"/>
    <w:rsid w:val="77EB2DB3"/>
    <w:rsid w:val="78254BAC"/>
    <w:rsid w:val="78312DED"/>
    <w:rsid w:val="78545239"/>
    <w:rsid w:val="78D45AD6"/>
    <w:rsid w:val="79D50633"/>
    <w:rsid w:val="7B252282"/>
    <w:rsid w:val="7BB51E06"/>
    <w:rsid w:val="7C387F7C"/>
    <w:rsid w:val="7D641C0A"/>
    <w:rsid w:val="7DED6DB5"/>
    <w:rsid w:val="7ECE0337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3936</Words>
  <Characters>4209</Characters>
  <Lines>7</Lines>
  <Paragraphs>2</Paragraphs>
  <TotalTime>10</TotalTime>
  <ScaleCrop>false</ScaleCrop>
  <LinksUpToDate>false</LinksUpToDate>
  <CharactersWithSpaces>4378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2022-01-19T07:24:00Z</cp:lastPrinted>
  <dcterms:modified xsi:type="dcterms:W3CDTF">2025-09-30T03:22:11Z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eyJoZGlkIjoiZDQ4YmViYzU0MzYzNmI1OWU4ODEzOWVjYWM1YjQ5ZGMifQ==</vt:lpwstr>
  </property>
  <property fmtid="{D5CDD505-2E9C-101B-9397-08002B2CF9AE}" pid="4" name="ICV">
    <vt:lpwstr>3A29DB45F03745DB86B06BA0C435830C_13</vt:lpwstr>
  </property>
</Properties>
</file>