
<file path=[Content_Types].xml><?xml version="1.0" encoding="utf-8"?>
<Types xmlns="http://schemas.openxmlformats.org/package/2006/content-types">
  <Default Extension="xml" ContentType="application/xml"/>
  <Default Extension="xlsx" ContentType="application/vnd.openxmlformats-officedocument.spreadsheetml.sheet"/>
  <Default Extension="jpeg" ContentType="image/jpeg"/>
  <Default Extension="JPG" ContentType="image/.jpg"/>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colors4.xml" ContentType="application/vnd.ms-office.chartcolorstyle+xml"/>
  <Override PartName="/word/charts/colors5.xml" ContentType="application/vnd.ms-office.chartcolorstyle+xml"/>
  <Override PartName="/word/charts/colors6.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charts/style4.xml" ContentType="application/vnd.ms-office.chartstyle+xml"/>
  <Override PartName="/word/charts/style5.xml" ContentType="application/vnd.ms-office.chartstyle+xml"/>
  <Override PartName="/word/charts/style6.xml" ContentType="application/vnd.ms-office.chartstyle+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nts/font8.odttf" ContentType="application/vnd.openxmlformats-officedocument.obfuscatedFont"/>
  <Override PartName="/word/fonts/font9.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auto"/>
        <w:jc w:val="both"/>
        <w:rPr>
          <w:rFonts w:hint="eastAsia" w:ascii="楷体_GB2312" w:hAnsi="楷体_GB2312" w:eastAsia="楷体_GB2312" w:cs="楷体_GB2312"/>
          <w:color w:val="000000"/>
          <w:sz w:val="40"/>
          <w:szCs w:val="40"/>
        </w:rPr>
      </w:pPr>
      <w:r>
        <w:drawing>
          <wp:anchor distT="0" distB="0" distL="114300" distR="114300" simplePos="0" relativeHeight="251659264" behindDoc="1" locked="0" layoutInCell="1" allowOverlap="1">
            <wp:simplePos x="0" y="0"/>
            <wp:positionH relativeFrom="column">
              <wp:posOffset>-1692910</wp:posOffset>
            </wp:positionH>
            <wp:positionV relativeFrom="paragraph">
              <wp:posOffset>-1319530</wp:posOffset>
            </wp:positionV>
            <wp:extent cx="8646795" cy="11107420"/>
            <wp:effectExtent l="0" t="0" r="1905" b="5080"/>
            <wp:wrapNone/>
            <wp:docPr id="15" name="图片 15" descr="7b0a202020202266696c746572223a202230220a7d0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descr="7b0a202020202266696c746572223a202230220a7d0a"/>
                    <pic:cNvPicPr>
                      <a:picLocks noChangeAspect="1"/>
                    </pic:cNvPicPr>
                  </pic:nvPicPr>
                  <pic:blipFill>
                    <a:blip r:embed="rId12">
                      <a:lum bright="6000"/>
                    </a:blip>
                    <a:srcRect t="559" b="3637"/>
                    <a:stretch>
                      <a:fillRect/>
                    </a:stretch>
                  </pic:blipFill>
                  <pic:spPr>
                    <a:xfrm>
                      <a:off x="0" y="0"/>
                      <a:ext cx="8646795" cy="11107420"/>
                    </a:xfrm>
                    <a:prstGeom prst="rect">
                      <a:avLst/>
                    </a:prstGeom>
                  </pic:spPr>
                </pic:pic>
              </a:graphicData>
            </a:graphic>
          </wp:anchor>
        </w:drawing>
      </w:r>
      <w:r>
        <mc:AlternateContent>
          <mc:Choice Requires="wps">
            <w:drawing>
              <wp:anchor distT="0" distB="0" distL="114300" distR="114300" simplePos="0" relativeHeight="251660288" behindDoc="0" locked="0" layoutInCell="1" allowOverlap="1">
                <wp:simplePos x="0" y="0"/>
                <wp:positionH relativeFrom="column">
                  <wp:posOffset>-546735</wp:posOffset>
                </wp:positionH>
                <wp:positionV relativeFrom="paragraph">
                  <wp:posOffset>253365</wp:posOffset>
                </wp:positionV>
                <wp:extent cx="6431280" cy="2862580"/>
                <wp:effectExtent l="0" t="0" r="0" b="0"/>
                <wp:wrapNone/>
                <wp:docPr id="1" name="文本框 1" descr="7b0a2020202022776f7264617274223a20227b5c2269645c223a32353030323136362c5c227469645c223a5c225c227d220a7d0a"/>
                <wp:cNvGraphicFramePr/>
                <a:graphic xmlns:a="http://schemas.openxmlformats.org/drawingml/2006/main">
                  <a:graphicData uri="http://schemas.microsoft.com/office/word/2010/wordprocessingShape">
                    <wps:wsp>
                      <wps:cNvSpPr txBox="1"/>
                      <wps:spPr>
                        <a:xfrm>
                          <a:off x="0" y="0"/>
                          <a:ext cx="6431280" cy="2862580"/>
                        </a:xfrm>
                        <a:prstGeom prst="rect">
                          <a:avLst/>
                        </a:prstGeom>
                        <a:noFill/>
                        <a:ln>
                          <a:noFill/>
                        </a:ln>
                        <a:effectLst/>
                      </wps:spPr>
                      <wps:txb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wps:txbx>
                      <wps:bodyPr upright="1"/>
                    </wps:wsp>
                  </a:graphicData>
                </a:graphic>
              </wp:anchor>
            </w:drawing>
          </mc:Choice>
          <mc:Fallback>
            <w:pict>
              <v:shape id="_x0000_s1026" o:spid="_x0000_s1026" o:spt="202" alt="7b0a2020202022776f7264617274223a20227b5c2269645c223a32353030323136362c5c227469645c223a5c225c227d220a7d0a" type="#_x0000_t202" style="position:absolute;left:0pt;margin-left:-43.05pt;margin-top:19.95pt;height:225.4pt;width:506.4pt;z-index:251660288;mso-width-relative:page;mso-height-relative:page;" filled="f" stroked="f" coordsize="21600,21600" o:gfxdata="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2yz97YAAAACgEAAA8AAAAAAAAAAQAgAAAAIgAAAGRycy9kb3ducmV2LnhtbFBL&#10;AQIUABQAAAAIAIdO4kCjWvfx9gEAAM4DAAAOAAAAAAAAAAEAIAAAACcBAABkcnMvZTJvRG9jLnht&#10;bFBLBQYAAAAABgAGAFkBAACPBQAAAAA=&#10;">
                <v:fill on="f" focussize="0,0"/>
                <v:stroke on="f"/>
                <v:imagedata o:title=""/>
                <o:lock v:ext="edit" aspectratio="f"/>
                <v:textbox>
                  <w:txbxContent>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2024年度</w:t>
                      </w:r>
                    </w:p>
                    <w:p>
                      <w:pPr>
                        <w:spacing w:line="1400" w:lineRule="exact"/>
                        <w:jc w:val="left"/>
                        <w:rPr>
                          <w:rFonts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pPr>
                      <w:r>
                        <w:rPr>
                          <w:rFonts w:hint="eastAsia" w:ascii="方正小标宋_GBK" w:hAnsi="方正小标宋_GBK" w:eastAsia="方正小标宋_GBK" w:cs="方正小标宋_GBK"/>
                          <w:b/>
                          <w:bCs/>
                          <w:color w:val="0D0D0D" w:themeColor="text1" w:themeTint="F2"/>
                          <w:sz w:val="112"/>
                          <w:szCs w:val="112"/>
                          <w14:textFill>
                            <w14:solidFill>
                              <w14:schemeClr w14:val="tx1">
                                <w14:lumMod w14:val="95000"/>
                                <w14:lumOff w14:val="5000"/>
                              </w14:schemeClr>
                            </w14:solidFill>
                          </w14:textFill>
                        </w:rPr>
                        <w:t>部门决算公开文本</w:t>
                      </w:r>
                    </w:p>
                  </w:txbxContent>
                </v:textbox>
              </v:shape>
            </w:pict>
          </mc:Fallback>
        </mc:AlternateContent>
      </w: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both"/>
        <w:rPr>
          <w:rFonts w:hint="eastAsia" w:ascii="楷体_GB2312" w:hAnsi="楷体_GB2312" w:eastAsia="楷体_GB2312" w:cs="楷体_GB2312"/>
          <w:color w:val="000000"/>
          <w:sz w:val="40"/>
          <w:szCs w:val="40"/>
        </w:rPr>
      </w:pPr>
    </w:p>
    <w:p>
      <w:pPr>
        <w:spacing w:line="600" w:lineRule="auto"/>
        <w:jc w:val="left"/>
        <w:rPr>
          <w:rFonts w:hint="eastAsia" w:ascii="楷体_GB2312" w:hAnsi="楷体_GB2312" w:eastAsia="楷体_GB2312" w:cs="楷体_GB2312"/>
          <w:color w:val="000000"/>
          <w:sz w:val="40"/>
          <w:szCs w:val="40"/>
          <w:lang w:val="en-US" w:eastAsia="zh-CN"/>
        </w:rPr>
      </w:pPr>
      <w:r>
        <w:rPr>
          <w:rFonts w:hint="eastAsia" w:ascii="黑体" w:hAnsi="黑体" w:eastAsia="黑体" w:cs="黑体"/>
          <w:color w:val="000000"/>
          <w:sz w:val="40"/>
          <w:szCs w:val="40"/>
        </w:rPr>
        <w:t>预算代码</w:t>
      </w:r>
      <w:r>
        <w:rPr>
          <w:rFonts w:hint="eastAsia" w:ascii="楷体_GB2312" w:hAnsi="楷体_GB2312" w:eastAsia="楷体_GB2312" w:cs="楷体_GB2312"/>
          <w:color w:val="000000"/>
          <w:sz w:val="40"/>
          <w:szCs w:val="40"/>
        </w:rPr>
        <w:t>：</w:t>
      </w:r>
      <w:r>
        <w:rPr>
          <w:rFonts w:hint="eastAsia" w:ascii="楷体_GB2312" w:hAnsi="楷体_GB2312" w:eastAsia="楷体_GB2312" w:cs="楷体_GB2312"/>
          <w:color w:val="000000"/>
          <w:sz w:val="40"/>
          <w:szCs w:val="40"/>
          <w:lang w:val="en-US" w:eastAsia="zh-CN"/>
        </w:rPr>
        <w:t>321001</w:t>
      </w:r>
    </w:p>
    <w:p>
      <w:pPr>
        <w:spacing w:line="600" w:lineRule="auto"/>
        <w:jc w:val="left"/>
        <w:rPr>
          <w:rFonts w:hint="eastAsia" w:ascii="楷体_GB2312" w:hAnsi="楷体_GB2312" w:eastAsia="楷体_GB2312" w:cs="楷体_GB2312"/>
          <w:color w:val="000000"/>
          <w:sz w:val="40"/>
          <w:szCs w:val="40"/>
        </w:rPr>
      </w:pPr>
      <w:r>
        <w:rPr>
          <w:rFonts w:hint="eastAsia" w:ascii="黑体" w:hAnsi="黑体" w:eastAsia="黑体" w:cs="黑体"/>
          <w:color w:val="000000"/>
          <w:sz w:val="40"/>
          <w:szCs w:val="40"/>
        </w:rPr>
        <w:t>单位名称</w:t>
      </w:r>
      <w:r>
        <w:rPr>
          <w:rFonts w:hint="eastAsia" w:ascii="楷体_GB2312" w:hAnsi="楷体_GB2312" w:eastAsia="楷体_GB2312" w:cs="楷体_GB2312"/>
          <w:color w:val="000000"/>
          <w:sz w:val="40"/>
          <w:szCs w:val="40"/>
        </w:rPr>
        <w:t>：石家庄市鹿泉区投资促进局(本级)</w:t>
      </w:r>
    </w:p>
    <w:p>
      <w:pPr>
        <w:spacing w:line="600" w:lineRule="auto"/>
        <w:jc w:val="both"/>
        <w:rPr>
          <w:rFonts w:hint="eastAsia" w:ascii="楷体_GB2312" w:hAnsi="楷体_GB2312" w:eastAsia="楷体_GB2312" w:cs="楷体_GB2312"/>
          <w:color w:val="000000"/>
          <w:sz w:val="40"/>
          <w:szCs w:val="40"/>
        </w:rPr>
        <w:sectPr>
          <w:footerReference r:id="rId3" w:type="default"/>
          <w:pgSz w:w="11906" w:h="16838"/>
          <w:pgMar w:top="2098" w:right="1417" w:bottom="1871" w:left="1417" w:header="851" w:footer="992" w:gutter="0"/>
          <w:pgBorders>
            <w:top w:val="none" w:sz="0" w:space="0"/>
            <w:left w:val="none" w:sz="0" w:space="0"/>
            <w:bottom w:val="none" w:sz="0" w:space="0"/>
            <w:right w:val="none" w:sz="0" w:space="0"/>
          </w:pgBorders>
          <w:cols w:space="720" w:num="1"/>
          <w:docGrid w:type="lines" w:linePitch="312" w:charSpace="0"/>
        </w:sectPr>
      </w:pPr>
    </w:p>
    <w:p>
      <w:pPr>
        <w:spacing w:line="600" w:lineRule="auto"/>
        <w:jc w:val="center"/>
        <w:rPr>
          <w:rFonts w:hint="eastAsia" w:ascii="楷体_GB2312" w:hAnsi="楷体_GB2312" w:eastAsia="楷体_GB2312" w:cs="楷体_GB2312"/>
          <w:color w:val="000000"/>
          <w:sz w:val="40"/>
          <w:szCs w:val="40"/>
        </w:rPr>
      </w:pPr>
    </w:p>
    <w:p>
      <w:pPr>
        <w:rPr>
          <w:rFonts w:hint="eastAsia" w:ascii="黑体" w:hAnsi="黑体" w:eastAsia="黑体" w:cs="黑体"/>
          <w:b/>
          <w:bCs/>
          <w:sz w:val="32"/>
          <w:szCs w:val="36"/>
          <w:highlight w:val="yellow"/>
        </w:rPr>
      </w:pP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方正小标宋_GBK"/>
          <w:b w:val="0"/>
          <w:sz w:val="72"/>
          <w:szCs w:val="72"/>
        </w:rPr>
        <w:t>石家庄市鹿泉区投资促进局(本级)</w:t>
      </w:r>
    </w:p>
    <w:p>
      <w:pPr>
        <w:widowControl/>
        <w:spacing w:before="0" w:beforeLines="0" w:beforeAutospacing="0" w:after="0" w:afterLines="0" w:afterAutospacing="0" w:line="360" w:lineRule="auto"/>
        <w:jc w:val="center"/>
        <w:rPr>
          <w:rFonts w:ascii="Times New Roman" w:eastAsia="方正小标宋_GBK"/>
          <w:sz w:val="72"/>
          <w:szCs w:val="72"/>
        </w:rPr>
      </w:pPr>
      <w:r>
        <w:rPr>
          <w:rFonts w:ascii="Times New Roman" w:eastAsia="仿宋_GB2312"/>
          <w:b w:val="0"/>
          <w:sz w:val="72"/>
          <w:szCs w:val="72"/>
        </w:rPr>
        <w:t>2024</w:t>
      </w:r>
      <w:r>
        <w:rPr>
          <w:rFonts w:ascii="Times New Roman" w:eastAsia="方正小标宋_GBK"/>
          <w:b w:val="0"/>
          <w:sz w:val="72"/>
          <w:szCs w:val="72"/>
        </w:rPr>
        <w:t>年度部门决算公开文本</w:t>
      </w:r>
    </w:p>
    <w:p>
      <w:pPr>
        <w:spacing w:line="36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600" w:lineRule="auto"/>
        <w:jc w:val="center"/>
        <w:rPr>
          <w:rFonts w:ascii="黑体" w:hAnsi="黑体" w:eastAsia="黑体" w:cs="黑体"/>
          <w:sz w:val="56"/>
          <w:szCs w:val="72"/>
        </w:rPr>
      </w:pPr>
    </w:p>
    <w:p>
      <w:pPr>
        <w:spacing w:line="480" w:lineRule="auto"/>
        <w:jc w:val="both"/>
        <w:rPr>
          <w:rFonts w:ascii="黑体" w:hAnsi="黑体" w:eastAsia="黑体" w:cs="黑体"/>
          <w:sz w:val="56"/>
          <w:szCs w:val="72"/>
        </w:rPr>
      </w:pP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石家庄市鹿泉区投资促进局(本级)(单位名称，加盖公章）</w:t>
      </w:r>
    </w:p>
    <w:p>
      <w:pPr>
        <w:widowControl/>
        <w:spacing w:before="0" w:beforeLines="0" w:beforeAutospacing="0" w:after="0" w:afterLines="0" w:afterAutospacing="0" w:line="360" w:lineRule="auto"/>
        <w:jc w:val="center"/>
        <w:rPr>
          <w:rFonts w:ascii="Times New Roman" w:eastAsia="楷体_GB2312"/>
          <w:sz w:val="44"/>
          <w:szCs w:val="44"/>
        </w:rPr>
      </w:pPr>
      <w:r>
        <w:rPr>
          <w:rFonts w:ascii="Times New Roman" w:eastAsia="楷体_GB2312"/>
          <w:b w:val="0"/>
          <w:sz w:val="44"/>
          <w:szCs w:val="44"/>
        </w:rPr>
        <w:t>二〇二五年八月</w:t>
      </w:r>
    </w:p>
    <w:p>
      <w:pPr>
        <w:snapToGrid w:val="0"/>
        <w:jc w:val="left"/>
        <w:rPr>
          <w:rFonts w:hint="eastAsia"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pPr>
    </w:p>
    <w:p>
      <w:pPr>
        <w:snapToGrid w:val="0"/>
        <w:jc w:val="left"/>
        <w:rPr>
          <w:rFonts w:hint="default" w:ascii="楷体_GB2312" w:hAnsi="楷体_GB2312" w:eastAsia="楷体_GB2312" w:cs="楷体_GB2312"/>
          <w:color w:val="000000" w:themeColor="text1"/>
          <w:kern w:val="0"/>
          <w:sz w:val="44"/>
          <w:szCs w:val="44"/>
          <w:lang w:val="en-US" w:eastAsia="zh-CN"/>
          <w14:shadow w14:blurRad="38100" w14:dist="19050" w14:dir="2700000" w14:sx="100000" w14:sy="100000" w14:kx="0" w14:ky="0" w14:algn="tl">
            <w14:schemeClr w14:val="dk1">
              <w14:alpha w14:val="60000"/>
            </w14:schemeClr>
          </w14:shadow>
          <w14:textFill>
            <w14:solidFill>
              <w14:schemeClr w14:val="tx1"/>
            </w14:solidFill>
          </w14:textFill>
          <w14:props3d w14:extrusionH="0" w14:contourW="0" w14:prstMaterial="clear"/>
        </w:rPr>
        <w:sectPr>
          <w:footerReference r:id="rId4" w:type="default"/>
          <w:pgSz w:w="11906" w:h="16838"/>
          <w:pgMar w:top="1531" w:right="1984" w:bottom="1531" w:left="2098" w:header="851" w:footer="992" w:gutter="0"/>
          <w:pgBorders>
            <w:top w:val="none" w:sz="0" w:space="0"/>
            <w:left w:val="none" w:sz="0" w:space="0"/>
            <w:bottom w:val="none" w:sz="0" w:space="0"/>
            <w:right w:val="none" w:sz="0" w:space="0"/>
          </w:pgBorders>
          <w:pgNumType w:start="1"/>
          <w:cols w:space="720" w:num="1"/>
          <w:docGrid w:type="lines" w:linePitch="312" w:charSpace="0"/>
        </w:sectPr>
      </w:pPr>
    </w:p>
    <w:p>
      <w:pPr>
        <w:widowControl/>
        <w:spacing w:line="600" w:lineRule="exact"/>
        <w:jc w:val="left"/>
        <w:rPr>
          <w:rFonts w:ascii="黑体" w:hAnsi="黑体" w:eastAsia="黑体" w:cs="黑体"/>
          <w:bCs/>
          <w:sz w:val="32"/>
          <w:szCs w:val="32"/>
        </w:rPr>
      </w:pPr>
    </w:p>
    <w:p>
      <w:pPr>
        <w:tabs>
          <w:tab w:val="left" w:pos="2728"/>
        </w:tabs>
        <w:jc w:val="center"/>
        <w:rPr>
          <w:rFonts w:ascii="黑体" w:hAnsi="Times New Roman" w:eastAsia="黑体" w:cs="Times New Roman"/>
          <w:sz w:val="48"/>
          <w:szCs w:val="48"/>
        </w:r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目    录</w:t>
      </w:r>
    </w:p>
    <w:p>
      <w:pPr>
        <w:widowControl/>
        <w:spacing w:after="160" w:line="580" w:lineRule="exact"/>
        <w:ind w:firstLine="640" w:firstLineChars="200"/>
        <w:rPr>
          <w:rFonts w:ascii="Times New Roman" w:hAnsi="Times New Roman" w:eastAsia="黑体" w:cs="Times New Roman"/>
          <w:sz w:val="32"/>
          <w:szCs w:val="32"/>
        </w:rPr>
      </w:pP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第一部分   单位概况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二、机构设置</w:t>
      </w:r>
    </w:p>
    <w:p>
      <w:pPr>
        <w:widowControl/>
        <w:spacing w:before="0" w:beforeLines="0" w:beforeAutospacing="0" w:after="0" w:afterLines="0" w:afterAutospacing="0" w:line="360" w:lineRule="auto"/>
        <w:jc w:val="left"/>
        <w:outlineLvl w:val="0"/>
        <w:rPr>
          <w:rFonts w:ascii="Times New Roman" w:eastAsia="黑体"/>
          <w:sz w:val="32"/>
          <w:szCs w:val="32"/>
        </w:rPr>
      </w:pPr>
      <w:r>
        <w:rPr>
          <w:rFonts w:ascii="Times New Roman" w:eastAsia="黑体"/>
          <w:b w:val="0"/>
          <w:sz w:val="32"/>
          <w:szCs w:val="32"/>
        </w:rPr>
        <w:t>第二部分   2024年度部门决算报表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五、一般公共预算财政拨款支出决算表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六、一般公共预算财政拨款基本支出决算明细表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七、政府性基金预算财政拨款收入支出决算表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八、国有资本经营预算财政拨款支出决算表</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九、财政拨款“三公”经费支出决算表</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第三部分   2024年度部门决算情况说明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四、财政拨款收入支出决算总体情况说明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五、财政拨款“三公”经费支出决算情况说明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九、关于2024年度绩效评价情况的说明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十、其他需要说明的情况</w:t>
      </w:r>
    </w:p>
    <w:p>
      <w:pPr>
        <w:widowControl/>
        <w:spacing w:before="0" w:beforeLines="0" w:beforeAutospacing="0" w:after="0" w:afterLines="0" w:afterAutospacing="0" w:line="360" w:lineRule="auto"/>
        <w:jc w:val="left"/>
        <w:rPr>
          <w:rFonts w:ascii="Times New Roman" w:eastAsia="黑体"/>
          <w:sz w:val="32"/>
          <w:szCs w:val="32"/>
        </w:rPr>
      </w:pPr>
      <w:r>
        <w:rPr>
          <w:rFonts w:ascii="Times New Roman" w:eastAsia="黑体"/>
          <w:b w:val="0"/>
          <w:sz w:val="32"/>
          <w:szCs w:val="32"/>
        </w:rPr>
        <w:t>第四部分   名词解释</w:t>
      </w:r>
    </w:p>
    <w:p>
      <w:pPr>
        <w:widowControl/>
        <w:spacing w:after="160" w:line="580" w:lineRule="exact"/>
        <w:rPr>
          <w:rFonts w:hint="eastAsia" w:ascii="Times New Roman" w:hAnsi="Times New Roman" w:eastAsia="黑体" w:cs="Times New Roman"/>
          <w:sz w:val="32"/>
          <w:szCs w:val="32"/>
          <w:lang w:val="en-US" w:eastAsia="zh-CN"/>
        </w:rPr>
        <w:sectPr>
          <w:headerReference r:id="rId6" w:type="first"/>
          <w:footerReference r:id="rId8" w:type="first"/>
          <w:headerReference r:id="rId5" w:type="default"/>
          <w:footerReference r:id="rId7" w:type="default"/>
          <w:pgSz w:w="11906" w:h="16838"/>
          <w:pgMar w:top="1474" w:right="1531" w:bottom="1474" w:left="1531" w:header="851" w:footer="992" w:gutter="0"/>
          <w:pgBorders>
            <w:top w:val="none" w:sz="0" w:space="0"/>
            <w:left w:val="none" w:sz="0" w:space="0"/>
            <w:bottom w:val="none" w:sz="0" w:space="0"/>
            <w:right w:val="none" w:sz="0" w:space="0"/>
          </w:pgBorders>
          <w:cols w:space="0" w:num="1"/>
          <w:titlePg/>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第一部分   单位概况</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一、单位职责</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1．主要职能。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二、机构设置</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从决算编报单位构成看，纳入2024年度本部门决算汇编范围的独立核算单位（以下简称“单位”）共1个，具体情况如下：</w:t>
      </w:r>
    </w:p>
    <w:tbl>
      <w:tblPr>
        <w:tblStyle w:val="12"/>
        <w:tblpPr w:leftFromText="180" w:rightFromText="180" w:vertAnchor="text" w:horzAnchor="page" w:tblpXSpec="center" w:tblpY="10"/>
        <w:tblOverlap w:val="never"/>
        <w:tblW w:w="958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5"/>
        <w:gridCol w:w="3485"/>
        <w:gridCol w:w="2445"/>
        <w:gridCol w:w="266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1" w:hRule="atLeast"/>
          <w:jc w:val="center"/>
        </w:trPr>
        <w:tc>
          <w:tcPr>
            <w:tcW w:w="9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序号</w:t>
            </w:r>
          </w:p>
        </w:tc>
        <w:tc>
          <w:tcPr>
            <w:tcW w:w="348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单位名称</w:t>
            </w:r>
          </w:p>
        </w:tc>
        <w:tc>
          <w:tcPr>
            <w:tcW w:w="244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单位基本性质</w:t>
            </w:r>
          </w:p>
        </w:tc>
        <w:tc>
          <w:tcPr>
            <w:tcW w:w="2665" w:type="dxa"/>
            <w:vAlign w:val="center"/>
          </w:tcPr>
          <w:p>
            <w:pPr>
              <w:spacing w:line="560" w:lineRule="exact"/>
              <w:jc w:val="center"/>
              <w:rPr>
                <w:rFonts w:ascii="仿宋_GB2312" w:hAnsi="Calibri" w:eastAsia="仿宋_GB2312" w:cs="ArialUnicodeMS"/>
                <w:b/>
                <w:bCs/>
                <w:kern w:val="0"/>
                <w:sz w:val="28"/>
                <w:szCs w:val="28"/>
              </w:rPr>
            </w:pPr>
            <w:r>
              <w:rPr>
                <w:rFonts w:hint="eastAsia" w:ascii="仿宋_GB2312" w:hAnsi="Calibri" w:eastAsia="仿宋_GB2312" w:cs="ArialUnicodeMS"/>
                <w:b/>
                <w:bCs/>
                <w:kern w:val="0"/>
                <w:sz w:val="28"/>
                <w:szCs w:val="28"/>
              </w:rPr>
              <w:t>经费形式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9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1</w:t>
            </w:r>
          </w:p>
        </w:tc>
        <w:tc>
          <w:tcPr>
            <w:tcW w:w="348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石家庄市鹿泉区投资促进局(本级)</w:t>
            </w:r>
          </w:p>
        </w:tc>
        <w:tc>
          <w:tcPr>
            <w:tcW w:w="244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rPr>
              <w:t>行政单位</w:t>
            </w:r>
          </w:p>
        </w:tc>
        <w:tc>
          <w:tcPr>
            <w:tcW w:w="2665" w:type="dxa"/>
          </w:tcPr>
          <w:p>
            <w:pPr>
              <w:spacing w:line="560" w:lineRule="exact"/>
              <w:jc w:val="center"/>
              <w:rPr>
                <w:rFonts w:ascii="仿宋_GB2312" w:hAnsi="Calibri" w:eastAsia="仿宋_GB2312" w:cs="ArialUnicodeMS"/>
                <w:kern w:val="0"/>
                <w:sz w:val="28"/>
                <w:szCs w:val="28"/>
              </w:rPr>
            </w:pPr>
            <w:r>
              <w:rPr>
                <w:rFonts w:hint="eastAsia" w:ascii="仿宋_GB2312" w:hAnsi="Calibri" w:eastAsia="仿宋_GB2312" w:cs="ArialUnicodeMS"/>
                <w:kern w:val="0"/>
                <w:sz w:val="28"/>
                <w:szCs w:val="28"/>
                <w:lang w:val="en-US" w:eastAsia="zh-CN"/>
              </w:rPr>
              <w:t>全额</w:t>
            </w:r>
          </w:p>
        </w:tc>
      </w:tr>
    </w:tbl>
    <w:p>
      <w:pPr>
        <w:rPr>
          <w:rFonts w:hint="eastAsia" w:ascii="Times New Roman" w:hAnsi="Times New Roman" w:eastAsia="黑体" w:cs="Times New Roman"/>
          <w:sz w:val="32"/>
          <w:szCs w:val="32"/>
          <w:highlight w:val="yellow"/>
        </w:rPr>
      </w:pPr>
      <w:r>
        <w:rPr>
          <w:rFonts w:hint="eastAsia" w:ascii="Times New Roman" w:hAnsi="Times New Roman" w:eastAsia="黑体" w:cs="Times New Roman"/>
          <w:sz w:val="32"/>
          <w:szCs w:val="32"/>
          <w:highlight w:val="yellow"/>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第二部分   </w:t>
      </w:r>
      <w:r>
        <w:rPr>
          <w:rFonts w:ascii="Times New Roman" w:eastAsia="仿宋_GB2312"/>
          <w:b w:val="0"/>
          <w:sz w:val="44"/>
          <w:szCs w:val="44"/>
        </w:rPr>
        <w:t>2024</w:t>
      </w:r>
      <w:r>
        <w:rPr>
          <w:rFonts w:ascii="Times New Roman" w:eastAsia="黑体"/>
          <w:b w:val="0"/>
          <w:sz w:val="44"/>
          <w:szCs w:val="44"/>
        </w:rPr>
        <w:t>年度部门决算表</w:t>
      </w:r>
    </w:p>
    <w:tbl>
      <w:tblPr>
        <w:tblStyle w:val="12"/>
        <w:tblW w:w="7250" w:type="pct"/>
        <w:tblInd w:w="-18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346"/>
        <w:gridCol w:w="624"/>
        <w:gridCol w:w="611"/>
        <w:gridCol w:w="1317"/>
        <w:gridCol w:w="1628"/>
        <w:gridCol w:w="1547"/>
        <w:gridCol w:w="624"/>
        <w:gridCol w:w="1928"/>
        <w:gridCol w:w="3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61" w:hRule="atLeast"/>
        </w:trPr>
        <w:tc>
          <w:tcPr>
            <w:tcW w:w="4985" w:type="pct"/>
            <w:gridSpan w:val="8"/>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7" w:hRule="atLeast"/>
        </w:trPr>
        <w:tc>
          <w:tcPr>
            <w:tcW w:w="4985" w:type="pct"/>
            <w:gridSpan w:val="8"/>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公开</w:t>
            </w:r>
            <w:r>
              <w:rPr>
                <w:rFonts w:hint="eastAsia" w:ascii="Times New Roman" w:hAnsi="Times New Roman" w:eastAsia="宋体" w:cs="Times New Roman"/>
                <w:i w:val="0"/>
                <w:iCs w:val="0"/>
                <w:color w:val="000000"/>
                <w:sz w:val="20"/>
                <w:szCs w:val="20"/>
                <w:highlight w:val="none"/>
                <w:u w:val="none"/>
                <w:lang w:val="en-US" w:eastAsia="zh-CN"/>
              </w:rPr>
              <w:t>01</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51" w:hRule="atLeast"/>
        </w:trPr>
        <w:tc>
          <w:tcPr>
            <w:tcW w:w="1964" w:type="pct"/>
            <w:gridSpan w:val="3"/>
            <w:tcBorders>
              <w:top w:val="nil"/>
              <w:left w:val="nil"/>
              <w:bottom w:val="single" w:color="auto" w:sz="4" w:space="0"/>
              <w:right w:val="nil"/>
            </w:tcBorders>
            <w:noWrap/>
            <w:vAlign w:val="bottom"/>
          </w:tcPr>
          <w:p>
            <w:pPr>
              <w:jc w:val="both"/>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部门（单位）：石家庄市鹿泉区投资促进局(本级)</w:t>
            </w:r>
          </w:p>
        </w:tc>
        <w:tc>
          <w:tcPr>
            <w:tcW w:w="1262" w:type="pct"/>
            <w:gridSpan w:val="2"/>
            <w:tcBorders>
              <w:top w:val="nil"/>
              <w:left w:val="nil"/>
              <w:bottom w:val="single" w:color="auto" w:sz="4" w:space="0"/>
              <w:right w:val="nil"/>
            </w:tcBorders>
            <w:noWrap/>
            <w:vAlign w:val="bottom"/>
          </w:tcPr>
          <w:p>
            <w:pPr>
              <w:jc w:val="center"/>
              <w:rPr>
                <w:rFonts w:hint="default" w:ascii="宋体" w:hAnsi="宋体" w:eastAsia="宋体" w:cs="宋体"/>
                <w:i w:val="0"/>
                <w:iCs w:val="0"/>
                <w:color w:val="000000"/>
                <w:kern w:val="0"/>
                <w:sz w:val="20"/>
                <w:szCs w:val="20"/>
                <w:highlight w:val="none"/>
                <w:u w:val="none"/>
                <w:lang w:val="en-US" w:eastAsia="zh-CN" w:bidi="ar"/>
              </w:rPr>
            </w:pPr>
            <w:r>
              <w:rPr>
                <w:rFonts w:hint="eastAsia" w:ascii="Times New Roman" w:hAnsi="Times New Roman" w:eastAsia="宋体" w:cs="Times New Roman"/>
                <w:i w:val="0"/>
                <w:iCs w:val="0"/>
                <w:color w:val="000000"/>
                <w:sz w:val="20"/>
                <w:szCs w:val="20"/>
                <w:highlight w:val="none"/>
                <w:u w:val="none"/>
                <w:lang w:val="en-US" w:eastAsia="zh-CN"/>
              </w:rPr>
              <w:t>2024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57" w:type="pct"/>
            <w:gridSpan w:val="3"/>
            <w:tcBorders>
              <w:top w:val="nil"/>
              <w:left w:val="nil"/>
              <w:bottom w:val="single" w:color="auto" w:sz="4" w:space="0"/>
              <w:right w:val="nil"/>
            </w:tcBorders>
            <w:noWrap/>
            <w:vAlign w:val="bottom"/>
          </w:tcPr>
          <w:p>
            <w:pPr>
              <w:jc w:val="right"/>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544" w:hRule="atLeast"/>
        </w:trPr>
        <w:tc>
          <w:tcPr>
            <w:tcW w:w="2529" w:type="pct"/>
            <w:gridSpan w:val="4"/>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收入</w:t>
            </w:r>
          </w:p>
        </w:tc>
        <w:tc>
          <w:tcPr>
            <w:tcW w:w="2456" w:type="pct"/>
            <w:gridSpan w:val="4"/>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1</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267"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82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Times New Roman" w:hAnsi="Times New Roman" w:eastAsia="宋体" w:cs="Times New Roman"/>
                <w:i w:val="0"/>
                <w:iCs w:val="0"/>
                <w:color w:val="000000"/>
                <w:sz w:val="20"/>
                <w:szCs w:val="20"/>
                <w:highlight w:val="none"/>
                <w:u w:val="none"/>
                <w:lang w:val="en-US" w:eastAsia="zh-CN"/>
              </w:rPr>
              <w:t>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宋体" w:hAnsi="宋体" w:eastAsia="宋体" w:cs="宋体"/>
                <w:i w:val="0"/>
                <w:iCs w:val="0"/>
                <w:color w:val="000000"/>
                <w:sz w:val="20"/>
                <w:szCs w:val="20"/>
                <w:highlight w:val="none"/>
                <w:u w:val="none"/>
                <w:lang w:val="en-US" w:eastAsia="zh-CN"/>
              </w:rPr>
              <w:t>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471.92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四、上级补助收入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五、事业收入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六、经营收入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七、附属单位上缴收入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八、其他收入</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40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826"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7"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826"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50</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826"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7"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826"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826"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7"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826"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使用非财政拨款结余（含专用结余）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结余分配</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eastAsia="zh-CN"/>
              </w:rPr>
            </w:pPr>
            <w:r>
              <w:rPr>
                <w:rFonts w:hint="default" w:ascii="Times New Roman" w:hAnsi="Times New Roman" w:eastAsia="宋体" w:cs="Times New Roman"/>
                <w:i w:val="0"/>
                <w:iCs w:val="0"/>
                <w:color w:val="000000"/>
                <w:sz w:val="20"/>
                <w:szCs w:val="20"/>
                <w:highlight w:val="none"/>
                <w:u w:val="none"/>
                <w:lang w:val="en-US" w:eastAsia="zh-CN"/>
              </w:rPr>
              <w:t>60</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476"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pP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gridAfter w:val="1"/>
          <w:wAfter w:w="14" w:type="pct"/>
          <w:trHeight w:val="308" w:hRule="atLeast"/>
        </w:trPr>
        <w:tc>
          <w:tcPr>
            <w:tcW w:w="1434"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82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1361"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lang w:val="en-US"/>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82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注：1.本表反映部门本年度的总收支和年末结转结余情况。</w:t>
            </w:r>
          </w:p>
          <w:p>
            <w:pPr>
              <w:keepNext w:val="0"/>
              <w:keepLines w:val="0"/>
              <w:widowControl/>
              <w:suppressLineNumbers w:val="0"/>
              <w:ind w:firstLine="400" w:firstLineChars="20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2.本套报表金额转换时可能存在尾数误差。</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923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60"/>
        <w:gridCol w:w="1037"/>
        <w:gridCol w:w="1037"/>
        <w:gridCol w:w="1037"/>
        <w:gridCol w:w="964"/>
        <w:gridCol w:w="367"/>
        <w:gridCol w:w="597"/>
        <w:gridCol w:w="1027"/>
        <w:gridCol w:w="96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收入决算表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9230" w:type="dxa"/>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eastAsia" w:ascii="Times New Roman" w:hAnsi="Times New Roman" w:eastAsia="宋体" w:cs="Times New Roman"/>
                <w:i w:val="0"/>
                <w:iCs w:val="0"/>
                <w:color w:val="000000"/>
                <w:sz w:val="20"/>
                <w:szCs w:val="20"/>
                <w:highlight w:val="none"/>
                <w:u w:val="none"/>
                <w:lang w:val="en-US" w:eastAsia="zh-CN"/>
              </w:rPr>
              <w:t>02</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3237" w:type="dxa"/>
            <w:gridSpan w:val="3"/>
            <w:tcBorders>
              <w:top w:val="nil"/>
              <w:left w:val="nil"/>
              <w:bottom w:val="single" w:color="auto" w:sz="4" w:space="0"/>
              <w:right w:val="nil"/>
            </w:tcBorders>
            <w:noWrap/>
            <w:vAlign w:val="bottom"/>
          </w:tcPr>
          <w:p>
            <w:pP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部门（单位）：石家庄市鹿泉区投资促进局(本级)                                                                                                         </w:t>
            </w:r>
          </w:p>
        </w:tc>
        <w:tc>
          <w:tcPr>
            <w:tcW w:w="3405" w:type="dxa"/>
            <w:gridSpan w:val="4"/>
            <w:tcBorders>
              <w:top w:val="nil"/>
              <w:left w:val="nil"/>
              <w:bottom w:val="single" w:color="auto" w:sz="4" w:space="0"/>
              <w:right w:val="nil"/>
            </w:tcBorders>
            <w:noWrap/>
            <w:vAlign w:val="bottom"/>
          </w:tcPr>
          <w:p>
            <w:pPr>
              <w:jc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default" w:ascii="Times New Roman" w:hAnsi="Times New Roman" w:eastAsia="方正仿宋_GB2312" w:cs="Times New Roman"/>
                <w:i w:val="0"/>
                <w:iCs w:val="0"/>
                <w:color w:val="000000"/>
                <w:sz w:val="20"/>
                <w:szCs w:val="20"/>
                <w:highlight w:val="none"/>
                <w:u w:val="none"/>
                <w:lang w:val="en-US" w:eastAsia="zh-CN"/>
              </w:rPr>
              <w:t>202</w:t>
            </w:r>
            <w:r>
              <w:rPr>
                <w:rFonts w:hint="eastAsia" w:ascii="Times New Roman" w:hAnsi="Times New Roman" w:eastAsia="方正仿宋_GB2312" w:cs="Times New Roman"/>
                <w:i w:val="0"/>
                <w:iCs w:val="0"/>
                <w:color w:val="000000"/>
                <w:sz w:val="20"/>
                <w:szCs w:val="20"/>
                <w:highlight w:val="none"/>
                <w:u w:val="none"/>
                <w:lang w:val="en-US" w:eastAsia="zh-CN"/>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2588" w:type="dxa"/>
            <w:gridSpan w:val="3"/>
            <w:tcBorders>
              <w:top w:val="nil"/>
              <w:left w:val="nil"/>
              <w:bottom w:val="single" w:color="auto" w:sz="4" w:space="0"/>
              <w:right w:val="nil"/>
            </w:tcBorders>
            <w:noWrap/>
            <w:vAlign w:val="bottom"/>
          </w:tcPr>
          <w:p>
            <w:pPr>
              <w:jc w:val="right"/>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2200" w:type="dxa"/>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本年收入合计</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财政拨款收入</w:t>
            </w:r>
          </w:p>
        </w:tc>
        <w:tc>
          <w:tcPr>
            <w:tcW w:w="103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上级补助收入</w:t>
            </w:r>
          </w:p>
        </w:tc>
        <w:tc>
          <w:tcPr>
            <w:tcW w:w="964" w:type="dxa"/>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事业收入</w:t>
            </w:r>
          </w:p>
        </w:tc>
        <w:tc>
          <w:tcPr>
            <w:tcW w:w="964" w:type="dxa"/>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经营收入</w:t>
            </w:r>
          </w:p>
        </w:tc>
        <w:tc>
          <w:tcPr>
            <w:tcW w:w="1027"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附属单位上缴收入</w:t>
            </w:r>
          </w:p>
        </w:tc>
        <w:tc>
          <w:tcPr>
            <w:tcW w:w="964" w:type="dxa"/>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其他收入</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160" w:type="dxa"/>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jc w:val="center"/>
        </w:trPr>
        <w:tc>
          <w:tcPr>
            <w:tcW w:w="1040" w:type="dxa"/>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160" w:type="dxa"/>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3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027"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964" w:type="dxa"/>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103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4</w:t>
            </w:r>
          </w:p>
        </w:tc>
        <w:tc>
          <w:tcPr>
            <w:tcW w:w="964" w:type="dxa"/>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c>
          <w:tcPr>
            <w:tcW w:w="1027"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6</w:t>
            </w:r>
          </w:p>
        </w:tc>
        <w:tc>
          <w:tcPr>
            <w:tcW w:w="964" w:type="dxa"/>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7" w:hRule="atLeast"/>
          <w:jc w:val="center"/>
        </w:trPr>
        <w:tc>
          <w:tcPr>
            <w:tcW w:w="2200" w:type="dxa"/>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646.79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rPr>
              <w:t>646.79</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一般公共服务支出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471.92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471.92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20113</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商贸事务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471.92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471.92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2011301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行政运行</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391.50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2011302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一般行政管理事务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9.50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2011308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招商引资</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70.92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科学技术支出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技术研究与开发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2060404</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科技成果转化与扩散</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90.00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社会保障和就业支出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行政事业单位养老支出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2080505</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机关事业单位基本养老保险缴费支出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31.41</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卫生健康支出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行政事业单位医疗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2101101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行政单位医疗</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22.93</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216</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商业服务业等支出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21602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商业流通事务</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2160217</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市场监测及信息管理</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1.00</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住房保障支出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住房改革支出</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040" w:type="dxa"/>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2210201</w:t>
            </w:r>
          </w:p>
        </w:tc>
        <w:tc>
          <w:tcPr>
            <w:tcW w:w="1160" w:type="dxa"/>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kern w:val="0"/>
                <w:sz w:val="20"/>
                <w:szCs w:val="20"/>
                <w:highlight w:val="none"/>
                <w:u w:val="none"/>
                <w:lang w:val="en-US" w:eastAsia="zh-CN" w:bidi="ar-SA"/>
              </w:rPr>
            </w:pPr>
            <w:r>
              <w:rPr>
                <w:rFonts w:hint="eastAsia" w:ascii="方正仿宋_GB2312" w:hAnsi="方正仿宋_GB2312" w:eastAsia="方正仿宋_GB2312" w:cs="方正仿宋_GB2312"/>
                <w:spacing w:val="-2"/>
                <w:sz w:val="20"/>
                <w:szCs w:val="20"/>
                <w:lang w:val="en-US" w:eastAsia="zh-CN"/>
              </w:rPr>
              <w:t>住房公积金</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r>
              <w:rPr>
                <w:rFonts w:hint="default" w:ascii="Times New Roman" w:hAnsi="Times New Roman" w:eastAsia="宋体" w:cs="Times New Roman"/>
                <w:spacing w:val="-2"/>
                <w:sz w:val="20"/>
                <w:szCs w:val="20"/>
                <w:lang w:val="en-US" w:eastAsia="zh-CN"/>
              </w:rPr>
              <w:t>29.52</w:t>
            </w:r>
          </w:p>
        </w:tc>
        <w:tc>
          <w:tcPr>
            <w:tcW w:w="103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1027"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c>
          <w:tcPr>
            <w:tcW w:w="964" w:type="dxa"/>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kern w:val="0"/>
                <w:sz w:val="20"/>
                <w:szCs w:val="20"/>
                <w:highlight w:val="none"/>
                <w:u w:val="none"/>
                <w:lang w:val="en-US" w:eastAsia="zh-CN" w:bidi="ar-SA"/>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9230" w:type="dxa"/>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注：本表反映部门本年度取得的各项收入情况。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黑体" w:hAnsi="黑体" w:eastAsia="黑体" w:cs="宋体"/>
          <w:bCs/>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12" w:type="pct"/>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040"/>
        <w:gridCol w:w="1187"/>
        <w:gridCol w:w="1128"/>
        <w:gridCol w:w="126"/>
        <w:gridCol w:w="1000"/>
        <w:gridCol w:w="1126"/>
        <w:gridCol w:w="497"/>
        <w:gridCol w:w="629"/>
        <w:gridCol w:w="1126"/>
        <w:gridCol w:w="14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550" w:hRule="atLeast"/>
          <w:jc w:val="center"/>
        </w:trPr>
        <w:tc>
          <w:tcPr>
            <w:tcW w:w="5000" w:type="pct"/>
            <w:gridSpan w:val="10"/>
            <w:tcBorders>
              <w:top w:val="nil"/>
              <w:left w:val="nil"/>
              <w:bottom w:val="nil"/>
              <w:right w:val="nil"/>
            </w:tcBorders>
            <w:noWrap/>
            <w:vAlign w:val="bottom"/>
          </w:tcPr>
          <w:p>
            <w:pPr>
              <w:keepNext w:val="0"/>
              <w:keepLines w:val="0"/>
              <w:pageBreakBefore w:val="0"/>
              <w:widowControl w:val="0"/>
              <w:kinsoku/>
              <w:wordWrap/>
              <w:overflowPunct/>
              <w:topLinePunct w:val="0"/>
              <w:autoSpaceDE/>
              <w:autoSpaceDN/>
              <w:bidi w:val="0"/>
              <w:adjustRightInd/>
              <w:snapToGrid/>
              <w:spacing w:line="240" w:lineRule="auto"/>
              <w:jc w:val="center"/>
              <w:textAlignment w:val="auto"/>
              <w:outlineLvl w:val="1"/>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br w:type="page"/>
            </w:r>
            <w:r>
              <w:rPr>
                <w:rFonts w:hint="eastAsia" w:ascii="方正仿宋_GB2312" w:hAnsi="方正仿宋_GB2312" w:eastAsia="方正仿宋_GB2312" w:cs="方正仿宋_GB2312"/>
                <w:b w:val="0"/>
                <w:bCs/>
                <w:color w:val="auto"/>
                <w:kern w:val="0"/>
                <w:sz w:val="32"/>
                <w:szCs w:val="32"/>
                <w:highlight w:val="none"/>
                <w:lang w:val="en-US" w:eastAsia="zh-CN"/>
              </w:rPr>
              <w:t>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5000" w:type="pct"/>
            <w:gridSpan w:val="10"/>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03</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jc w:val="center"/>
        </w:trPr>
        <w:tc>
          <w:tcPr>
            <w:tcW w:w="1862" w:type="pct"/>
            <w:gridSpan w:val="4"/>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部门（单位）：石家庄市鹿泉区投资促进局(本级)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140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eastAsiaTheme="minorEastAsia"/>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73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jc w:val="center"/>
        </w:trPr>
        <w:tc>
          <w:tcPr>
            <w:tcW w:w="1191" w:type="pct"/>
            <w:gridSpan w:val="2"/>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0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本年支出合计</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602" w:type="pct"/>
            <w:gridSpan w:val="2"/>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上缴上级支出</w:t>
            </w:r>
          </w:p>
        </w:tc>
        <w:tc>
          <w:tcPr>
            <w:tcW w:w="602"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经营支出</w:t>
            </w:r>
          </w:p>
        </w:tc>
        <w:tc>
          <w:tcPr>
            <w:tcW w:w="795"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6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35" w:type="pct"/>
            <w:vMerge w:val="continue"/>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gridSpan w:val="2"/>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602"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95"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4"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03"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2" w:type="pct"/>
            <w:gridSpan w:val="2"/>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2"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795" w:type="pc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1191" w:type="pct"/>
            <w:gridSpan w:val="2"/>
            <w:tcBorders>
              <w:top w:val="single" w:color="000000"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390.37</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256.42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471.92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306.50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商贸事务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471.92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306.50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391.50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306.50</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招商引资</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技术研究与开发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2060404</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科技成果转化与扩散</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商业服务业等支出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商业流通事务</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2160217</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市场监测及信息管理</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56" w:type="pct"/>
            <w:tcBorders>
              <w:top w:val="nil"/>
              <w:left w:val="single" w:color="000000" w:sz="4" w:space="0"/>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635" w:type="pct"/>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60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60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9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jc w:val="center"/>
        </w:trPr>
        <w:tc>
          <w:tcPr>
            <w:tcW w:w="5000" w:type="pct"/>
            <w:gridSpan w:val="10"/>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注：本表反映部门本年度各项支出情况。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281" w:type="pct"/>
        <w:tblInd w:w="-18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984"/>
        <w:gridCol w:w="624"/>
        <w:gridCol w:w="1427"/>
        <w:gridCol w:w="1659"/>
        <w:gridCol w:w="439"/>
        <w:gridCol w:w="624"/>
        <w:gridCol w:w="458"/>
        <w:gridCol w:w="837"/>
        <w:gridCol w:w="1219"/>
        <w:gridCol w:w="1219"/>
        <w:gridCol w:w="12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财政拨款收入支出决算总表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2431" w:type="pct"/>
            <w:gridSpan w:val="4"/>
            <w:tcBorders>
              <w:top w:val="nil"/>
              <w:left w:val="nil"/>
              <w:bottom w:val="single" w:color="auto" w:sz="4" w:space="0"/>
              <w:right w:val="nil"/>
            </w:tcBorders>
            <w:noWrap/>
            <w:vAlign w:val="bottom"/>
          </w:tcPr>
          <w:p>
            <w:pPr>
              <w:rPr>
                <w:rFonts w:hint="eastAsia" w:ascii="仿宋" w:hAnsi="仿宋" w:eastAsia="仿宋" w:cs="仿宋"/>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部门（单位）：石家庄市鹿泉区投资促进局(本级) </w:t>
            </w:r>
            <w:r>
              <w:rPr>
                <w:rFonts w:hint="eastAsia" w:asciiTheme="minorEastAsia" w:hAnsiTheme="minorEastAsia" w:eastAsiaTheme="minorEastAsia" w:cstheme="minorEastAsia"/>
                <w:i w:val="0"/>
                <w:iCs w:val="0"/>
                <w:color w:val="000000"/>
                <w:kern w:val="0"/>
                <w:sz w:val="20"/>
                <w:szCs w:val="20"/>
                <w:highlight w:val="none"/>
                <w:u w:val="none"/>
                <w:lang w:val="en-US" w:eastAsia="zh-CN" w:bidi="ar"/>
              </w:rPr>
              <w:t xml:space="preserve">                                                                                                   </w:t>
            </w:r>
          </w:p>
        </w:tc>
        <w:tc>
          <w:tcPr>
            <w:tcW w:w="649" w:type="pct"/>
            <w:gridSpan w:val="3"/>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919"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723" w:type="pct"/>
            <w:gridSpan w:val="3"/>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收入</w:t>
            </w:r>
          </w:p>
        </w:tc>
        <w:tc>
          <w:tcPr>
            <w:tcW w:w="3276" w:type="pct"/>
            <w:gridSpan w:val="8"/>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    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609"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金额</w:t>
            </w:r>
          </w:p>
        </w:tc>
        <w:tc>
          <w:tcPr>
            <w:tcW w:w="895"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26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行次</w:t>
            </w:r>
          </w:p>
        </w:tc>
        <w:tc>
          <w:tcPr>
            <w:tcW w:w="552" w:type="pct"/>
            <w:gridSpan w:val="2"/>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合计</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一般公共预算财政拨款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政府性基金预算财政拨款</w:t>
            </w:r>
          </w:p>
        </w:tc>
        <w:tc>
          <w:tcPr>
            <w:tcW w:w="520" w:type="pct"/>
            <w:vMerge w:val="restart"/>
            <w:tcBorders>
              <w:top w:val="nil"/>
              <w:left w:val="nil"/>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847"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09"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895"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26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52" w:type="pct"/>
            <w:gridSpan w:val="2"/>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520" w:type="pct"/>
            <w:vMerge w:val="continue"/>
            <w:tcBorders>
              <w:left w:val="nil"/>
              <w:bottom w:val="single" w:color="000000" w:sz="4" w:space="0"/>
              <w:right w:val="single" w:color="000000" w:sz="8"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60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1</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    次</w:t>
            </w:r>
          </w:p>
        </w:tc>
        <w:tc>
          <w:tcPr>
            <w:tcW w:w="266" w:type="pct"/>
            <w:tcBorders>
              <w:top w:val="nil"/>
              <w:left w:val="nil"/>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552"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2</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3</w:t>
            </w:r>
          </w:p>
        </w:tc>
        <w:tc>
          <w:tcPr>
            <w:tcW w:w="52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4</w:t>
            </w:r>
          </w:p>
        </w:tc>
        <w:tc>
          <w:tcPr>
            <w:tcW w:w="520" w:type="pct"/>
            <w:tcBorders>
              <w:top w:val="nil"/>
              <w:left w:val="nil"/>
              <w:bottom w:val="single" w:color="000000" w:sz="4" w:space="0"/>
              <w:right w:val="single" w:color="000000" w:sz="8"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rPr>
            </w:pPr>
            <w:r>
              <w:rPr>
                <w:rFonts w:hint="eastAsia" w:ascii="宋体" w:hAnsi="宋体" w:eastAsia="宋体" w:cs="宋体"/>
                <w:i w:val="0"/>
                <w:iCs w:val="0"/>
                <w:color w:val="000000"/>
                <w:kern w:val="0"/>
                <w:sz w:val="20"/>
                <w:szCs w:val="20"/>
                <w:highlight w:val="none"/>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一、一般公共服务支出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471.92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471.92</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二、外交支出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34</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35</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四、公共安全支出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36</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五、教育支出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六、科学技术支出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90.00</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七、文化旅游体育与传媒支出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八、社会保障和就业支出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31.41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31.41</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九、卫生健康支出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22.93</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十、节能环保支出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十一、城乡社区支出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auto"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12</w:t>
            </w:r>
          </w:p>
        </w:tc>
        <w:tc>
          <w:tcPr>
            <w:tcW w:w="609"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auto"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十二、农林水支出</w:t>
            </w:r>
          </w:p>
        </w:tc>
        <w:tc>
          <w:tcPr>
            <w:tcW w:w="266" w:type="pct"/>
            <w:tcBorders>
              <w:top w:val="nil"/>
              <w:left w:val="nil"/>
              <w:bottom w:val="single" w:color="auto"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44</w:t>
            </w:r>
          </w:p>
        </w:tc>
        <w:tc>
          <w:tcPr>
            <w:tcW w:w="552" w:type="pct"/>
            <w:gridSpan w:val="2"/>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auto"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十三、交通运输支出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14</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十四、资源勘探工业信息等支出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46</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15</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十五、商业服务业等支出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47</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1.00</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16</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十六、金融支出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48</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17</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十七、援助其他地区支出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49</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18</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十八、自然资源海洋气象等支出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50</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19</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十九、住房保障支出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51</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29.52</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29.52</w:t>
            </w: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20</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二十、粮油物资储备支出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52</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21</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二十一、国有资本经营预算支出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53</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22</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二十二、灾害防治及应急管理支出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54</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23</w:t>
            </w:r>
          </w:p>
        </w:tc>
        <w:tc>
          <w:tcPr>
            <w:tcW w:w="60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二十三、其他支出</w:t>
            </w:r>
          </w:p>
        </w:tc>
        <w:tc>
          <w:tcPr>
            <w:tcW w:w="266"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55</w:t>
            </w:r>
          </w:p>
        </w:tc>
        <w:tc>
          <w:tcPr>
            <w:tcW w:w="552"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single" w:color="auto" w:sz="4" w:space="0"/>
              <w:left w:val="single" w:color="000000" w:sz="4" w:space="0"/>
              <w:bottom w:val="single" w:color="000000" w:sz="4" w:space="0"/>
              <w:right w:val="single" w:color="000000" w:sz="4" w:space="0"/>
            </w:tcBorders>
            <w:noWrap/>
            <w:vAlign w:val="center"/>
          </w:tcPr>
          <w:p>
            <w:pPr>
              <w:jc w:val="left"/>
              <w:rPr>
                <w:rFonts w:hint="eastAsia" w:ascii="宋体" w:hAnsi="宋体" w:eastAsia="宋体" w:cs="宋体"/>
                <w:i w:val="0"/>
                <w:iCs w:val="0"/>
                <w:color w:val="000000"/>
                <w:sz w:val="20"/>
                <w:szCs w:val="20"/>
                <w:highlight w:val="none"/>
                <w:u w:val="none"/>
              </w:rPr>
            </w:pP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24</w:t>
            </w:r>
          </w:p>
        </w:tc>
        <w:tc>
          <w:tcPr>
            <w:tcW w:w="609"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二十四、债务还本支出</w:t>
            </w:r>
          </w:p>
        </w:tc>
        <w:tc>
          <w:tcPr>
            <w:tcW w:w="266" w:type="pct"/>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56</w:t>
            </w:r>
          </w:p>
        </w:tc>
        <w:tc>
          <w:tcPr>
            <w:tcW w:w="552" w:type="pct"/>
            <w:gridSpan w:val="2"/>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single" w:color="auto" w:sz="4" w:space="0"/>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b/>
                <w:bCs/>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25</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二十五、债务付息支出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57</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jc w:val="center"/>
              <w:rPr>
                <w:rFonts w:hint="eastAsia" w:ascii="宋体" w:hAnsi="宋体" w:eastAsia="宋体" w:cs="宋体"/>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26</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二十六、抗疫特别国债安排的支出</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58</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本年收入合计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27</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本年支出合计</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59</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28</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年末财政拨款结转和结余</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60</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both"/>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一、一般公共预算财政拨款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29</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61</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二、政府性基金预算财政拨款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30</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62</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三、国有资本经营预算财政拨款</w:t>
            </w: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31</w:t>
            </w:r>
          </w:p>
        </w:tc>
        <w:tc>
          <w:tcPr>
            <w:tcW w:w="60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895" w:type="pct"/>
            <w:gridSpan w:val="2"/>
            <w:tcBorders>
              <w:top w:val="nil"/>
              <w:left w:val="nil"/>
              <w:bottom w:val="single" w:color="000000" w:sz="4" w:space="0"/>
              <w:right w:val="single" w:color="000000"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p>
        </w:tc>
        <w:tc>
          <w:tcPr>
            <w:tcW w:w="26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63</w:t>
            </w:r>
          </w:p>
        </w:tc>
        <w:tc>
          <w:tcPr>
            <w:tcW w:w="552"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4" w:space="0"/>
              <w:right w:val="single" w:color="000000" w:sz="8" w:space="0"/>
            </w:tcBorders>
            <w:noWrap/>
            <w:vAlign w:val="center"/>
          </w:tcPr>
          <w:p>
            <w:pPr>
              <w:jc w:val="lef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847" w:type="pct"/>
            <w:tcBorders>
              <w:top w:val="nil"/>
              <w:left w:val="single" w:color="000000" w:sz="4" w:space="0"/>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32</w:t>
            </w:r>
          </w:p>
        </w:tc>
        <w:tc>
          <w:tcPr>
            <w:tcW w:w="609"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895" w:type="pct"/>
            <w:gridSpan w:val="2"/>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b/>
                <w:bCs/>
                <w:i w:val="0"/>
                <w:iCs w:val="0"/>
                <w:color w:val="000000"/>
                <w:sz w:val="20"/>
                <w:szCs w:val="20"/>
                <w:highlight w:val="none"/>
                <w:u w:val="none"/>
              </w:rPr>
            </w:pPr>
            <w:r>
              <w:rPr>
                <w:rFonts w:hint="eastAsia" w:ascii="方正仿宋_GB2312" w:hAnsi="方正仿宋_GB2312" w:eastAsia="方正仿宋_GB2312" w:cs="方正仿宋_GB2312"/>
                <w:b/>
                <w:bCs/>
                <w:i w:val="0"/>
                <w:iCs w:val="0"/>
                <w:color w:val="000000"/>
                <w:kern w:val="0"/>
                <w:sz w:val="20"/>
                <w:szCs w:val="20"/>
                <w:highlight w:val="none"/>
                <w:u w:val="none"/>
                <w:lang w:val="en-US" w:eastAsia="zh-CN" w:bidi="ar"/>
              </w:rPr>
              <w:t>总计</w:t>
            </w:r>
          </w:p>
        </w:tc>
        <w:tc>
          <w:tcPr>
            <w:tcW w:w="266" w:type="pct"/>
            <w:tcBorders>
              <w:top w:val="nil"/>
              <w:left w:val="nil"/>
              <w:bottom w:val="single" w:color="000000" w:sz="8"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kern w:val="0"/>
                <w:sz w:val="20"/>
                <w:szCs w:val="20"/>
                <w:highlight w:val="none"/>
                <w:u w:val="none"/>
                <w:lang w:val="en-US" w:eastAsia="zh-CN" w:bidi="ar"/>
              </w:rPr>
              <w:t>64</w:t>
            </w:r>
          </w:p>
        </w:tc>
        <w:tc>
          <w:tcPr>
            <w:tcW w:w="552" w:type="pct"/>
            <w:gridSpan w:val="2"/>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cs="Times New Roman"/>
                <w:sz w:val="20"/>
                <w:szCs w:val="20"/>
                <w:highlight w:val="none"/>
              </w:rPr>
            </w:pPr>
          </w:p>
          <w:p>
            <w:pPr>
              <w:jc w:val="right"/>
              <w:rPr>
                <w:rFonts w:hint="default" w:ascii="Times New Roman" w:hAnsi="Times New Roman" w:cs="Times New Roman"/>
                <w:sz w:val="20"/>
                <w:szCs w:val="20"/>
                <w:highlight w:val="none"/>
              </w:rPr>
            </w:pPr>
            <w:r>
              <w:rPr>
                <w:rFonts w:hint="default" w:ascii="Times New Roman" w:hAnsi="Times New Roman" w:cs="Times New Roman"/>
                <w:sz w:val="20"/>
                <w:szCs w:val="20"/>
                <w:highlight w:val="none"/>
              </w:rPr>
              <w:t>646.79</w:t>
            </w:r>
          </w:p>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0" w:type="pct"/>
            <w:tcBorders>
              <w:top w:val="nil"/>
              <w:left w:val="nil"/>
              <w:bottom w:val="single" w:color="000000" w:sz="8" w:space="0"/>
              <w:right w:val="single" w:color="000000" w:sz="8"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11"/>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注：本表反映部门本年度一般公共预算财政拨款、政府性基金预算财政拨款和国有资本经营预算财政拨款的总收支和年末结转结余情况。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348" w:type="pct"/>
        <w:tblInd w:w="-65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autofit"/>
        <w:tblCellMar>
          <w:top w:w="0" w:type="dxa"/>
          <w:left w:w="108" w:type="dxa"/>
          <w:bottom w:w="0" w:type="dxa"/>
          <w:right w:w="108" w:type="dxa"/>
        </w:tblCellMar>
      </w:tblPr>
      <w:tblGrid>
        <w:gridCol w:w="1810"/>
        <w:gridCol w:w="3262"/>
        <w:gridCol w:w="1044"/>
        <w:gridCol w:w="503"/>
        <w:gridCol w:w="526"/>
        <w:gridCol w:w="363"/>
        <w:gridCol w:w="118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7" w:hRule="atLeast"/>
        </w:trPr>
        <w:tc>
          <w:tcPr>
            <w:tcW w:w="5000" w:type="pct"/>
            <w:gridSpan w:val="7"/>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5000" w:type="pct"/>
            <w:gridSpan w:val="7"/>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05</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9" w:hRule="atLeast"/>
        </w:trPr>
        <w:tc>
          <w:tcPr>
            <w:tcW w:w="1868"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编制部门（单位）：石家庄市鹿泉区投资促进局(本级)</w:t>
            </w:r>
          </w:p>
        </w:tc>
        <w:tc>
          <w:tcPr>
            <w:tcW w:w="1541" w:type="pct"/>
            <w:gridSpan w:val="2"/>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Theme="minorEastAsia" w:hAnsiTheme="minorEastAsia" w:eastAsiaTheme="minorEastAsia" w:cstheme="minorEastAsia"/>
                <w:i w:val="0"/>
                <w:iCs w:val="0"/>
                <w:color w:val="000000"/>
                <w:kern w:val="0"/>
                <w:sz w:val="20"/>
                <w:szCs w:val="20"/>
                <w:highlight w:val="none"/>
                <w:u w:val="none"/>
                <w:lang w:val="en-US" w:eastAsia="zh-CN" w:bidi="ar"/>
              </w:rPr>
            </w:pPr>
            <w:r>
              <w:rPr>
                <w:rFonts w:hint="default" w:ascii="Times New Roman" w:hAnsi="Times New Roman" w:cs="Times New Roman"/>
                <w:i w:val="0"/>
                <w:iCs w:val="0"/>
                <w:color w:val="000000"/>
                <w:kern w:val="0"/>
                <w:sz w:val="20"/>
                <w:szCs w:val="20"/>
                <w:highlight w:val="none"/>
                <w:u w:val="none"/>
                <w:lang w:val="en-US" w:eastAsia="zh-CN" w:bidi="ar"/>
              </w:rPr>
              <w:t>202</w:t>
            </w:r>
            <w:r>
              <w:rPr>
                <w:rFonts w:hint="eastAsia" w:ascii="Times New Roman" w:hAnsi="Times New Roman"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590" w:type="pct"/>
            <w:gridSpan w:val="2"/>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3538" w:type="pct"/>
            <w:gridSpan w:val="5"/>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科目代码</w:t>
            </w:r>
          </w:p>
        </w:tc>
        <w:tc>
          <w:tcPr>
            <w:tcW w:w="756"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1160"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1218" w:type="pct"/>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46"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704"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756"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160" w:type="pct"/>
            <w:gridSpan w:val="2"/>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c>
          <w:tcPr>
            <w:tcW w:w="1218" w:type="pct"/>
            <w:vMerge w:val="continue"/>
            <w:tcBorders>
              <w:top w:val="single" w:color="auto" w:sz="4" w:space="0"/>
              <w:left w:val="single" w:color="auto" w:sz="4" w:space="0"/>
              <w:bottom w:val="single" w:color="auto" w:sz="4" w:space="0"/>
              <w:right w:val="single" w:color="auto" w:sz="4" w:space="0"/>
            </w:tcBorders>
            <w:noWrap w:val="0"/>
            <w:vAlign w:val="center"/>
          </w:tcPr>
          <w:p>
            <w:pPr>
              <w:jc w:val="center"/>
              <w:rPr>
                <w:rFonts w:hint="eastAsia" w:ascii="宋体" w:hAnsi="宋体" w:eastAsia="宋体" w:cs="宋体"/>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2</w:t>
            </w:r>
          </w:p>
        </w:tc>
        <w:tc>
          <w:tcPr>
            <w:tcW w:w="1218"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0"/>
                <w:szCs w:val="20"/>
                <w:highlight w:val="none"/>
                <w:u w:val="none"/>
                <w:lang w:val="en-US" w:eastAsia="zh-CN"/>
              </w:rPr>
            </w:pPr>
            <w:r>
              <w:rPr>
                <w:rFonts w:hint="eastAsia" w:ascii="宋体" w:hAnsi="宋体" w:eastAsia="宋体" w:cs="宋体"/>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69" w:hRule="atLeast"/>
        </w:trPr>
        <w:tc>
          <w:tcPr>
            <w:tcW w:w="1461"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646.79</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390.37</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cs="Times New Roman"/>
                <w:sz w:val="20"/>
                <w:szCs w:val="20"/>
                <w:highlight w:val="none"/>
              </w:rPr>
              <w:t>256.42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一般公共服务支出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471.92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306.50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商贸事务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471.92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306.50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165.42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行政运行</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391.50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306.50</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85.00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一般行政管理事务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2011308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招商引资</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70.92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科学技术支出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技术研究与开发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2060404</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科技成果转化与扩散</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90.00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社会保障和就业支出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行政事业单位养老支出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2080505</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机关事业单位基本养老保险缴费支出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31.41</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卫生健康支出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行政事业单位医疗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2101101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行政单位医疗</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22.93</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商业服务业等支出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商业流通事务</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2160217</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市场监测及信息管理</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住房保障支出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住房改革支出</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704"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2210201</w:t>
            </w:r>
          </w:p>
        </w:tc>
        <w:tc>
          <w:tcPr>
            <w:tcW w:w="756"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sz w:val="20"/>
                <w:szCs w:val="20"/>
                <w:highlight w:val="none"/>
                <w:u w:val="none"/>
                <w:lang w:val="en-US" w:eastAsia="zh-CN"/>
              </w:rPr>
              <w:t>住房公积金</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1160"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r>
              <w:rPr>
                <w:rFonts w:hint="default" w:ascii="Times New Roman" w:hAnsi="Times New Roman" w:eastAsia="宋体" w:cs="Times New Roman"/>
                <w:i w:val="0"/>
                <w:iCs w:val="0"/>
                <w:color w:val="000000"/>
                <w:sz w:val="20"/>
                <w:szCs w:val="20"/>
                <w:highlight w:val="none"/>
                <w:u w:val="none"/>
                <w:lang w:val="en-US" w:eastAsia="zh-CN"/>
              </w:rPr>
              <w:t>29.52</w:t>
            </w:r>
          </w:p>
        </w:tc>
        <w:tc>
          <w:tcPr>
            <w:tcW w:w="1218"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1" w:hRule="atLeast"/>
        </w:trPr>
        <w:tc>
          <w:tcPr>
            <w:tcW w:w="5000" w:type="pct"/>
            <w:gridSpan w:val="7"/>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注：本表反映部门本年度一般公共预算财政拨款支出情况。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7050" w:type="pct"/>
        <w:tblInd w:w="-1617"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64"/>
        <w:gridCol w:w="1814"/>
        <w:gridCol w:w="1020"/>
        <w:gridCol w:w="964"/>
        <w:gridCol w:w="438"/>
        <w:gridCol w:w="1376"/>
        <w:gridCol w:w="587"/>
        <w:gridCol w:w="377"/>
        <w:gridCol w:w="964"/>
        <w:gridCol w:w="1814"/>
        <w:gridCol w:w="10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4" w:hRule="atLeast"/>
        </w:trPr>
        <w:tc>
          <w:tcPr>
            <w:tcW w:w="5000" w:type="pct"/>
            <w:gridSpan w:val="11"/>
            <w:tcBorders>
              <w:top w:val="nil"/>
              <w:left w:val="nil"/>
              <w:bottom w:val="nil"/>
              <w:right w:val="nil"/>
            </w:tcBorders>
            <w:noWrap/>
            <w:vAlign w:val="bottom"/>
          </w:tcPr>
          <w:p>
            <w:pPr>
              <w:keepNext w:val="0"/>
              <w:keepLines w:val="0"/>
              <w:widowControl/>
              <w:suppressLineNumbers w:val="0"/>
              <w:jc w:val="center"/>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一般公共预算财政拨款基本支出决算明细表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11"/>
            <w:tcBorders>
              <w:top w:val="nil"/>
              <w:left w:val="nil"/>
              <w:bottom w:val="nil"/>
              <w:right w:val="nil"/>
            </w:tcBorders>
            <w:noWrap/>
            <w:vAlign w:val="bottom"/>
          </w:tcPr>
          <w:p>
            <w:pPr>
              <w:keepNext w:val="0"/>
              <w:keepLines w:val="0"/>
              <w:widowControl/>
              <w:suppressLineNumbers w:val="0"/>
              <w:jc w:val="right"/>
              <w:textAlignment w:val="bottom"/>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06</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2293" w:type="pct"/>
            <w:gridSpan w:val="5"/>
            <w:tcBorders>
              <w:top w:val="nil"/>
              <w:left w:val="nil"/>
              <w:bottom w:val="single" w:color="auto" w:sz="4" w:space="0"/>
              <w:right w:val="nil"/>
            </w:tcBorders>
            <w:noWrap/>
            <w:vAlign w:val="bottom"/>
          </w:tcPr>
          <w:p>
            <w:pP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部门（单位）：石家庄市鹿泉区投资促进局(本级) </w:t>
            </w:r>
            <w:r>
              <w:rPr>
                <w:rFonts w:hint="eastAsia" w:asciiTheme="minorEastAsia" w:hAnsiTheme="minorEastAsia" w:cstheme="minorEastAsia"/>
                <w:i w:val="0"/>
                <w:iCs w:val="0"/>
                <w:color w:val="000000"/>
                <w:kern w:val="0"/>
                <w:sz w:val="18"/>
                <w:szCs w:val="18"/>
                <w:highlight w:val="none"/>
                <w:u w:val="none"/>
                <w:lang w:val="en-US" w:eastAsia="zh-CN" w:bidi="ar"/>
              </w:rPr>
              <w:t xml:space="preserve">                                                                   </w:t>
            </w:r>
          </w:p>
        </w:tc>
        <w:tc>
          <w:tcPr>
            <w:tcW w:w="865" w:type="pct"/>
            <w:gridSpan w:val="2"/>
            <w:tcBorders>
              <w:top w:val="nil"/>
              <w:left w:val="nil"/>
              <w:bottom w:val="single" w:color="auto" w:sz="4" w:space="0"/>
              <w:right w:val="nil"/>
            </w:tcBorders>
            <w:noWrap/>
            <w:vAlign w:val="bottom"/>
          </w:tcPr>
          <w:p>
            <w:pPr>
              <w:jc w:val="center"/>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Theme="minorEastAsia" w:hAnsiTheme="minorEastAsia" w:cstheme="minorEastAsia"/>
                <w:i w:val="0"/>
                <w:iCs w:val="0"/>
                <w:color w:val="000000"/>
                <w:kern w:val="0"/>
                <w:sz w:val="18"/>
                <w:szCs w:val="18"/>
                <w:highlight w:val="none"/>
                <w:u w:val="none"/>
                <w:lang w:val="en-US" w:eastAsia="zh-CN" w:bidi="ar"/>
              </w:rPr>
              <w:t>2024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1841" w:type="pct"/>
            <w:gridSpan w:val="4"/>
            <w:tcBorders>
              <w:top w:val="nil"/>
              <w:left w:val="nil"/>
              <w:bottom w:val="single" w:color="auto" w:sz="4" w:space="0"/>
              <w:right w:val="nil"/>
            </w:tcBorders>
            <w:noWrap/>
            <w:vAlign w:val="bottom"/>
          </w:tcPr>
          <w:p>
            <w:pPr>
              <w:jc w:val="right"/>
              <w:rPr>
                <w:rFonts w:hint="default" w:asciiTheme="minorEastAsia" w:hAnsiTheme="minorEastAsia" w:eastAsiaTheme="minorEastAsia" w:cstheme="minorEastAsia"/>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674" w:type="pct"/>
            <w:gridSpan w:val="3"/>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w:t>
            </w:r>
          </w:p>
        </w:tc>
        <w:tc>
          <w:tcPr>
            <w:tcW w:w="3325" w:type="pct"/>
            <w:gridSpan w:val="8"/>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c>
          <w:tcPr>
            <w:tcW w:w="425" w:type="pc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lang w:val="en-US" w:eastAsia="zh-CN"/>
              </w:rPr>
            </w:pPr>
            <w:r>
              <w:rPr>
                <w:rFonts w:hint="eastAsia" w:ascii="方正仿宋_GB2312" w:hAnsi="方正仿宋_GB2312" w:eastAsia="方正仿宋_GB2312" w:cs="方正仿宋_GB2312"/>
                <w:i w:val="0"/>
                <w:iCs w:val="0"/>
                <w:color w:val="000000"/>
                <w:sz w:val="18"/>
                <w:szCs w:val="18"/>
                <w:highlight w:val="none"/>
                <w:u w:val="none"/>
                <w:lang w:val="en-US" w:eastAsia="zh-CN"/>
              </w:rPr>
              <w:t>科目代码</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科目名称</w:t>
            </w:r>
          </w:p>
        </w:tc>
        <w:tc>
          <w:tcPr>
            <w:tcW w:w="44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327.70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61.96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债务利息及费用支出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基本工资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76.11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11.89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国内债务付息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津贴补贴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44.10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印刷费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30702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国外债务付息</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奖金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29.16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咨询费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伙食补助费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手续费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房屋建筑物购建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绩效工资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eastAsia" w:ascii="Times New Roman" w:hAnsi="Times New Roman" w:cs="Times New Roman"/>
                <w:sz w:val="18"/>
                <w:szCs w:val="18"/>
                <w:highlight w:val="none"/>
                <w:lang w:eastAsia="zh-CN"/>
              </w:rPr>
              <w:t>92.84</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水费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办公设备购置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0.71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机关事业单位基本养老保险缴费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31.41</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专用设备购置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职业年金缴费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邮电费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eastAsia" w:ascii="Times New Roman" w:hAnsi="Times New Roman" w:cs="Times New Roman"/>
                <w:sz w:val="18"/>
                <w:szCs w:val="18"/>
                <w:highlight w:val="none"/>
                <w:lang w:eastAsia="zh-CN"/>
              </w:rPr>
            </w:pPr>
            <w:r>
              <w:rPr>
                <w:rFonts w:hint="eastAsia" w:ascii="Times New Roman" w:hAnsi="Times New Roman" w:cs="Times New Roman"/>
                <w:sz w:val="18"/>
                <w:szCs w:val="18"/>
                <w:highlight w:val="none"/>
                <w:lang w:eastAsia="zh-CN"/>
              </w:rPr>
              <w:t>3.79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基础设施建设</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职工基本医疗保险缴费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22.93</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取暖费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大型修缮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公务员医疗补助缴费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30209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物业管理费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信息网络及软件购置更新</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其他社会保障缴费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1.60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差旅费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物资储备</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住房公积金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29.52</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30212</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土地补偿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30114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30213</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维修（护）费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安置补助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30199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其他工资福利支出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 xml:space="preserve">  租赁费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地上附着物和青苗补偿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会议费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拆迁补偿</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离休费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培训费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退休费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31019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其他交通工具购置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退职（役）费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30218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专用材料费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文物和陈列品购置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抚恤金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30224</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被装购置费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31022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无形资产购置</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生活补助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30225</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专用燃料费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31099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其他资本性支出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30306</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救济费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30226</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劳务费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35.68</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医疗费补助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30227</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委托业务费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资本金注入</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助学金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30228</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工会经费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1.76</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31203</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政府投资基金股权投资</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奖励金</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30229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福利费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1.90</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31204</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费用补贴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个人农业生产补贴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30231</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31205</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利息补贴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30311</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代缴社会保险费</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30239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其他交通费用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6.69</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31299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其他对企业补助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其他对个人和家庭的补助</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30240</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税金及附加费用</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30299</w:t>
            </w: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其他商品和服务支出</w:t>
            </w: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0.25</w:t>
            </w: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39907</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国家赔偿费用支出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39908</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对民间非营利组织和群众性自治组织补贴</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39909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经常性赠与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39910</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资本性赠与</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425" w:type="pct"/>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p>
        </w:tc>
        <w:tc>
          <w:tcPr>
            <w:tcW w:w="79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49"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799"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eastAsia" w:asciiTheme="minorEastAsia" w:hAnsiTheme="minorEastAsia" w:eastAsiaTheme="minorEastAsia" w:cstheme="minorEastAsia"/>
                <w:i w:val="0"/>
                <w:iCs w:val="0"/>
                <w:color w:val="000000"/>
                <w:sz w:val="18"/>
                <w:szCs w:val="18"/>
                <w:highlight w:val="none"/>
                <w:u w:val="none"/>
              </w:rPr>
            </w:pPr>
          </w:p>
        </w:tc>
        <w:tc>
          <w:tcPr>
            <w:tcW w:w="425" w:type="pct"/>
            <w:gridSpan w:val="2"/>
            <w:tcBorders>
              <w:top w:val="single" w:color="auto" w:sz="4" w:space="0"/>
              <w:left w:val="single" w:color="auto" w:sz="4" w:space="0"/>
              <w:bottom w:val="single" w:color="auto" w:sz="4" w:space="0"/>
              <w:right w:val="single" w:color="auto" w:sz="4" w:space="0"/>
            </w:tcBorders>
            <w:noWrap/>
            <w:vAlign w:val="center"/>
          </w:tcPr>
          <w:p>
            <w:pPr>
              <w:jc w:val="left"/>
              <w:rPr>
                <w:rFonts w:hint="default" w:ascii="Times New Roman" w:hAnsi="Times New Roman" w:cs="Times New Roman" w:eastAsiaTheme="minorEastAsia"/>
                <w:i w:val="0"/>
                <w:iCs w:val="0"/>
                <w:color w:val="000000"/>
                <w:sz w:val="18"/>
                <w:szCs w:val="18"/>
                <w:highlight w:val="none"/>
                <w:u w:val="none"/>
              </w:rPr>
            </w:pPr>
          </w:p>
        </w:tc>
        <w:tc>
          <w:tcPr>
            <w:tcW w:w="425"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center"/>
              <w:textAlignment w:val="center"/>
              <w:rPr>
                <w:rFonts w:hint="default" w:ascii="Times New Roman" w:hAnsi="Times New Roman" w:cs="Times New Roman" w:eastAsiaTheme="minorEastAsia"/>
                <w:i w:val="0"/>
                <w:iCs w:val="0"/>
                <w:color w:val="000000"/>
                <w:sz w:val="18"/>
                <w:szCs w:val="18"/>
                <w:highlight w:val="none"/>
                <w:u w:val="none"/>
              </w:rPr>
            </w:pPr>
            <w:r>
              <w:rPr>
                <w:rFonts w:hint="default" w:ascii="Times New Roman" w:hAnsi="Times New Roman" w:cs="Times New Roman" w:eastAsiaTheme="minorEastAsia"/>
                <w:i w:val="0"/>
                <w:iCs w:val="0"/>
                <w:color w:val="000000"/>
                <w:kern w:val="0"/>
                <w:sz w:val="18"/>
                <w:szCs w:val="18"/>
                <w:highlight w:val="none"/>
                <w:u w:val="none"/>
                <w:lang w:val="en-US" w:eastAsia="zh-CN" w:bidi="ar"/>
              </w:rPr>
              <w:t>39999</w:t>
            </w:r>
          </w:p>
        </w:tc>
        <w:tc>
          <w:tcPr>
            <w:tcW w:w="799" w:type="pct"/>
            <w:tcBorders>
              <w:top w:val="single" w:color="auto" w:sz="4" w:space="0"/>
              <w:left w:val="single" w:color="auto" w:sz="4" w:space="0"/>
              <w:bottom w:val="single" w:color="auto" w:sz="4" w:space="0"/>
              <w:right w:val="single" w:color="auto" w:sz="4" w:space="0"/>
            </w:tcBorders>
            <w:noWrap/>
            <w:vAlign w:val="center"/>
          </w:tcPr>
          <w:p>
            <w:pPr>
              <w:keepNext w:val="0"/>
              <w:keepLines w:val="0"/>
              <w:widowControl/>
              <w:suppressLineNumbers w:val="0"/>
              <w:jc w:val="left"/>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其他支出</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1225" w:type="pct"/>
            <w:gridSpan w:val="2"/>
            <w:tcBorders>
              <w:top w:val="single" w:color="auto" w:sz="4" w:space="0"/>
              <w:left w:val="single" w:color="auto" w:sz="4" w:space="0"/>
              <w:bottom w:val="single" w:color="auto" w:sz="4" w:space="0"/>
              <w:right w:val="single" w:color="auto" w:sz="4" w:space="0"/>
            </w:tcBorders>
            <w:noWrap/>
            <w:vAlign w:val="center"/>
          </w:tcPr>
          <w:p>
            <w:pPr>
              <w:jc w:val="center"/>
              <w:rPr>
                <w:rFonts w:hint="default" w:ascii="Times New Roman" w:hAnsi="Times New Roman" w:cs="Times New Roman" w:eastAsiaTheme="minorEastAsia"/>
                <w:sz w:val="18"/>
                <w:szCs w:val="18"/>
                <w:highlight w:val="none"/>
                <w:lang w:val="en-US" w:eastAsia="zh-CN"/>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人员经费合计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default" w:ascii="Times New Roman" w:hAnsi="Times New Roman" w:cs="Times New Roman" w:eastAsiaTheme="minorEastAsia"/>
                <w:sz w:val="18"/>
                <w:szCs w:val="18"/>
                <w:highlight w:val="none"/>
              </w:rPr>
            </w:pPr>
            <w:r>
              <w:rPr>
                <w:rFonts w:hint="default" w:ascii="Times New Roman" w:hAnsi="Times New Roman" w:cs="Times New Roman" w:eastAsiaTheme="minorEastAsia"/>
                <w:sz w:val="18"/>
                <w:szCs w:val="18"/>
                <w:highlight w:val="none"/>
              </w:rPr>
              <w:t>327.70</w:t>
            </w:r>
          </w:p>
        </w:tc>
        <w:tc>
          <w:tcPr>
            <w:tcW w:w="2875" w:type="pct"/>
            <w:gridSpan w:val="7"/>
            <w:tcBorders>
              <w:top w:val="single" w:color="auto" w:sz="4" w:space="0"/>
              <w:left w:val="single" w:color="auto" w:sz="4" w:space="0"/>
              <w:bottom w:val="single" w:color="auto" w:sz="4" w:space="0"/>
              <w:right w:val="single" w:color="auto" w:sz="4" w:space="0"/>
            </w:tcBorders>
            <w:noWrap/>
            <w:vAlign w:val="center"/>
          </w:tcPr>
          <w:p>
            <w:pPr>
              <w:jc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公用经费合计</w:t>
            </w:r>
          </w:p>
        </w:tc>
        <w:tc>
          <w:tcPr>
            <w:tcW w:w="449" w:type="pct"/>
            <w:tcBorders>
              <w:top w:val="single" w:color="auto" w:sz="4" w:space="0"/>
              <w:left w:val="single" w:color="auto" w:sz="4" w:space="0"/>
              <w:bottom w:val="single" w:color="auto" w:sz="4" w:space="0"/>
              <w:right w:val="single" w:color="auto" w:sz="4" w:space="0"/>
            </w:tcBorders>
            <w:noWrap/>
            <w:vAlign w:val="center"/>
          </w:tcPr>
          <w:p>
            <w:pPr>
              <w:jc w:val="right"/>
              <w:rPr>
                <w:rFonts w:hint="eastAsia" w:asciiTheme="minorEastAsia" w:hAnsiTheme="minorEastAsia" w:eastAsiaTheme="minorEastAsia" w:cstheme="minorEastAsia"/>
                <w:i w:val="0"/>
                <w:iCs w:val="0"/>
                <w:color w:val="000000"/>
                <w:sz w:val="18"/>
                <w:szCs w:val="18"/>
                <w:highlight w:val="none"/>
                <w:u w:val="none"/>
              </w:rPr>
            </w:pPr>
            <w:r>
              <w:rPr>
                <w:rFonts w:hint="default" w:ascii="Times New Roman" w:hAnsi="Times New Roman" w:cs="Times New Roman" w:eastAsiaTheme="minorEastAsia"/>
                <w:sz w:val="18"/>
                <w:szCs w:val="18"/>
                <w:highlight w:val="none"/>
              </w:rPr>
              <w:t>62.67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10" w:hRule="atLeast"/>
        </w:trPr>
        <w:tc>
          <w:tcPr>
            <w:tcW w:w="5000" w:type="pct"/>
            <w:gridSpan w:val="11"/>
            <w:tcBorders>
              <w:top w:val="single" w:color="auto" w:sz="4" w:space="0"/>
              <w:left w:val="nil"/>
              <w:bottom w:val="nil"/>
              <w:right w:val="nil"/>
            </w:tcBorders>
            <w:noWrap/>
            <w:vAlign w:val="center"/>
          </w:tcPr>
          <w:p>
            <w:pPr>
              <w:keepNext w:val="0"/>
              <w:keepLines w:val="0"/>
              <w:widowControl/>
              <w:suppressLineNumbers w:val="0"/>
              <w:jc w:val="left"/>
              <w:textAlignment w:val="center"/>
              <w:rPr>
                <w:rFonts w:hint="eastAsia" w:asciiTheme="minorEastAsia" w:hAnsiTheme="minorEastAsia" w:eastAsiaTheme="minorEastAsia" w:cstheme="minorEastAsia"/>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注：本表反映部门本年度一般公共预算财政拨款基本支出明细情况。</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6517" w:type="pct"/>
        <w:tblInd w:w="-1404"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260"/>
        <w:gridCol w:w="1474"/>
        <w:gridCol w:w="1306"/>
        <w:gridCol w:w="1027"/>
        <w:gridCol w:w="1107"/>
        <w:gridCol w:w="418"/>
        <w:gridCol w:w="702"/>
        <w:gridCol w:w="1146"/>
        <w:gridCol w:w="20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政府性基金预算财政拨款收入支出决算表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宋体" w:cs="Times New Roman"/>
                <w:i w:val="0"/>
                <w:iCs w:val="0"/>
                <w:color w:val="000000"/>
                <w:kern w:val="0"/>
                <w:sz w:val="20"/>
                <w:szCs w:val="20"/>
                <w:highlight w:val="none"/>
                <w:u w:val="none"/>
                <w:lang w:val="en-US" w:eastAsia="zh-CN" w:bidi="ar"/>
              </w:rPr>
              <w:t>07</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27" w:type="pct"/>
            <w:gridSpan w:val="3"/>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部门（单位）：石家庄市鹿泉区投资促进局(本级) </w:t>
            </w:r>
            <w:r>
              <w:rPr>
                <w:rFonts w:hint="eastAsia" w:ascii="宋体" w:hAnsi="宋体" w:eastAsia="宋体" w:cs="宋体"/>
                <w:i w:val="0"/>
                <w:iCs w:val="0"/>
                <w:color w:val="000000"/>
                <w:kern w:val="0"/>
                <w:sz w:val="20"/>
                <w:szCs w:val="20"/>
                <w:highlight w:val="none"/>
                <w:u w:val="none"/>
                <w:lang w:val="en-US" w:eastAsia="zh-CN" w:bidi="ar"/>
              </w:rPr>
              <w:t xml:space="preserve">                                                                                     </w:t>
            </w:r>
          </w:p>
        </w:tc>
        <w:tc>
          <w:tcPr>
            <w:tcW w:w="1217"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854"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w:t>
            </w:r>
          </w:p>
        </w:tc>
        <w:tc>
          <w:tcPr>
            <w:tcW w:w="623"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年初结转和结余</w:t>
            </w:r>
          </w:p>
        </w:tc>
        <w:tc>
          <w:tcPr>
            <w:tcW w:w="489" w:type="pct"/>
            <w:vMerge w:val="restart"/>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本年收入</w:t>
            </w:r>
          </w:p>
        </w:tc>
        <w:tc>
          <w:tcPr>
            <w:tcW w:w="1609" w:type="pct"/>
            <w:gridSpan w:val="4"/>
            <w:tcBorders>
              <w:top w:val="single" w:color="auto" w:sz="4" w:space="0"/>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本年支出</w:t>
            </w:r>
          </w:p>
        </w:tc>
        <w:tc>
          <w:tcPr>
            <w:tcW w:w="973" w:type="pct"/>
            <w:vMerge w:val="restart"/>
            <w:tcBorders>
              <w:top w:val="single" w:color="auto" w:sz="4" w:space="0"/>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年末结转和结余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restart"/>
            <w:tcBorders>
              <w:top w:val="nil"/>
              <w:left w:val="single" w:color="000000"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703"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科目名称</w:t>
            </w: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小计</w:t>
            </w:r>
          </w:p>
        </w:tc>
        <w:tc>
          <w:tcPr>
            <w:tcW w:w="534" w:type="pct"/>
            <w:gridSpan w:val="2"/>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基本支出</w:t>
            </w:r>
          </w:p>
        </w:tc>
        <w:tc>
          <w:tcPr>
            <w:tcW w:w="546" w:type="pct"/>
            <w:vMerge w:val="restart"/>
            <w:tcBorders>
              <w:top w:val="nil"/>
              <w:left w:val="nil"/>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项目支出</w:t>
            </w:r>
          </w:p>
        </w:tc>
        <w:tc>
          <w:tcPr>
            <w:tcW w:w="973" w:type="pct"/>
            <w:vMerge w:val="continue"/>
            <w:tcBorders>
              <w:left w:val="nil"/>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结转</w:t>
            </w:r>
          </w:p>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601" w:type="pct"/>
            <w:vMerge w:val="continue"/>
            <w:tcBorders>
              <w:top w:val="nil"/>
              <w:left w:val="single" w:color="000000"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3" w:type="pct"/>
            <w:vMerge w:val="continue"/>
            <w:tcBorders>
              <w:top w:val="nil"/>
              <w:left w:val="nil"/>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623"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489" w:type="pct"/>
            <w:vMerge w:val="continue"/>
            <w:tcBorders>
              <w:top w:val="single" w:color="000000" w:sz="4" w:space="0"/>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28"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34" w:type="pct"/>
            <w:gridSpan w:val="2"/>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546" w:type="pct"/>
            <w:vMerge w:val="continue"/>
            <w:tcBorders>
              <w:top w:val="nil"/>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73"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栏次</w:t>
            </w:r>
          </w:p>
        </w:tc>
        <w:tc>
          <w:tcPr>
            <w:tcW w:w="623"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1</w:t>
            </w:r>
          </w:p>
        </w:tc>
        <w:tc>
          <w:tcPr>
            <w:tcW w:w="489"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2</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3</w:t>
            </w:r>
          </w:p>
        </w:tc>
        <w:tc>
          <w:tcPr>
            <w:tcW w:w="53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4</w:t>
            </w:r>
          </w:p>
        </w:tc>
        <w:tc>
          <w:tcPr>
            <w:tcW w:w="546"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rPr>
            </w:pPr>
            <w:r>
              <w:rPr>
                <w:rFonts w:hint="default" w:ascii="Times New Roman" w:hAnsi="Times New Roman" w:eastAsia="方正仿宋_GB2312" w:cs="Times New Roman"/>
                <w:i w:val="0"/>
                <w:iCs w:val="0"/>
                <w:color w:val="000000"/>
                <w:kern w:val="0"/>
                <w:sz w:val="20"/>
                <w:szCs w:val="20"/>
                <w:highlight w:val="none"/>
                <w:u w:val="none"/>
                <w:lang w:val="en-US" w:eastAsia="zh-CN" w:bidi="ar"/>
              </w:rPr>
              <w:t>5</w:t>
            </w:r>
          </w:p>
        </w:tc>
        <w:tc>
          <w:tcPr>
            <w:tcW w:w="973"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20"/>
                <w:szCs w:val="20"/>
                <w:highlight w:val="none"/>
                <w:u w:val="none"/>
                <w:lang w:val="en-US" w:eastAsia="zh-CN"/>
              </w:rPr>
            </w:pPr>
            <w:r>
              <w:rPr>
                <w:rFonts w:hint="default" w:ascii="Times New Roman" w:hAnsi="Times New Roman" w:eastAsia="方正仿宋_GB2312" w:cs="Times New Roman"/>
                <w:i w:val="0"/>
                <w:iCs w:val="0"/>
                <w:color w:val="000000"/>
                <w:sz w:val="20"/>
                <w:szCs w:val="20"/>
                <w:highlight w:val="none"/>
                <w:u w:val="none"/>
                <w:lang w:val="en-US" w:eastAsia="zh-CN"/>
              </w:rPr>
              <w:t>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69" w:hRule="atLeast"/>
        </w:trPr>
        <w:tc>
          <w:tcPr>
            <w:tcW w:w="1304" w:type="pct"/>
            <w:gridSpan w:val="2"/>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合计</w:t>
            </w:r>
          </w:p>
        </w:tc>
        <w:tc>
          <w:tcPr>
            <w:tcW w:w="623" w:type="pct"/>
            <w:tcBorders>
              <w:top w:val="nil"/>
              <w:left w:val="single" w:color="auto"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489"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34"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546"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73"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注：本表反映部门本年度政府性基金预算财政拨款收入、支出及结转和结余情况。（如无相关数据，则需注明空表列示）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br w:type="page"/>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W w:w="5863" w:type="pct"/>
        <w:tblInd w:w="-97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2993"/>
        <w:gridCol w:w="731"/>
        <w:gridCol w:w="1296"/>
        <w:gridCol w:w="1332"/>
        <w:gridCol w:w="5"/>
        <w:gridCol w:w="47"/>
        <w:gridCol w:w="1281"/>
        <w:gridCol w:w="10"/>
        <w:gridCol w:w="173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9"/>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国有资本经营预算财政拨款支出决算表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5000" w:type="pct"/>
            <w:gridSpan w:val="9"/>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公开</w:t>
            </w:r>
            <w:r>
              <w:rPr>
                <w:rFonts w:hint="default" w:ascii="Times New Roman" w:hAnsi="Times New Roman" w:eastAsia="方正仿宋_GB2312" w:cs="Times New Roman"/>
                <w:i w:val="0"/>
                <w:iCs w:val="0"/>
                <w:color w:val="000000"/>
                <w:kern w:val="0"/>
                <w:sz w:val="20"/>
                <w:szCs w:val="20"/>
                <w:highlight w:val="none"/>
                <w:u w:val="none"/>
                <w:lang w:val="en-US" w:eastAsia="zh-CN" w:bidi="ar"/>
              </w:rPr>
              <w:t>08</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0" w:hRule="atLeast"/>
        </w:trPr>
        <w:tc>
          <w:tcPr>
            <w:tcW w:w="1974" w:type="pct"/>
            <w:gridSpan w:val="2"/>
            <w:tcBorders>
              <w:top w:val="nil"/>
              <w:left w:val="nil"/>
              <w:bottom w:val="single" w:color="auto" w:sz="4" w:space="0"/>
              <w:right w:val="nil"/>
            </w:tcBorders>
            <w:noWrap/>
            <w:vAlign w:val="bottom"/>
          </w:tcPr>
          <w:p>
            <w:pPr>
              <w:keepNext w:val="0"/>
              <w:keepLines w:val="0"/>
              <w:widowControl/>
              <w:suppressLineNumbers w:val="0"/>
              <w:jc w:val="both"/>
              <w:textAlignment w:val="bottom"/>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部门（单位）：石家庄市鹿泉区投资促进局(本级)</w:t>
            </w:r>
          </w:p>
        </w:tc>
        <w:tc>
          <w:tcPr>
            <w:tcW w:w="1421" w:type="pct"/>
            <w:gridSpan w:val="4"/>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20"/>
                <w:szCs w:val="20"/>
                <w:highlight w:val="none"/>
                <w:u w:val="none"/>
                <w:lang w:val="en-US" w:eastAsia="zh-CN" w:bidi="ar"/>
              </w:rPr>
            </w:pPr>
            <w:r>
              <w:rPr>
                <w:rFonts w:hint="default" w:ascii="Times New Roman" w:hAnsi="Times New Roman" w:eastAsia="宋体" w:cs="Times New Roman"/>
                <w:i w:val="0"/>
                <w:iCs w:val="0"/>
                <w:color w:val="000000"/>
                <w:kern w:val="0"/>
                <w:sz w:val="20"/>
                <w:szCs w:val="20"/>
                <w:highlight w:val="none"/>
                <w:u w:val="none"/>
                <w:lang w:val="en-US" w:eastAsia="zh-CN" w:bidi="ar"/>
              </w:rPr>
              <w:t>202</w:t>
            </w:r>
            <w:r>
              <w:rPr>
                <w:rFonts w:hint="eastAsia" w:ascii="Times New Roman" w:hAnsi="Times New Roman" w:eastAsia="宋体" w:cs="Times New Roman"/>
                <w:i w:val="0"/>
                <w:iCs w:val="0"/>
                <w:color w:val="000000"/>
                <w:kern w:val="0"/>
                <w:sz w:val="20"/>
                <w:szCs w:val="20"/>
                <w:highlight w:val="none"/>
                <w:u w:val="none"/>
                <w:lang w:val="en-US" w:eastAsia="zh-CN" w:bidi="ar"/>
              </w:rPr>
              <w:t>4</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年度</w:t>
            </w:r>
          </w:p>
        </w:tc>
        <w:tc>
          <w:tcPr>
            <w:tcW w:w="1603" w:type="pct"/>
            <w:gridSpan w:val="3"/>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20"/>
                <w:szCs w:val="20"/>
                <w:highlight w:val="none"/>
                <w:u w:val="none"/>
                <w:lang w:val="en-US" w:eastAsia="zh-CN" w:bidi="ar"/>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restart"/>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 xml:space="preserve"> 项目</w:t>
            </w:r>
          </w:p>
        </w:tc>
        <w:tc>
          <w:tcPr>
            <w:tcW w:w="2337" w:type="pct"/>
            <w:gridSpan w:val="6"/>
            <w:vMerge w:val="restart"/>
            <w:tcBorders>
              <w:top w:val="single" w:color="auto" w:sz="4" w:space="0"/>
              <w:left w:val="single" w:color="auto" w:sz="4" w:space="0"/>
              <w:right w:val="single" w:color="000000" w:sz="4" w:space="0"/>
            </w:tcBorders>
            <w:noWrap w:val="0"/>
            <w:vAlign w:val="center"/>
          </w:tcPr>
          <w:p>
            <w:pPr>
              <w:keepNext w:val="0"/>
              <w:keepLines w:val="0"/>
              <w:widowControl/>
              <w:suppressLineNumbers w:val="0"/>
              <w:jc w:val="center"/>
              <w:textAlignment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本年支出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2662" w:type="pct"/>
            <w:gridSpan w:val="3"/>
            <w:vMerge w:val="continue"/>
            <w:tcBorders>
              <w:top w:val="single" w:color="auto" w:sz="4" w:space="0"/>
              <w:left w:val="single" w:color="auto" w:sz="4" w:space="0"/>
              <w:bottom w:val="single" w:color="auto" w:sz="4" w:space="0"/>
              <w:right w:val="single" w:color="auto"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c>
          <w:tcPr>
            <w:tcW w:w="2337" w:type="pct"/>
            <w:gridSpan w:val="6"/>
            <w:vMerge w:val="continue"/>
            <w:tcBorders>
              <w:left w:val="single" w:color="auto" w:sz="4" w:space="0"/>
              <w:bottom w:val="single" w:color="000000" w:sz="4" w:space="0"/>
              <w:right w:val="single" w:color="000000" w:sz="4" w:space="0"/>
            </w:tcBorders>
            <w:noWrap w:val="0"/>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科目代码</w:t>
            </w:r>
          </w:p>
        </w:tc>
        <w:tc>
          <w:tcPr>
            <w:tcW w:w="1074" w:type="pct"/>
            <w:gridSpan w:val="2"/>
            <w:vMerge w:val="restart"/>
            <w:tcBorders>
              <w:top w:val="single" w:color="auto" w:sz="4" w:space="0"/>
              <w:left w:val="single" w:color="auto" w:sz="4" w:space="0"/>
              <w:bottom w:val="single" w:color="auto" w:sz="4" w:space="0"/>
              <w:right w:val="single" w:color="auto"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科目名称</w:t>
            </w:r>
          </w:p>
        </w:tc>
        <w:tc>
          <w:tcPr>
            <w:tcW w:w="709" w:type="pct"/>
            <w:gridSpan w:val="2"/>
            <w:vMerge w:val="restart"/>
            <w:tcBorders>
              <w:top w:val="nil"/>
              <w:left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合计</w:t>
            </w:r>
          </w:p>
        </w:tc>
        <w:tc>
          <w:tcPr>
            <w:tcW w:w="709" w:type="pct"/>
            <w:gridSpan w:val="3"/>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基本支出</w:t>
            </w:r>
          </w:p>
        </w:tc>
        <w:tc>
          <w:tcPr>
            <w:tcW w:w="919" w:type="pct"/>
            <w:vMerge w:val="restart"/>
            <w:tcBorders>
              <w:top w:val="nil"/>
              <w:left w:val="nil"/>
              <w:right w:val="single" w:color="000000" w:sz="4" w:space="0"/>
            </w:tcBorders>
            <w:noWrap w:val="0"/>
            <w:vAlign w:val="center"/>
          </w:tcPr>
          <w:p>
            <w:pPr>
              <w:jc w:val="center"/>
              <w:rPr>
                <w:rFonts w:hint="default" w:ascii="方正仿宋_GB2312" w:hAnsi="方正仿宋_GB2312" w:eastAsia="方正仿宋_GB2312" w:cs="方正仿宋_GB2312"/>
                <w:i w:val="0"/>
                <w:iCs w:val="0"/>
                <w:color w:val="000000"/>
                <w:sz w:val="20"/>
                <w:szCs w:val="20"/>
                <w:highlight w:val="none"/>
                <w:u w:val="none"/>
                <w:lang w:val="en-US" w:eastAsia="zh-CN"/>
              </w:rPr>
            </w:pPr>
            <w:r>
              <w:rPr>
                <w:rFonts w:hint="eastAsia" w:ascii="方正仿宋_GB2312" w:hAnsi="方正仿宋_GB2312" w:eastAsia="方正仿宋_GB2312" w:cs="方正仿宋_GB2312"/>
                <w:i w:val="0"/>
                <w:iCs w:val="0"/>
                <w:color w:val="000000"/>
                <w:sz w:val="20"/>
                <w:szCs w:val="20"/>
                <w:highlight w:val="none"/>
                <w:u w:val="none"/>
                <w:lang w:val="en-US" w:eastAsia="zh-CN"/>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12" w:hRule="atLeast"/>
        </w:trPr>
        <w:tc>
          <w:tcPr>
            <w:tcW w:w="1587" w:type="pct"/>
            <w:vMerge w:val="continue"/>
            <w:tcBorders>
              <w:top w:val="single" w:color="auto" w:sz="4" w:space="0"/>
              <w:left w:val="single" w:color="auto" w:sz="4" w:space="0"/>
              <w:bottom w:val="single" w:color="auto"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1074" w:type="pct"/>
            <w:gridSpan w:val="2"/>
            <w:vMerge w:val="continue"/>
            <w:tcBorders>
              <w:top w:val="single" w:color="auto" w:sz="4" w:space="0"/>
              <w:left w:val="nil"/>
              <w:bottom w:val="single" w:color="auto" w:sz="4" w:space="0"/>
              <w:right w:val="single" w:color="auto"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2"/>
            <w:vMerge w:val="continue"/>
            <w:tcBorders>
              <w:left w:val="single" w:color="auto" w:sz="4" w:space="0"/>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709" w:type="pct"/>
            <w:gridSpan w:val="3"/>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c>
          <w:tcPr>
            <w:tcW w:w="919" w:type="pct"/>
            <w:vMerge w:val="continue"/>
            <w:tcBorders>
              <w:left w:val="nil"/>
              <w:bottom w:val="single" w:color="000000" w:sz="4" w:space="0"/>
              <w:right w:val="single" w:color="000000" w:sz="4" w:space="0"/>
            </w:tcBorders>
            <w:noWrap w:val="0"/>
            <w:vAlign w:val="center"/>
          </w:tcPr>
          <w:p>
            <w:pPr>
              <w:jc w:val="center"/>
              <w:rPr>
                <w:rFonts w:hint="eastAsia" w:ascii="方正仿宋_GB2312" w:hAnsi="方正仿宋_GB2312" w:eastAsia="方正仿宋_GB2312" w:cs="方正仿宋_GB2312"/>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auto" w:sz="4" w:space="0"/>
              <w:left w:val="single" w:color="auto" w:sz="4" w:space="0"/>
              <w:bottom w:val="single" w:color="000000" w:sz="4" w:space="0"/>
              <w:right w:val="single" w:color="auto"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栏次</w:t>
            </w:r>
          </w:p>
        </w:tc>
        <w:tc>
          <w:tcPr>
            <w:tcW w:w="706" w:type="pct"/>
            <w:tcBorders>
              <w:top w:val="nil"/>
              <w:left w:val="single" w:color="auto"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1</w:t>
            </w:r>
          </w:p>
        </w:tc>
        <w:tc>
          <w:tcPr>
            <w:tcW w:w="70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2</w:t>
            </w:r>
          </w:p>
        </w:tc>
        <w:tc>
          <w:tcPr>
            <w:tcW w:w="924"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Times New Roman" w:hAnsi="Times New Roman" w:eastAsia="方正仿宋_GB2312"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2662" w:type="pct"/>
            <w:gridSpan w:val="3"/>
            <w:tcBorders>
              <w:top w:val="single" w:color="000000" w:sz="4" w:space="0"/>
              <w:left w:val="single" w:color="000000" w:sz="4" w:space="0"/>
              <w:bottom w:val="single" w:color="000000" w:sz="4" w:space="0"/>
              <w:right w:val="single" w:color="000000" w:sz="4" w:space="0"/>
            </w:tcBorders>
            <w:noWrap/>
            <w:vAlign w:val="center"/>
          </w:tcPr>
          <w:p>
            <w:pPr>
              <w:jc w:val="center"/>
              <w:rPr>
                <w:rFonts w:hint="default" w:ascii="Times New Roman" w:hAnsi="Times New Roman" w:eastAsia="宋体" w:cs="Times New Roman"/>
                <w:i w:val="0"/>
                <w:iCs w:val="0"/>
                <w:color w:val="000000"/>
                <w:sz w:val="20"/>
                <w:szCs w:val="20"/>
                <w:highlight w:val="none"/>
                <w:u w:val="none"/>
                <w:lang w:val="en-US" w:eastAsia="zh-CN"/>
              </w:rPr>
            </w:pPr>
            <w:r>
              <w:rPr>
                <w:rFonts w:hint="eastAsia" w:ascii="Times New Roman" w:hAnsi="Times New Roman" w:eastAsia="方正仿宋_GB2312" w:cs="Times New Roman"/>
                <w:i w:val="0"/>
                <w:iCs w:val="0"/>
                <w:color w:val="000000"/>
                <w:sz w:val="20"/>
                <w:szCs w:val="20"/>
                <w:highlight w:val="none"/>
                <w:u w:val="none"/>
                <w:lang w:val="en-US" w:eastAsia="zh-CN"/>
              </w:rPr>
              <w:t>合计</w:t>
            </w:r>
          </w:p>
        </w:tc>
        <w:tc>
          <w:tcPr>
            <w:tcW w:w="706" w:type="pct"/>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706" w:type="pct"/>
            <w:gridSpan w:val="3"/>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c>
          <w:tcPr>
            <w:tcW w:w="924" w:type="pct"/>
            <w:gridSpan w:val="2"/>
            <w:tcBorders>
              <w:top w:val="single" w:color="000000" w:sz="4" w:space="0"/>
              <w:left w:val="single" w:color="000000" w:sz="4" w:space="0"/>
              <w:bottom w:val="single" w:color="000000" w:sz="4" w:space="0"/>
              <w:right w:val="single" w:color="000000" w:sz="4" w:space="0"/>
            </w:tcBorders>
            <w:noWrap/>
            <w:vAlign w:val="center"/>
          </w:tcPr>
          <w:p>
            <w:pPr>
              <w:jc w:val="right"/>
              <w:rPr>
                <w:rFonts w:hint="default" w:ascii="Times New Roman" w:hAnsi="Times New Roman" w:eastAsia="宋体" w:cs="Times New Roman"/>
                <w:i w:val="0"/>
                <w:iCs w:val="0"/>
                <w:color w:val="000000"/>
                <w:sz w:val="20"/>
                <w:szCs w:val="20"/>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08" w:hRule="atLeast"/>
        </w:trPr>
        <w:tc>
          <w:tcPr>
            <w:tcW w:w="5000" w:type="pct"/>
            <w:gridSpan w:val="9"/>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20"/>
                <w:szCs w:val="20"/>
                <w:highlight w:val="none"/>
                <w:u w:val="none"/>
              </w:rPr>
            </w:pP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注：本表反映部门本年度国有资本经营预算财政拨款支出情况。（如无相关数据，则需注明空表列示）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tbl>
      <w:tblPr>
        <w:tblStyle w:val="12"/>
        <w:tblpPr w:leftFromText="180" w:rightFromText="180" w:vertAnchor="text" w:horzAnchor="page" w:tblpX="282" w:tblpY="39"/>
        <w:tblOverlap w:val="never"/>
        <w:tblW w:w="7211"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987"/>
        <w:gridCol w:w="1226"/>
        <w:gridCol w:w="814"/>
        <w:gridCol w:w="946"/>
        <w:gridCol w:w="519"/>
        <w:gridCol w:w="544"/>
        <w:gridCol w:w="777"/>
        <w:gridCol w:w="845"/>
        <w:gridCol w:w="5"/>
        <w:gridCol w:w="1133"/>
        <w:gridCol w:w="640"/>
        <w:gridCol w:w="1027"/>
        <w:gridCol w:w="946"/>
        <w:gridCol w:w="1187"/>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trPr>
        <w:tc>
          <w:tcPr>
            <w:tcW w:w="5000" w:type="pct"/>
            <w:gridSpan w:val="14"/>
            <w:tcBorders>
              <w:top w:val="nil"/>
              <w:left w:val="nil"/>
              <w:bottom w:val="nil"/>
              <w:right w:val="nil"/>
            </w:tcBorders>
            <w:noWrap/>
            <w:vAlign w:val="bottom"/>
          </w:tcPr>
          <w:p>
            <w:pPr>
              <w:keepNext w:val="0"/>
              <w:keepLines w:val="0"/>
              <w:widowControl/>
              <w:suppressLineNumbers w:val="0"/>
              <w:jc w:val="center"/>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b w:val="0"/>
                <w:bCs/>
                <w:color w:val="auto"/>
                <w:kern w:val="0"/>
                <w:sz w:val="32"/>
                <w:szCs w:val="32"/>
                <w:highlight w:val="none"/>
                <w:lang w:val="en-US" w:eastAsia="zh-CN"/>
              </w:rPr>
              <w:t>财政拨款“三公”经费支出决算表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5000" w:type="pct"/>
            <w:gridSpan w:val="14"/>
            <w:tcBorders>
              <w:top w:val="nil"/>
              <w:left w:val="nil"/>
              <w:bottom w:val="nil"/>
              <w:right w:val="nil"/>
            </w:tcBorders>
            <w:noWrap/>
            <w:vAlign w:val="bottom"/>
          </w:tcPr>
          <w:p>
            <w:pPr>
              <w:keepNext w:val="0"/>
              <w:keepLines w:val="0"/>
              <w:widowControl/>
              <w:suppressLineNumbers w:val="0"/>
              <w:jc w:val="righ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公开</w:t>
            </w:r>
            <w:r>
              <w:rPr>
                <w:rFonts w:hint="default" w:ascii="Times New Roman" w:hAnsi="Times New Roman" w:eastAsia="方正仿宋_GB2312" w:cs="Times New Roman"/>
                <w:i w:val="0"/>
                <w:iCs w:val="0"/>
                <w:color w:val="000000"/>
                <w:kern w:val="0"/>
                <w:sz w:val="18"/>
                <w:szCs w:val="18"/>
                <w:highlight w:val="none"/>
                <w:u w:val="none"/>
                <w:lang w:val="en-US" w:eastAsia="zh-CN" w:bidi="ar"/>
              </w:rPr>
              <w:t>09</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60" w:hRule="atLeast"/>
        </w:trPr>
        <w:tc>
          <w:tcPr>
            <w:tcW w:w="1936" w:type="pct"/>
            <w:gridSpan w:val="5"/>
            <w:tcBorders>
              <w:top w:val="nil"/>
              <w:left w:val="nil"/>
              <w:bottom w:val="single" w:color="auto" w:sz="4" w:space="0"/>
              <w:right w:val="nil"/>
            </w:tcBorders>
            <w:noWrap/>
            <w:vAlign w:val="bottom"/>
          </w:tcPr>
          <w:p>
            <w:pPr>
              <w:keepNext w:val="0"/>
              <w:keepLines w:val="0"/>
              <w:widowControl/>
              <w:suppressLineNumbers w:val="0"/>
              <w:jc w:val="left"/>
              <w:textAlignment w:val="bottom"/>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部门（单位）：石家庄市鹿泉区投资促进局(本级)</w:t>
            </w:r>
          </w:p>
        </w:tc>
        <w:tc>
          <w:tcPr>
            <w:tcW w:w="933" w:type="pct"/>
            <w:gridSpan w:val="3"/>
            <w:tcBorders>
              <w:top w:val="nil"/>
              <w:left w:val="nil"/>
              <w:bottom w:val="single" w:color="auto" w:sz="4" w:space="0"/>
              <w:right w:val="nil"/>
            </w:tcBorders>
            <w:noWrap/>
            <w:vAlign w:val="bottom"/>
          </w:tcPr>
          <w:p>
            <w:pPr>
              <w:keepNext w:val="0"/>
              <w:keepLines w:val="0"/>
              <w:widowControl/>
              <w:suppressLineNumbers w:val="0"/>
              <w:jc w:val="center"/>
              <w:textAlignment w:val="bottom"/>
              <w:rPr>
                <w:rFonts w:hint="default" w:ascii="宋体" w:hAnsi="宋体" w:eastAsia="宋体" w:cs="宋体"/>
                <w:i w:val="0"/>
                <w:iCs w:val="0"/>
                <w:color w:val="000000"/>
                <w:kern w:val="0"/>
                <w:sz w:val="18"/>
                <w:szCs w:val="18"/>
                <w:highlight w:val="none"/>
                <w:u w:val="none"/>
                <w:lang w:val="en-US" w:eastAsia="zh-CN" w:bidi="ar"/>
              </w:rPr>
            </w:pPr>
            <w:r>
              <w:rPr>
                <w:rFonts w:hint="default" w:ascii="Times New Roman" w:hAnsi="Times New Roman" w:eastAsia="宋体" w:cs="Times New Roman"/>
                <w:i w:val="0"/>
                <w:iCs w:val="0"/>
                <w:color w:val="000000"/>
                <w:kern w:val="0"/>
                <w:sz w:val="18"/>
                <w:szCs w:val="18"/>
                <w:highlight w:val="none"/>
                <w:u w:val="none"/>
                <w:lang w:val="en-US" w:eastAsia="zh-CN" w:bidi="ar"/>
              </w:rPr>
              <w:t>202</w:t>
            </w:r>
            <w:r>
              <w:rPr>
                <w:rFonts w:hint="eastAsia" w:ascii="Times New Roman" w:hAnsi="Times New Roman" w:eastAsia="宋体" w:cs="Times New Roman"/>
                <w:i w:val="0"/>
                <w:iCs w:val="0"/>
                <w:color w:val="000000"/>
                <w:kern w:val="0"/>
                <w:sz w:val="18"/>
                <w:szCs w:val="18"/>
                <w:highlight w:val="none"/>
                <w:u w:val="none"/>
                <w:lang w:val="en-US" w:eastAsia="zh-CN" w:bidi="ar"/>
              </w:rPr>
              <w:t>4</w:t>
            </w: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年度</w:t>
            </w:r>
          </w:p>
        </w:tc>
        <w:tc>
          <w:tcPr>
            <w:tcW w:w="2129" w:type="pct"/>
            <w:gridSpan w:val="6"/>
            <w:tcBorders>
              <w:top w:val="nil"/>
              <w:left w:val="nil"/>
              <w:bottom w:val="single" w:color="auto" w:sz="4" w:space="0"/>
              <w:right w:val="nil"/>
            </w:tcBorders>
            <w:noWrap/>
            <w:vAlign w:val="bottom"/>
          </w:tcPr>
          <w:p>
            <w:pPr>
              <w:keepNext w:val="0"/>
              <w:keepLines w:val="0"/>
              <w:widowControl/>
              <w:suppressLineNumbers w:val="0"/>
              <w:jc w:val="right"/>
              <w:textAlignment w:val="bottom"/>
              <w:rPr>
                <w:rFonts w:hint="default" w:ascii="宋体" w:hAnsi="宋体" w:eastAsia="宋体" w:cs="宋体"/>
                <w:i w:val="0"/>
                <w:iCs w:val="0"/>
                <w:color w:val="000000"/>
                <w:kern w:val="0"/>
                <w:sz w:val="18"/>
                <w:szCs w:val="18"/>
                <w:highlight w:val="none"/>
                <w:u w:val="none"/>
                <w:lang w:val="en-US" w:eastAsia="zh-CN" w:bidi="ar"/>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2506" w:type="pct"/>
            <w:gridSpan w:val="7"/>
            <w:tcBorders>
              <w:top w:val="single" w:color="auto" w:sz="4" w:space="0"/>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预算数</w:t>
            </w:r>
          </w:p>
        </w:tc>
        <w:tc>
          <w:tcPr>
            <w:tcW w:w="2493" w:type="pct"/>
            <w:gridSpan w:val="7"/>
            <w:tcBorders>
              <w:top w:val="single" w:color="auto" w:sz="4" w:space="0"/>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决算数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restar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52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217" w:type="pct"/>
            <w:gridSpan w:val="4"/>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335"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c>
          <w:tcPr>
            <w:tcW w:w="366" w:type="pct"/>
            <w:gridSpan w:val="2"/>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合计</w:t>
            </w:r>
          </w:p>
        </w:tc>
        <w:tc>
          <w:tcPr>
            <w:tcW w:w="488"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因公出国（境）费</w:t>
            </w:r>
          </w:p>
        </w:tc>
        <w:tc>
          <w:tcPr>
            <w:tcW w:w="1126" w:type="pct"/>
            <w:gridSpan w:val="3"/>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公务用车购置及运行维护费</w:t>
            </w:r>
          </w:p>
        </w:tc>
        <w:tc>
          <w:tcPr>
            <w:tcW w:w="511" w:type="pct"/>
            <w:vMerge w:val="restar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vMerge w:val="continue"/>
            <w:tcBorders>
              <w:top w:val="nil"/>
              <w:left w:val="single" w:color="000000" w:sz="4" w:space="0"/>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52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335"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366" w:type="pct"/>
            <w:gridSpan w:val="2"/>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488"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小计</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公务用车购置费</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eastAsia" w:ascii="方正仿宋_GB2312" w:hAnsi="方正仿宋_GB2312" w:eastAsia="方正仿宋_GB2312" w:cs="方正仿宋_GB2312"/>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公务用车运行维护费</w:t>
            </w:r>
          </w:p>
        </w:tc>
        <w:tc>
          <w:tcPr>
            <w:tcW w:w="511" w:type="pct"/>
            <w:vMerge w:val="continue"/>
            <w:tcBorders>
              <w:top w:val="nil"/>
              <w:left w:val="nil"/>
              <w:bottom w:val="single" w:color="000000" w:sz="4" w:space="0"/>
              <w:right w:val="single" w:color="000000" w:sz="4" w:space="0"/>
            </w:tcBorders>
            <w:noWrap/>
            <w:vAlign w:val="center"/>
          </w:tcPr>
          <w:p>
            <w:pPr>
              <w:jc w:val="center"/>
              <w:rPr>
                <w:rFonts w:hint="eastAsia" w:ascii="方正仿宋_GB2312" w:hAnsi="方正仿宋_GB2312" w:eastAsia="方正仿宋_GB2312" w:cs="方正仿宋_GB2312"/>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w:t>
            </w:r>
          </w:p>
        </w:tc>
        <w:tc>
          <w:tcPr>
            <w:tcW w:w="52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2</w:t>
            </w:r>
          </w:p>
        </w:tc>
        <w:tc>
          <w:tcPr>
            <w:tcW w:w="350"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3</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4</w:t>
            </w:r>
          </w:p>
        </w:tc>
        <w:tc>
          <w:tcPr>
            <w:tcW w:w="458"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5</w:t>
            </w:r>
          </w:p>
        </w:tc>
        <w:tc>
          <w:tcPr>
            <w:tcW w:w="33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6</w:t>
            </w:r>
          </w:p>
        </w:tc>
        <w:tc>
          <w:tcPr>
            <w:tcW w:w="366" w:type="pct"/>
            <w:gridSpan w:val="2"/>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7</w:t>
            </w:r>
          </w:p>
        </w:tc>
        <w:tc>
          <w:tcPr>
            <w:tcW w:w="488"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8</w:t>
            </w:r>
          </w:p>
        </w:tc>
        <w:tc>
          <w:tcPr>
            <w:tcW w:w="275"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9</w:t>
            </w:r>
          </w:p>
        </w:tc>
        <w:tc>
          <w:tcPr>
            <w:tcW w:w="442"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10</w:t>
            </w:r>
          </w:p>
        </w:tc>
        <w:tc>
          <w:tcPr>
            <w:tcW w:w="407"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11</w:t>
            </w:r>
          </w:p>
        </w:tc>
        <w:tc>
          <w:tcPr>
            <w:tcW w:w="511" w:type="pct"/>
            <w:tcBorders>
              <w:top w:val="nil"/>
              <w:left w:val="nil"/>
              <w:bottom w:val="single" w:color="000000" w:sz="4" w:space="0"/>
              <w:right w:val="single" w:color="000000" w:sz="4" w:space="0"/>
            </w:tcBorders>
            <w:noWrap/>
            <w:vAlign w:val="center"/>
          </w:tcPr>
          <w:p>
            <w:pPr>
              <w:keepNext w:val="0"/>
              <w:keepLines w:val="0"/>
              <w:widowControl/>
              <w:suppressLineNumbers w:val="0"/>
              <w:jc w:val="center"/>
              <w:textAlignment w:val="center"/>
              <w:rPr>
                <w:rFonts w:hint="default" w:ascii="Times New Roman" w:hAnsi="Times New Roman" w:eastAsia="方正仿宋_GB2312" w:cs="Times New Roman"/>
                <w:i w:val="0"/>
                <w:iCs w:val="0"/>
                <w:color w:val="000000"/>
                <w:sz w:val="18"/>
                <w:szCs w:val="18"/>
                <w:highlight w:val="none"/>
                <w:u w:val="none"/>
              </w:rPr>
            </w:pPr>
            <w:r>
              <w:rPr>
                <w:rFonts w:hint="default" w:ascii="Times New Roman" w:hAnsi="Times New Roman" w:eastAsia="方正仿宋_GB2312" w:cs="Times New Roman"/>
                <w:i w:val="0"/>
                <w:iCs w:val="0"/>
                <w:color w:val="000000"/>
                <w:kern w:val="0"/>
                <w:sz w:val="18"/>
                <w:szCs w:val="18"/>
                <w:highlight w:val="none"/>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425" w:type="pct"/>
            <w:tcBorders>
              <w:top w:val="nil"/>
              <w:left w:val="single" w:color="000000" w:sz="4" w:space="0"/>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2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50"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58"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3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366" w:type="pct"/>
            <w:gridSpan w:val="2"/>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88"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275"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42"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407"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c>
          <w:tcPr>
            <w:tcW w:w="511" w:type="pct"/>
            <w:tcBorders>
              <w:top w:val="nil"/>
              <w:left w:val="nil"/>
              <w:bottom w:val="single" w:color="000000" w:sz="4" w:space="0"/>
              <w:right w:val="single" w:color="000000" w:sz="4" w:space="0"/>
            </w:tcBorders>
            <w:noWrap/>
            <w:vAlign w:val="center"/>
          </w:tcPr>
          <w:p>
            <w:pPr>
              <w:jc w:val="right"/>
              <w:rPr>
                <w:rFonts w:hint="default" w:ascii="Times New Roman" w:hAnsi="Times New Roman" w:eastAsia="方正仿宋_GB2312" w:cs="Times New Roman"/>
                <w:i w:val="0"/>
                <w:iCs w:val="0"/>
                <w:color w:val="000000"/>
                <w:sz w:val="18"/>
                <w:szCs w:val="18"/>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1" w:hRule="atLeast"/>
        </w:trPr>
        <w:tc>
          <w:tcPr>
            <w:tcW w:w="5000" w:type="pct"/>
            <w:gridSpan w:val="14"/>
            <w:tcBorders>
              <w:top w:val="nil"/>
              <w:left w:val="nil"/>
              <w:bottom w:val="nil"/>
              <w:right w:val="nil"/>
            </w:tcBorders>
            <w:noWrap/>
            <w:vAlign w:val="center"/>
          </w:tcPr>
          <w:p>
            <w:pPr>
              <w:keepNext w:val="0"/>
              <w:keepLines w:val="0"/>
              <w:widowControl/>
              <w:suppressLineNumbers w:val="0"/>
              <w:jc w:val="left"/>
              <w:textAlignment w:val="center"/>
              <w:rPr>
                <w:rFonts w:hint="eastAsia" w:ascii="宋体" w:hAnsi="宋体" w:eastAsia="宋体" w:cs="宋体"/>
                <w:i w:val="0"/>
                <w:iCs w:val="0"/>
                <w:color w:val="000000"/>
                <w:sz w:val="18"/>
                <w:szCs w:val="18"/>
                <w:highlight w:val="none"/>
                <w:u w:val="none"/>
              </w:rPr>
            </w:pPr>
            <w:r>
              <w:rPr>
                <w:rFonts w:hint="eastAsia" w:ascii="方正仿宋_GB2312" w:hAnsi="方正仿宋_GB2312" w:eastAsia="方正仿宋_GB2312" w:cs="方正仿宋_GB2312"/>
                <w:i w:val="0"/>
                <w:iCs w:val="0"/>
                <w:color w:val="000000"/>
                <w:kern w:val="0"/>
                <w:sz w:val="18"/>
                <w:szCs w:val="18"/>
                <w:highlight w:val="none"/>
                <w:u w:val="none"/>
                <w:lang w:val="en-US" w:eastAsia="zh-CN" w:bidi="ar"/>
              </w:rPr>
              <w:t>注：本表反映部门本年度财政拨款“三公”经费支出预决算情况。其中：预算数为“三公”经费全年预算数，反映按规定程序调整后的预算数；决算数是包括当年财政拨款和以前年度结转资金安排的实际支出。</w:t>
            </w:r>
            <w:r>
              <w:rPr>
                <w:rFonts w:hint="eastAsia" w:ascii="方正仿宋_GB2312" w:hAnsi="方正仿宋_GB2312" w:eastAsia="方正仿宋_GB2312" w:cs="方正仿宋_GB2312"/>
                <w:i w:val="0"/>
                <w:iCs w:val="0"/>
                <w:color w:val="000000"/>
                <w:kern w:val="0"/>
                <w:sz w:val="20"/>
                <w:szCs w:val="20"/>
                <w:highlight w:val="none"/>
                <w:u w:val="none"/>
                <w:lang w:val="en-US" w:eastAsia="zh-CN" w:bidi="ar"/>
              </w:rPr>
              <w:t>（如无相关数据，则需注明空表列示）</w:t>
            </w:r>
          </w:p>
        </w:tc>
      </w:tr>
    </w:tbl>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pPr>
    </w:p>
    <w:p>
      <w:pPr>
        <w:rPr>
          <w:rFonts w:hint="eastAsia" w:ascii="仿宋_GB2312" w:hAnsi="宋体" w:eastAsia="仿宋_GB2312"/>
          <w:b/>
          <w:color w:val="auto"/>
          <w:kern w:val="0"/>
          <w:sz w:val="32"/>
          <w:szCs w:val="32"/>
          <w:highlight w:val="none"/>
        </w:rPr>
      </w:pPr>
      <w:r>
        <w:rPr>
          <w:rFonts w:hint="eastAsia" w:ascii="仿宋_GB2312" w:hAnsi="宋体" w:eastAsia="仿宋_GB2312"/>
          <w:b/>
          <w:color w:val="auto"/>
          <w:kern w:val="0"/>
          <w:sz w:val="32"/>
          <w:szCs w:val="32"/>
          <w:highlight w:val="none"/>
        </w:rPr>
        <w:br w:type="page"/>
      </w:r>
    </w:p>
    <w:p>
      <w:pPr>
        <w:keepNext w:val="0"/>
        <w:keepLines w:val="0"/>
        <w:pageBreakBefore w:val="0"/>
        <w:widowControl w:val="0"/>
        <w:kinsoku/>
        <w:wordWrap/>
        <w:overflowPunct/>
        <w:topLinePunct w:val="0"/>
        <w:autoSpaceDE/>
        <w:autoSpaceDN/>
        <w:bidi w:val="0"/>
        <w:adjustRightInd/>
        <w:snapToGrid/>
        <w:spacing w:line="240" w:lineRule="auto"/>
        <w:jc w:val="both"/>
        <w:textAlignment w:val="auto"/>
        <w:outlineLvl w:val="9"/>
        <w:rPr>
          <w:rFonts w:hint="eastAsia" w:ascii="仿宋_GB2312" w:hAnsi="宋体" w:eastAsia="仿宋_GB2312"/>
          <w:b/>
          <w:color w:val="auto"/>
          <w:kern w:val="0"/>
          <w:sz w:val="32"/>
          <w:szCs w:val="32"/>
          <w:highlight w:val="none"/>
        </w:rPr>
        <w:sectPr>
          <w:headerReference r:id="rId9" w:type="default"/>
          <w:footerReference r:id="rId10" w:type="default"/>
          <w:pgSz w:w="11906" w:h="16838"/>
          <w:pgMar w:top="1531" w:right="1984" w:bottom="1531" w:left="2098" w:header="851" w:footer="992" w:gutter="0"/>
          <w:pgBorders>
            <w:top w:val="none" w:sz="0" w:space="0"/>
            <w:left w:val="none" w:sz="0" w:space="0"/>
            <w:bottom w:val="none" w:sz="0" w:space="0"/>
            <w:right w:val="none" w:sz="0" w:space="0"/>
          </w:pgBorders>
          <w:cols w:space="720" w:num="1"/>
          <w:docGrid w:type="lines" w:linePitch="312" w:charSpace="0"/>
        </w:sectPr>
      </w:pP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第三部分   </w:t>
      </w:r>
      <w:r>
        <w:rPr>
          <w:rFonts w:ascii="Times New Roman" w:eastAsia="仿宋_GB2312"/>
          <w:b w:val="0"/>
          <w:sz w:val="44"/>
          <w:szCs w:val="44"/>
        </w:rPr>
        <w:t>2024</w:t>
      </w:r>
      <w:r>
        <w:rPr>
          <w:rFonts w:ascii="Times New Roman" w:eastAsia="黑体"/>
          <w:b w:val="0"/>
          <w:sz w:val="44"/>
          <w:szCs w:val="44"/>
        </w:rPr>
        <w:t>年度部门决算情况说明</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一、收入支出决算总体情况说明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本单位2024年度收、支总计（含结转和结余）均为646.79万元。与2023年度决算相比，收支各减少1,382.88万元，下降68.1%，主要原因是</w:t>
      </w:r>
      <w:r>
        <w:rPr>
          <w:rFonts w:hint="eastAsia" w:ascii="Times New Roman" w:eastAsia="仿宋_GB2312"/>
          <w:b w:val="0"/>
          <w:sz w:val="32"/>
          <w:szCs w:val="32"/>
          <w:lang w:val="en-US" w:eastAsia="zh-CN"/>
        </w:rPr>
        <w:t>项目支出减少，招商引资支出减少1459.55万元</w:t>
      </w:r>
      <w:r>
        <w:rPr>
          <w:rFonts w:ascii="Times New Roman" w:eastAsia="仿宋_GB2312"/>
          <w:b w:val="0"/>
          <w:sz w:val="32"/>
          <w:szCs w:val="32"/>
        </w:rPr>
        <w:t>。</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Arial" w:cs="Times New Roman"/>
          <w:highlight w:val="none"/>
        </w:rPr>
      </w:pPr>
      <w:r>
        <w:rPr>
          <w:rFonts w:hint="eastAsia" w:ascii="Times New Roman" w:hAnsi="Times New Roman" w:eastAsia="宋体"/>
        </w:rPr>
        <w:drawing>
          <wp:inline distT="0" distB="0" distL="114300" distR="114300">
            <wp:extent cx="5256530" cy="2988310"/>
            <wp:effectExtent l="5080" t="4445" r="8890" b="17145"/>
            <wp:docPr id="5" name="图表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r>
        <w:rPr>
          <w:rFonts w:hint="default" w:ascii="Times New Roman" w:hAnsi="Times New Roman" w:eastAsia="Arial" w:cs="Times New Roman"/>
          <w:i w:val="0"/>
          <w:iCs w:val="0"/>
          <w:caps w:val="0"/>
          <w:color w:val="000000"/>
          <w:spacing w:val="0"/>
          <w:sz w:val="18"/>
          <w:szCs w:val="18"/>
          <w:highlight w:val="none"/>
          <w:shd w:val="clear" w:fill="FFFFFF"/>
        </w:rPr>
        <w:t> </w:t>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二、收入决算情况说明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收入合计646.79万元，其中：财政拨款收入646.79万元，占100.0%​；上级补助收入0.00万元，占0.0%；事业收入0.00万元，占0.0%；经营收入0.00万元，占0.0%；附属单位上缴收入0.00万元，占0.0%；其他收入0.00万元，占0.0%。</w:t>
      </w:r>
    </w:p>
    <w:p>
      <w:pPr>
        <w:adjustRightInd w:val="0"/>
        <w:snapToGrid w:val="0"/>
        <w:spacing w:line="580" w:lineRule="exact"/>
        <w:jc w:val="both"/>
        <w:rPr>
          <w:rFonts w:hint="default" w:ascii="Times New Roman" w:hAnsi="Times New Roman" w:eastAsia="仿宋_GB2312" w:cs="Times New Roman"/>
          <w:kern w:val="2"/>
          <w:sz w:val="32"/>
          <w:szCs w:val="32"/>
          <w:highlight w:val="yellow"/>
          <w:lang w:val="zh-CN"/>
        </w:rPr>
      </w:pPr>
      <w:r>
        <w:rPr>
          <w:rFonts w:ascii="Times New Roman" w:hAnsi="Times New Roman" w:eastAsia="仿宋_GB2312"/>
          <w:kern w:val="2"/>
          <w:sz w:val="32"/>
          <w:szCs w:val="32"/>
          <w:highlight w:val="yellow"/>
          <w:lang w:val="zh-CN"/>
        </w:rPr>
        <w:drawing>
          <wp:anchor distT="0" distB="0" distL="114300" distR="114300" simplePos="0" relativeHeight="251661312" behindDoc="0" locked="0" layoutInCell="1" allowOverlap="1">
            <wp:simplePos x="0" y="0"/>
            <wp:positionH relativeFrom="column">
              <wp:posOffset>-16510</wp:posOffset>
            </wp:positionH>
            <wp:positionV relativeFrom="paragraph">
              <wp:posOffset>201930</wp:posOffset>
            </wp:positionV>
            <wp:extent cx="5256530" cy="2988310"/>
            <wp:effectExtent l="5080" t="4445" r="8890" b="17145"/>
            <wp:wrapTopAndBottom/>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pPr>
        <w:widowControl/>
        <w:spacing w:before="0" w:beforeLines="0" w:beforeAutospacing="0" w:after="0" w:afterLines="0" w:afterAutospacing="0" w:line="360" w:lineRule="auto"/>
        <w:jc w:val="left"/>
        <w:outlineLvl w:val="1"/>
        <w:rPr>
          <w:rFonts w:ascii="Times New Roman" w:eastAsia="黑体"/>
          <w:sz w:val="32"/>
          <w:szCs w:val="32"/>
        </w:rPr>
      </w:pPr>
      <w:r>
        <w:rPr>
          <w:rFonts w:ascii="Times New Roman" w:eastAsia="黑体"/>
          <w:b w:val="0"/>
          <w:sz w:val="32"/>
          <w:szCs w:val="32"/>
        </w:rPr>
        <w:t>三、支出决算情况说明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本单位2024年度本年支出合计646.79万元，其中：基本支出390.37万元，占60.4%；项目支出256.42万元，占39.6%；上缴上级支出0.00万元，占0.0%；经营支出0.00万元，占0.0%；对附属单位补助支出0.00万元，占0.0%。</w:t>
      </w:r>
    </w:p>
    <w:p>
      <w:pPr>
        <w:autoSpaceDE w:val="0"/>
        <w:autoSpaceDN w:val="0"/>
        <w:adjustRightInd w:val="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cs="Times New Roman"/>
          <w:sz w:val="32"/>
          <w:szCs w:val="32"/>
          <w:highlight w:val="none"/>
        </w:rPr>
        <w:drawing>
          <wp:inline distT="0" distB="0" distL="114300" distR="114300">
            <wp:extent cx="5256530" cy="2988310"/>
            <wp:effectExtent l="5080" t="4445" r="11430" b="9525"/>
            <wp:docPr id="7" name="图表 7"/>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四、财政拨款收入支出决算总体情况说明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（一）财政拨款收支与</w:t>
      </w:r>
      <w:r>
        <w:rPr>
          <w:rFonts w:ascii="Times New Roman" w:eastAsia="仿宋_GB2312"/>
          <w:b/>
          <w:sz w:val="32"/>
          <w:szCs w:val="32"/>
        </w:rPr>
        <w:t>2023</w:t>
      </w:r>
      <w:r>
        <w:rPr>
          <w:rFonts w:ascii="Times New Roman" w:eastAsia="楷体_GB2312"/>
          <w:b/>
          <w:sz w:val="32"/>
          <w:szCs w:val="32"/>
        </w:rPr>
        <w:t>年度决算对比情况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本单位2024年度财政拨款收、支总计（含结转和结余）均为646.79万元。与2023年度相比，财政拨款收支各减少1,382.88万元，降低68.1%，主要原因是</w:t>
      </w:r>
      <w:r>
        <w:rPr>
          <w:rFonts w:hint="eastAsia" w:ascii="Times New Roman" w:eastAsia="仿宋_GB2312"/>
          <w:b w:val="0"/>
          <w:sz w:val="32"/>
          <w:szCs w:val="32"/>
          <w:lang w:val="en-US" w:eastAsia="zh-CN"/>
        </w:rPr>
        <w:t>项目支出减少，招商引资支出减少1459.55万元</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本单位2024年度财政拨款本年收入646.79万元,比上年减少1,382.88万元，降低68.1%，主要原因是</w:t>
      </w:r>
      <w:r>
        <w:rPr>
          <w:rFonts w:hint="eastAsia" w:ascii="Times New Roman" w:eastAsia="仿宋_GB2312"/>
          <w:b w:val="0"/>
          <w:sz w:val="32"/>
          <w:szCs w:val="32"/>
          <w:lang w:val="en-US" w:eastAsia="zh-CN"/>
        </w:rPr>
        <w:t>项目支出减少，招商引资支出减少1459.55万元</w:t>
      </w:r>
      <w:r>
        <w:rPr>
          <w:rFonts w:ascii="Times New Roman" w:eastAsia="仿宋_GB2312"/>
          <w:b w:val="0"/>
          <w:sz w:val="32"/>
          <w:szCs w:val="32"/>
        </w:rPr>
        <w:t>；本年支出646.79万元，比上年减少1,382.88万元，降低68.1%，主要原因是</w:t>
      </w:r>
      <w:r>
        <w:rPr>
          <w:rFonts w:hint="eastAsia" w:ascii="Times New Roman" w:eastAsia="仿宋_GB2312"/>
          <w:b w:val="0"/>
          <w:sz w:val="32"/>
          <w:szCs w:val="32"/>
          <w:lang w:val="en-US" w:eastAsia="zh-CN"/>
        </w:rPr>
        <w:t>项目支出减少，招商引资支出减少1459.55万元</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outlineLvl w:val="1"/>
        <w:rPr>
          <w:rFonts w:ascii="Times New Roman" w:eastAsia="仿宋_GB2312"/>
          <w:sz w:val="32"/>
          <w:szCs w:val="32"/>
        </w:rPr>
      </w:pPr>
      <w:r>
        <w:rPr>
          <w:rFonts w:ascii="Times New Roman" w:eastAsia="仿宋_GB2312"/>
          <w:b w:val="0"/>
          <w:sz w:val="32"/>
          <w:szCs w:val="32"/>
        </w:rPr>
        <w:t>1. 一般公共预算财政拨款本年收入646.79万元,比上年减少1,382.88万元，降低68.1%，主要原因是</w:t>
      </w:r>
      <w:r>
        <w:rPr>
          <w:rFonts w:hint="eastAsia" w:ascii="Times New Roman" w:eastAsia="仿宋_GB2312"/>
          <w:b w:val="0"/>
          <w:sz w:val="32"/>
          <w:szCs w:val="32"/>
          <w:lang w:val="en-US" w:eastAsia="zh-CN"/>
        </w:rPr>
        <w:t>项目支出减少，招商引资支出减少1459.55万元</w:t>
      </w:r>
      <w:r>
        <w:rPr>
          <w:rFonts w:ascii="Times New Roman" w:eastAsia="仿宋_GB2312"/>
          <w:b w:val="0"/>
          <w:sz w:val="32"/>
          <w:szCs w:val="32"/>
        </w:rPr>
        <w:t>；本年支出646.79万元，比上年减少1,382.88万元，降低68.1%，主要原因是</w:t>
      </w:r>
      <w:r>
        <w:rPr>
          <w:rFonts w:hint="eastAsia" w:ascii="Times New Roman" w:eastAsia="仿宋_GB2312"/>
          <w:b w:val="0"/>
          <w:sz w:val="32"/>
          <w:szCs w:val="32"/>
          <w:lang w:val="en-US" w:eastAsia="zh-CN"/>
        </w:rPr>
        <w:t>项目支出减少，招商引资支出减少1459.55万元</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政府性基金预算财政拨款本年收入0.00万元，比上年增加0.00万元，增长0.00%；本年支出0.00万元，比上年增加0.00万元，增长0.00%。</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国有资本经营预算财政拨款本年收入0.00万元，比上年增加0.00万元，增长0.00%；本年支出0.00万元，比上年增加0.00万元，增长0.00%。</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sz w:val="32"/>
          <w:szCs w:val="32"/>
          <w:highlight w:val="none"/>
          <w:lang w:val="en-US" w:eastAsia="zh-CN"/>
        </w:rPr>
      </w:pPr>
      <w:r>
        <w:rPr>
          <w:rFonts w:ascii="Times New Roman" w:hAnsi="Times New Roman" w:eastAsia="仿宋_GB2312"/>
          <w:sz w:val="32"/>
          <w:szCs w:val="32"/>
        </w:rPr>
        <w:drawing>
          <wp:inline distT="0" distB="0" distL="114300" distR="114300">
            <wp:extent cx="5256530" cy="2988310"/>
            <wp:effectExtent l="5080" t="4445" r="8890" b="17145"/>
            <wp:docPr id="3" name="图表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（二）财政拨款收支与年初预算数对比情况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本单位2024年度财政拨款本年收入646.79万元，完成年初预算的38.2%，比年初预算减少1,045.38万元，决算数小于预算数主要原因是</w:t>
      </w:r>
      <w:r>
        <w:rPr>
          <w:rFonts w:hint="eastAsia" w:ascii="Times New Roman" w:eastAsia="仿宋_GB2312"/>
          <w:b w:val="0"/>
          <w:sz w:val="32"/>
          <w:szCs w:val="32"/>
          <w:lang w:val="en-US" w:eastAsia="zh-CN"/>
        </w:rPr>
        <w:t>招商引资项目收入减少</w:t>
      </w:r>
      <w:r>
        <w:rPr>
          <w:rFonts w:ascii="Times New Roman" w:eastAsia="仿宋_GB2312"/>
          <w:b w:val="0"/>
          <w:sz w:val="32"/>
          <w:szCs w:val="32"/>
        </w:rPr>
        <w:t> ；本年支出646.79万元，完成年初预算的38.2%，比年初预算减少1,045.38万元，决算数小于预算数主要原因是</w:t>
      </w:r>
      <w:r>
        <w:rPr>
          <w:rFonts w:hint="eastAsia" w:ascii="Times New Roman" w:eastAsia="仿宋_GB2312"/>
          <w:b w:val="0"/>
          <w:sz w:val="32"/>
          <w:szCs w:val="32"/>
          <w:lang w:val="en-US" w:eastAsia="zh-CN"/>
        </w:rPr>
        <w:t>招商引资项目收入减少</w:t>
      </w:r>
      <w:r>
        <w:rPr>
          <w:rFonts w:ascii="Times New Roman" w:eastAsia="仿宋_GB2312"/>
          <w:b w:val="0"/>
          <w:sz w:val="32"/>
          <w:szCs w:val="32"/>
        </w:rPr>
        <w:t>。具体情况如下：</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 一般公共预算财政拨款本年收入完成年初预算的38.2%，比年初预算减少1,045.38万元，主要原因是</w:t>
      </w:r>
      <w:r>
        <w:rPr>
          <w:rFonts w:hint="eastAsia" w:ascii="Times New Roman" w:eastAsia="仿宋_GB2312"/>
          <w:b w:val="0"/>
          <w:sz w:val="32"/>
          <w:szCs w:val="32"/>
          <w:lang w:val="en-US" w:eastAsia="zh-CN"/>
        </w:rPr>
        <w:t>招商引资项目收入减少</w:t>
      </w:r>
      <w:r>
        <w:rPr>
          <w:rFonts w:ascii="Times New Roman" w:eastAsia="仿宋_GB2312"/>
          <w:b w:val="0"/>
          <w:sz w:val="32"/>
          <w:szCs w:val="32"/>
        </w:rPr>
        <w:t>；支出完成年初预算的38.2%，比年初预算减少1,045.38万元，主要原因是</w:t>
      </w:r>
      <w:r>
        <w:rPr>
          <w:rFonts w:hint="eastAsia" w:ascii="Times New Roman" w:eastAsia="仿宋_GB2312"/>
          <w:b w:val="0"/>
          <w:sz w:val="32"/>
          <w:szCs w:val="32"/>
          <w:lang w:val="en-US" w:eastAsia="zh-CN"/>
        </w:rPr>
        <w:t>项目支出减少，招商引资支出减少</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政府性基金预算财政拨款本年收入完成年初预算的0.0%，比年初预算增加0.00万元；支出完成年初预算的0.0%，比年初预算增加0.00万元。</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3. 国有资本经营预算财政拨款本年收入完成年初预算的0.0 %，比年初预算增加0.00万元；支出完成年初预算的0.0%，比年初预算增加0.00万元。</w:t>
      </w: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rPr>
          <w:rFonts w:hint="default" w:ascii="Times New Roman" w:hAnsi="Times New Roman" w:eastAsia="Arial" w:cs="Times New Roman"/>
          <w:highlight w:val="none"/>
        </w:rPr>
      </w:pPr>
    </w:p>
    <w:p>
      <w:pPr>
        <w:pStyle w:val="11"/>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ascii="Times New Roman" w:hAnsi="Times New Roman" w:eastAsia="仿宋_GB2312" w:cs="Times New Roman"/>
          <w:color w:val="auto"/>
          <w:kern w:val="0"/>
          <w:sz w:val="32"/>
          <w:szCs w:val="32"/>
          <w:highlight w:val="none"/>
          <w:lang w:val="en-US" w:eastAsia="zh-CN" w:bidi="ar-SA"/>
        </w:rPr>
      </w:pPr>
      <w:r>
        <w:rPr>
          <w:rFonts w:ascii="Times New Roman" w:hAnsi="Times New Roman" w:eastAsia="仿宋_GB2312"/>
          <w:sz w:val="32"/>
          <w:szCs w:val="32"/>
          <w:highlight w:val="none"/>
        </w:rPr>
        <w:drawing>
          <wp:inline distT="0" distB="0" distL="114300" distR="114300">
            <wp:extent cx="5256530" cy="2988310"/>
            <wp:effectExtent l="5080" t="4445" r="8890" b="17145"/>
            <wp:docPr id="11" name="图表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（三）财政拨款支出决算结构情况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2024年度财政拨款支出646.79万元，主要用于以下方面：</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一般公共预算财政拨款支出：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一般公共服务（类）支出​471.92万元，占​73.0​%，主要用于</w:t>
      </w:r>
      <w:r>
        <w:rPr>
          <w:rFonts w:hint="eastAsia" w:ascii="Times New Roman" w:eastAsia="仿宋_GB2312"/>
          <w:b w:val="0"/>
          <w:sz w:val="32"/>
          <w:szCs w:val="32"/>
          <w:lang w:val="en-US" w:eastAsia="zh-CN"/>
        </w:rPr>
        <w:t>工资福利</w:t>
      </w:r>
      <w:r>
        <w:rPr>
          <w:rFonts w:ascii="Times New Roman" w:eastAsia="仿宋_GB2312"/>
          <w:b w:val="0"/>
          <w:sz w:val="32"/>
          <w:szCs w:val="32"/>
        </w:rPr>
        <w:t>等支出；外交（类）支出0.00万元，占0.0%，；国防（类）支出​0.00万元，占0.0%，；公共安全类（类）支出0.00万元，占0.0%，；教育（类）支出0.00万元，占0.0%，；科学技术（类）支出90.00万元，占13.9%</w:t>
      </w:r>
      <w:r>
        <w:rPr>
          <w:rFonts w:hint="eastAsia" w:ascii="Times New Roman" w:eastAsia="仿宋_GB2312"/>
          <w:b w:val="0"/>
          <w:sz w:val="32"/>
          <w:szCs w:val="32"/>
          <w:lang w:eastAsia="zh-CN"/>
        </w:rPr>
        <w:t>，</w:t>
      </w:r>
      <w:r>
        <w:rPr>
          <w:rFonts w:ascii="Times New Roman" w:eastAsia="仿宋_GB2312"/>
          <w:b w:val="0"/>
          <w:sz w:val="32"/>
          <w:szCs w:val="32"/>
        </w:rPr>
        <w:t>；文化旅游体育与传媒（类）支出0.00万元，占0.0%；社会保障和就业 （类）支出31.41​​​万元，占4.9%；卫生健康（类）支出22.93万元，占3.5%；节能环保（类）支出0.00万元，占0.0%；城乡社区（类）支出0.00万元，占0.0%；农林水（类）支出0.00​万元，占0.0%；交通运输（类）支出0.00万元，占0.0%；资源勘探信息等（类）支出0.00万元，占0.0%；商业服务业等（类）支出1.00​万元，占0.2%；金融（类）支出0.00万元，占0.0%；援助其他地区（类）支出0.00万元，占0.0%；自然资源海洋气象等（类）支出0.00万元，占0.0%；住房保障（类）支出29.52万元，占4.6%；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政府性基金预算财政拨款支出：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外交（类）支出0.00万元，占0.0%；国防（类）支出0.00​万元，占0.0%；公共安全类（类）支出0.00万元，占0.0%；教育（类）支出0.00万元，占0.0%；科学技术（类）支出0.00万元，占0.0%；文化旅游体育与传媒（类）支出0.00万元，占0.0%；社会保障和就业 （类）支出0.00万元，占0.0%；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国有资本经营预算财政拨款支出：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一般公共服务（类）支出0.00万元，占0.0%，主要用于等支出；外交（类）支出0.00万元，占0.0%，主要用于等支出；国防（类）支出0.00万元，占0.0%，主要用于等支出；公共安全（类）支出0.00万元，占0.0%，主要用于等支出；教育（类）支出0.00万元，占0.0%，主要用于等支出；科学技术（类）支出0.00万元，占0.0%，主要用于等支出；文化旅游体育与传媒（类）支出0.00万元，占0.0%，主要用于等支出；社会保障和就业 （类）支出0.00万元，占0.0%，主要用于等支出；卫生健康（类）支出0.00万元，占0.0%；节能环保（类）支出0.00万元，占0.0%；城乡社区（类）支出0.00万元，占0.0%；农林水（类）支出0.00万元，占0.0%；交通运输（类）支出0.00万元，占0.0%；资源勘探信息等（类）支出0.00万元，占0.0%，；商业服务业等（类）支出0.00万元，占0.0%；金融（类）支出0.00万元，占0.0%；援助其他地区（类）支出0.00万元，占0.0%；自然资源海洋气象等（类）支出0.00万元，占0.0%；住房保障（类）支出0.00万元，占0.0%；粮油物资储备（类）支出0.00万元，占0.0%；国有资本经营预算支出0.00万元，占0.0%；害防治及应急管理（类）支出0.00万元，占0.0%；其他（类）支出0.00万元，占0.0%；债务还本（类）支出0.00万元，占0.0%；债务付息（类）支出0.00万元，占0.0%；抗疫特别国债安排的支出0.00万元，占0.0%。</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spacing w:before="0" w:beforeAutospacing="0" w:after="0" w:afterAutospacing="0"/>
        <w:ind w:left="0" w:right="0"/>
        <w:jc w:val="left"/>
        <w:textAlignment w:val="auto"/>
        <w:rPr>
          <w:rFonts w:hint="default" w:ascii="Times New Roman" w:hAnsi="Times New Roman" w:eastAsia="仿宋_GB2312" w:cs="Times New Roman"/>
          <w:color w:val="auto"/>
          <w:kern w:val="2"/>
          <w:sz w:val="32"/>
          <w:szCs w:val="32"/>
          <w:lang w:val="zh-CN" w:eastAsia="zh-CN" w:bidi="ar-SA"/>
        </w:rPr>
      </w:pPr>
      <w:r>
        <w:rPr>
          <w:rFonts w:ascii="Times New Roman" w:hAnsi="Times New Roman" w:eastAsia="仿宋_GB2312"/>
          <w:kern w:val="2"/>
          <w:sz w:val="32"/>
          <w:szCs w:val="32"/>
          <w:lang w:val="zh-CN"/>
        </w:rPr>
        <w:drawing>
          <wp:inline distT="0" distB="0" distL="114300" distR="114300">
            <wp:extent cx="5859145" cy="2988310"/>
            <wp:effectExtent l="5080" t="4445" r="15875" b="17145"/>
            <wp:docPr id="13" name="图表 13"/>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（四）一般公共预算基本支出决算情况说明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  2024年度财政拨款基本支出390.37万元，其中：</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人员经费327.70万元，主要包括基本工资、津贴补贴、奖金、绩效工资、机关事业部门基本养老保险缴费、职业年金缴费、职工基本医疗保险缴费、公务员医疗补助缴费、住房公积金、医疗费、其他社会保障缴费、其他工资福利支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公用经费62.67万元，主要包括办公费、手续费、水费、电费、、劳务费、工会经费、福利费、其他商品和服务支出。</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五、财政拨款“三公” 经费支出决算情况说明</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（一）“三公”经费财政拨款支出决算总体情况说明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本单位2024年度“三公”经费财政拨款支出预算为0.00万元，支出决算为0.00万元，完成预算的0.0%，较预算增加0.00万元，增长0.0%；较2023年度决算减少3.59万元，降低100.0%，主要原因是</w:t>
      </w:r>
      <w:r>
        <w:rPr>
          <w:rFonts w:hint="eastAsia" w:ascii="Times New Roman" w:eastAsia="仿宋_GB2312"/>
          <w:b w:val="0"/>
          <w:sz w:val="32"/>
          <w:szCs w:val="32"/>
          <w:lang w:val="en-US" w:eastAsia="zh-CN"/>
        </w:rPr>
        <w:t>本年度没有三公经费支出</w:t>
      </w:r>
      <w:r>
        <w:rPr>
          <w:rFonts w:ascii="Times New Roman" w:eastAsia="仿宋_GB2312"/>
          <w:b w:val="0"/>
          <w:sz w:val="32"/>
          <w:szCs w:val="32"/>
        </w:rPr>
        <w:t>。</w:t>
      </w:r>
    </w:p>
    <w:p>
      <w:pPr>
        <w:widowControl/>
        <w:spacing w:before="0" w:beforeLines="0" w:beforeAutospacing="0" w:after="0" w:afterLines="0" w:afterAutospacing="0" w:line="360" w:lineRule="auto"/>
        <w:ind w:firstLine="643" w:firstLineChars="200"/>
        <w:jc w:val="left"/>
        <w:rPr>
          <w:rFonts w:ascii="Times New Roman" w:eastAsia="楷体_GB2312"/>
          <w:sz w:val="32"/>
          <w:szCs w:val="32"/>
        </w:rPr>
      </w:pPr>
      <w:r>
        <w:rPr>
          <w:rFonts w:ascii="Times New Roman" w:eastAsia="楷体_GB2312"/>
          <w:b/>
          <w:sz w:val="32"/>
          <w:szCs w:val="32"/>
        </w:rPr>
        <w:t>（二）“三公”经费财政拨款支出决算具体情况说明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1.因公出国（境）费支出情况。</w:t>
      </w:r>
      <w:r>
        <w:rPr>
          <w:rFonts w:ascii="Times New Roman" w:eastAsia="仿宋_GB2312"/>
          <w:b w:val="0"/>
          <w:sz w:val="32"/>
          <w:szCs w:val="32"/>
        </w:rPr>
        <w:t>本单位2024年度因公出国（境）费支出预算为0.00万元,支出决算0.00万元。完成预算的0.0%。因公出国（境）费支出较预算增加0.00万元，增长0.0%；较上年减少3.59万元，降低100.0%,主要原因是</w:t>
      </w:r>
      <w:r>
        <w:rPr>
          <w:rFonts w:hint="eastAsia" w:ascii="Times New Roman" w:eastAsia="仿宋_GB2312"/>
          <w:b w:val="0"/>
          <w:sz w:val="32"/>
          <w:szCs w:val="32"/>
          <w:lang w:val="en-US" w:eastAsia="zh-CN"/>
        </w:rPr>
        <w:t>2024年度没有因公出国，无此项费用</w:t>
      </w:r>
      <w:r>
        <w:rPr>
          <w:rFonts w:ascii="Times New Roman" w:eastAsia="仿宋_GB2312"/>
          <w:b w:val="0"/>
          <w:sz w:val="32"/>
          <w:szCs w:val="32"/>
        </w:rPr>
        <w:t>。因公出国（境）团组0个、共0人、参加其他单位组织的因公出国（境）团组</w:t>
      </w:r>
      <w:r>
        <w:rPr>
          <w:rFonts w:hint="eastAsia" w:ascii="Times New Roman" w:eastAsia="仿宋_GB2312"/>
          <w:b w:val="0"/>
          <w:sz w:val="32"/>
          <w:szCs w:val="32"/>
          <w:lang w:val="en-US" w:eastAsia="zh-CN"/>
        </w:rPr>
        <w:t>0</w:t>
      </w:r>
      <w:r>
        <w:rPr>
          <w:rFonts w:ascii="Times New Roman" w:eastAsia="仿宋_GB2312"/>
          <w:b w:val="0"/>
          <w:sz w:val="32"/>
          <w:szCs w:val="32"/>
        </w:rPr>
        <w:t>个、无本部门组织的出国（境）团组。</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 2.公务用车购置及运行维护费支出情况。</w:t>
      </w:r>
      <w:r>
        <w:rPr>
          <w:rFonts w:ascii="Times New Roman" w:eastAsia="仿宋_GB2312"/>
          <w:b w:val="0"/>
          <w:sz w:val="32"/>
          <w:szCs w:val="32"/>
        </w:rPr>
        <w:t>本单位2024年度公务用车购置及运行维护费预算为0.00万元，支出决算0.00万元，完成预算的0.0%,较预算增加0.00万元，增长0.0%；较上年增加0.00万元，增长0.00%。其中：</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公务用车购置费支出0.00万元：</w:t>
      </w:r>
      <w:r>
        <w:rPr>
          <w:rFonts w:ascii="Times New Roman" w:eastAsia="仿宋_GB2312"/>
          <w:b w:val="0"/>
          <w:sz w:val="32"/>
          <w:szCs w:val="32"/>
        </w:rPr>
        <w:t>本单位2024年度公务用车购置量0辆，发生“公务用车购置”经费支出0.00 万元。公务用车购置费支出较预算增加0.00万元，增长0.0%；较上年增加0.00万元，增长0.00%。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公务用车运行维护费支出0.00万元：</w:t>
      </w:r>
      <w:r>
        <w:rPr>
          <w:rFonts w:ascii="Times New Roman" w:eastAsia="仿宋_GB2312"/>
          <w:b w:val="0"/>
          <w:sz w:val="32"/>
          <w:szCs w:val="32"/>
        </w:rPr>
        <w:t>本单位2024年度单位公务用车保有量0辆，发生运行维护费支出0.00万元。公车运行维护费支出较预算增加0.00万元，增长0.0%；较上年增加0.00万元，增长0.00%。</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楷体_GB2312"/>
          <w:b/>
          <w:sz w:val="32"/>
          <w:szCs w:val="32"/>
        </w:rPr>
        <w:t>3.公务接待费支出情况。</w:t>
      </w:r>
      <w:r>
        <w:rPr>
          <w:rFonts w:ascii="Times New Roman" w:eastAsia="仿宋_GB2312"/>
          <w:b w:val="0"/>
          <w:sz w:val="32"/>
          <w:szCs w:val="32"/>
        </w:rPr>
        <w:t>本单位2024年度公务接待费支出预算为0.00万元，支出决算0.00万元，完成预算的0.0%。公务接待费支出较预算增加0.00万元，增长0.0%；较上年度增加0.00万元，增长0.00%。本年度共发生公务接待0批次、0人次。</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六、机关运行经费支出说明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本单位2024年度机关运行经费支出62.67万元，较2023年度减少10.42万元，降低14.3%。主要原因是。</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七、政府采购支出说明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2024年度政府采购支出总额0.50万元，从采购类型来看，政府采购货物支出0.50万元、政府采购工程支出0.00万元、政府采购服务支出0.00万元。授予中小企业合同金额0.50万元，占政府采购支出总额的100.0%，其中授予小微企业合同金额0.50万元，占政府采购支出总额的100.0%。</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八、国有资产占用情况说明</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截至2024年12月31日，本单位共有车辆0辆，比上年增加0辆。其中，副部（省）级及以上领导用车0辆，主要负责人用车0辆，机要通信用车0辆，应急保障用车0辆，执法执勤用车0辆，特种专业技术用车0辆，离退休干部用车0辆，其他用车0辆，其他用车主要是。单位价值100万元（含）以上设备（不含车辆）0台（套）。</w:t>
      </w:r>
    </w:p>
    <w:p>
      <w:pPr>
        <w:widowControl/>
        <w:spacing w:before="0" w:beforeLines="0" w:beforeAutospacing="0" w:after="0" w:afterLines="0" w:afterAutospacing="0" w:line="360" w:lineRule="auto"/>
        <w:ind w:firstLine="640" w:firstLineChars="200"/>
        <w:jc w:val="left"/>
        <w:outlineLvl w:val="1"/>
        <w:rPr>
          <w:rFonts w:ascii="Times New Roman" w:eastAsia="黑体"/>
          <w:sz w:val="32"/>
          <w:szCs w:val="32"/>
        </w:rPr>
      </w:pPr>
      <w:r>
        <w:rPr>
          <w:rFonts w:ascii="Times New Roman" w:eastAsia="黑体"/>
          <w:b w:val="0"/>
          <w:sz w:val="32"/>
          <w:szCs w:val="32"/>
        </w:rPr>
        <w:t>九、关于2024年度绩效评价情况的说明</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（一）绩效评价工作开展情况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根据预算绩效管理要求，本单位组织对2024年度本级预算项目支出全面开展绩效自评，共涉及资金</w:t>
      </w:r>
      <w:r>
        <w:rPr>
          <w:rFonts w:hint="eastAsia" w:ascii="仿宋_GB2312" w:hAnsi="仿宋_GB2312" w:eastAsia="仿宋_GB2312" w:cs="仿宋_GB2312"/>
          <w:sz w:val="32"/>
          <w:szCs w:val="32"/>
          <w:lang w:val="en-US" w:eastAsia="zh-CN"/>
        </w:rPr>
        <w:t>256.420746</w:t>
      </w:r>
      <w:r>
        <w:rPr>
          <w:rFonts w:ascii="Times New Roman" w:eastAsia="仿宋_GB2312"/>
          <w:b w:val="0"/>
          <w:sz w:val="32"/>
          <w:szCs w:val="32"/>
        </w:rPr>
        <w:t>万元。其中，一般公共预算项目</w:t>
      </w:r>
      <w:r>
        <w:rPr>
          <w:rFonts w:hint="eastAsia" w:ascii="Times New Roman" w:eastAsia="仿宋_GB2312"/>
          <w:b w:val="0"/>
          <w:sz w:val="32"/>
          <w:szCs w:val="32"/>
          <w:lang w:val="en-US" w:eastAsia="zh-CN"/>
        </w:rPr>
        <w:t>8</w:t>
      </w:r>
      <w:r>
        <w:rPr>
          <w:rFonts w:ascii="Times New Roman" w:eastAsia="仿宋_GB2312"/>
          <w:b w:val="0"/>
          <w:sz w:val="32"/>
          <w:szCs w:val="32"/>
        </w:rPr>
        <w:t>个，涉及资金</w:t>
      </w:r>
      <w:r>
        <w:rPr>
          <w:rFonts w:hint="eastAsia" w:ascii="仿宋_GB2312" w:hAnsi="仿宋_GB2312" w:eastAsia="仿宋_GB2312" w:cs="仿宋_GB2312"/>
          <w:sz w:val="32"/>
          <w:szCs w:val="32"/>
          <w:lang w:val="en-US" w:eastAsia="zh-CN"/>
        </w:rPr>
        <w:t>256.420746</w:t>
      </w:r>
      <w:r>
        <w:rPr>
          <w:rFonts w:ascii="Times New Roman" w:eastAsia="仿宋_GB2312"/>
          <w:b w:val="0"/>
          <w:sz w:val="32"/>
          <w:szCs w:val="32"/>
        </w:rPr>
        <w:t>万元，占一般公共预算项目支出总额的</w:t>
      </w:r>
      <w:r>
        <w:rPr>
          <w:rFonts w:hint="eastAsia" w:ascii="Times New Roman" w:eastAsia="仿宋_GB2312"/>
          <w:b w:val="0"/>
          <w:sz w:val="32"/>
          <w:szCs w:val="32"/>
          <w:lang w:val="en-US" w:eastAsia="zh-CN"/>
        </w:rPr>
        <w:t>100</w:t>
      </w:r>
      <w:r>
        <w:rPr>
          <w:rFonts w:ascii="Times New Roman" w:eastAsia="仿宋_GB2312"/>
          <w:b w:val="0"/>
          <w:sz w:val="32"/>
          <w:szCs w:val="32"/>
        </w:rPr>
        <w:t>%；政府性基金预算项目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万元，占政府性基金预算项目支出总额的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%；国有资本经营预算项目</w:t>
      </w:r>
      <w:r>
        <w:rPr>
          <w:rFonts w:hint="eastAsia" w:ascii="Times New Roman" w:eastAsia="仿宋_GB2312"/>
          <w:b w:val="0"/>
          <w:sz w:val="32"/>
          <w:szCs w:val="32"/>
          <w:lang w:val="en-US" w:eastAsia="zh-CN"/>
        </w:rPr>
        <w:t>0</w:t>
      </w:r>
      <w:r>
        <w:rPr>
          <w:rFonts w:ascii="Times New Roman" w:eastAsia="仿宋_GB2312"/>
          <w:b w:val="0"/>
          <w:sz w:val="32"/>
          <w:szCs w:val="32"/>
        </w:rPr>
        <w:t>个，涉及资金</w:t>
      </w:r>
      <w:r>
        <w:rPr>
          <w:rFonts w:hint="eastAsia" w:ascii="Times New Roman" w:eastAsia="仿宋_GB2312"/>
          <w:b w:val="0"/>
          <w:sz w:val="32"/>
          <w:szCs w:val="32"/>
          <w:lang w:val="en-US" w:eastAsia="zh-CN"/>
        </w:rPr>
        <w:t>0</w:t>
      </w:r>
      <w:r>
        <w:rPr>
          <w:rFonts w:ascii="Times New Roman" w:eastAsia="仿宋_GB2312"/>
          <w:b w:val="0"/>
          <w:sz w:val="32"/>
          <w:szCs w:val="32"/>
        </w:rPr>
        <w:t>万元，占国有资本经营预算项目支出总额的</w:t>
      </w:r>
      <w:r>
        <w:rPr>
          <w:rFonts w:hint="eastAsia" w:ascii="Times New Roman" w:eastAsia="仿宋_GB2312"/>
          <w:b w:val="0"/>
          <w:sz w:val="32"/>
          <w:szCs w:val="32"/>
          <w:lang w:val="en-US" w:eastAsia="zh-CN"/>
        </w:rPr>
        <w:t>0</w:t>
      </w:r>
      <w:r>
        <w:rPr>
          <w:rFonts w:ascii="Times New Roman" w:eastAsia="仿宋_GB2312"/>
          <w:b w:val="0"/>
          <w:sz w:val="32"/>
          <w:szCs w:val="32"/>
        </w:rPr>
        <w:t>%。</w:t>
      </w:r>
    </w:p>
    <w:p>
      <w:pPr>
        <w:widowControl/>
        <w:spacing w:before="0" w:beforeLines="0" w:beforeAutospacing="0" w:after="0" w:afterLines="0" w:afterAutospacing="0" w:line="360" w:lineRule="auto"/>
        <w:ind w:firstLine="640" w:firstLineChars="200"/>
        <w:jc w:val="left"/>
        <w:rPr>
          <w:rFonts w:hint="eastAsia" w:ascii="Times New Roman" w:eastAsia="仿宋_GB2312"/>
          <w:b w:val="0"/>
          <w:sz w:val="32"/>
          <w:szCs w:val="32"/>
          <w:lang w:eastAsia="zh-CN"/>
        </w:rPr>
      </w:pPr>
      <w:r>
        <w:rPr>
          <w:rFonts w:ascii="Times New Roman" w:eastAsia="仿宋_GB2312"/>
          <w:b w:val="0"/>
          <w:sz w:val="32"/>
          <w:szCs w:val="32"/>
        </w:rPr>
        <w:t>组织对</w:t>
      </w:r>
      <w:r>
        <w:rPr>
          <w:rFonts w:hint="eastAsia" w:ascii="Times New Roman" w:eastAsia="仿宋_GB2312"/>
          <w:b w:val="0"/>
          <w:sz w:val="32"/>
          <w:szCs w:val="32"/>
          <w:lang w:val="en-US" w:eastAsia="zh-CN"/>
        </w:rPr>
        <w:t>办公场所租赁1</w:t>
      </w:r>
      <w:r>
        <w:rPr>
          <w:rFonts w:ascii="Times New Roman" w:eastAsia="仿宋_GB2312"/>
          <w:b w:val="0"/>
          <w:sz w:val="32"/>
          <w:szCs w:val="32"/>
        </w:rPr>
        <w:t>个项目开展了部门重点评价，涉及一般公共预算支出</w:t>
      </w:r>
      <w:r>
        <w:rPr>
          <w:rFonts w:hint="eastAsia" w:ascii="Times New Roman" w:eastAsia="仿宋_GB2312"/>
          <w:b w:val="0"/>
          <w:sz w:val="32"/>
          <w:szCs w:val="32"/>
          <w:lang w:val="en-US" w:eastAsia="zh-CN"/>
        </w:rPr>
        <w:t>30</w:t>
      </w:r>
      <w:r>
        <w:rPr>
          <w:rFonts w:ascii="Times New Roman" w:eastAsia="仿宋_GB2312"/>
          <w:b w:val="0"/>
          <w:sz w:val="32"/>
          <w:szCs w:val="32"/>
        </w:rPr>
        <w:t>万元，政府性基金预算支出</w:t>
      </w:r>
      <w:r>
        <w:rPr>
          <w:rFonts w:hint="eastAsia" w:ascii="Times New Roman" w:eastAsia="仿宋_GB2312"/>
          <w:b w:val="0"/>
          <w:sz w:val="32"/>
          <w:szCs w:val="32"/>
          <w:lang w:val="en-US" w:eastAsia="zh-CN"/>
        </w:rPr>
        <w:t>0</w:t>
      </w:r>
      <w:r>
        <w:rPr>
          <w:rFonts w:ascii="Times New Roman" w:eastAsia="仿宋_GB2312"/>
          <w:b w:val="0"/>
          <w:sz w:val="32"/>
          <w:szCs w:val="32"/>
        </w:rPr>
        <w:t>万元，国有资本经营预</w:t>
      </w:r>
      <w:r>
        <w:rPr>
          <w:rFonts w:ascii="Times New Roman" w:eastAsia="仿宋_GB2312"/>
          <w:b w:val="0"/>
          <w:sz w:val="32"/>
          <w:szCs w:val="32"/>
        </w:rPr>
        <w:t>算支出</w:t>
      </w:r>
      <w:r>
        <w:rPr>
          <w:rFonts w:hint="eastAsia" w:ascii="Times New Roman" w:eastAsia="仿宋_GB2312"/>
          <w:b w:val="0"/>
          <w:sz w:val="32"/>
          <w:szCs w:val="32"/>
          <w:lang w:val="en-US" w:eastAsia="zh-CN"/>
        </w:rPr>
        <w:t>0</w:t>
      </w:r>
      <w:r>
        <w:rPr>
          <w:rFonts w:ascii="Times New Roman" w:eastAsia="仿宋_GB2312"/>
          <w:b w:val="0"/>
          <w:sz w:val="32"/>
          <w:szCs w:val="32"/>
        </w:rPr>
        <w:t>万元，从评价情况来看，该项目的实施 形成了较好的成果，保障了我</w:t>
      </w:r>
      <w:r>
        <w:rPr>
          <w:rFonts w:hint="eastAsia" w:ascii="Times New Roman" w:eastAsia="仿宋_GB2312"/>
          <w:b w:val="0"/>
          <w:sz w:val="32"/>
          <w:szCs w:val="32"/>
          <w:lang w:val="en-US" w:eastAsia="zh-CN"/>
        </w:rPr>
        <w:t>局</w:t>
      </w:r>
      <w:r>
        <w:rPr>
          <w:rFonts w:ascii="Times New Roman" w:eastAsia="仿宋_GB2312"/>
          <w:b w:val="0"/>
          <w:sz w:val="32"/>
          <w:szCs w:val="32"/>
        </w:rPr>
        <w:t>正常工作运转。基本完成了年初设定的各项绩效目标，未发现问题。</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（二）部门决算中项目绩效自评结果</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本单位在今年部门决算公开中反映等个项目绩效自评结果。</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Times New Roman" w:eastAsia="仿宋_GB2312"/>
          <w:b w:val="0"/>
          <w:sz w:val="32"/>
          <w:szCs w:val="32"/>
          <w:lang w:val="en-US" w:eastAsia="zh-CN"/>
        </w:rPr>
      </w:pPr>
      <w:r>
        <w:rPr>
          <w:rFonts w:ascii="Times New Roman" w:eastAsia="仿宋_GB2312"/>
          <w:b w:val="0"/>
          <w:sz w:val="32"/>
          <w:szCs w:val="32"/>
        </w:rPr>
        <w:t>项目绩效自评情况：根据年初设定的绩效目标，</w:t>
      </w:r>
      <w:r>
        <w:rPr>
          <w:rFonts w:hint="eastAsia" w:ascii="Times New Roman" w:eastAsia="仿宋_GB2312"/>
          <w:b w:val="0"/>
          <w:sz w:val="32"/>
          <w:szCs w:val="32"/>
          <w:lang w:val="en-US" w:eastAsia="zh-CN"/>
        </w:rPr>
        <w:t>8</w:t>
      </w:r>
      <w:r>
        <w:rPr>
          <w:rFonts w:ascii="Times New Roman" w:eastAsia="仿宋_GB2312"/>
          <w:b w:val="0"/>
          <w:sz w:val="32"/>
          <w:szCs w:val="32"/>
        </w:rPr>
        <w:t>项目绩效自评得分为</w:t>
      </w:r>
      <w:r>
        <w:rPr>
          <w:rFonts w:hint="eastAsia" w:ascii="Times New Roman" w:eastAsia="仿宋_GB2312"/>
          <w:b w:val="0"/>
          <w:sz w:val="32"/>
          <w:szCs w:val="32"/>
          <w:lang w:val="en-US" w:eastAsia="zh-CN"/>
        </w:rPr>
        <w:t>100</w:t>
      </w:r>
      <w:r>
        <w:rPr>
          <w:rFonts w:ascii="Times New Roman" w:eastAsia="仿宋_GB2312"/>
          <w:b w:val="0"/>
          <w:sz w:val="32"/>
          <w:szCs w:val="32"/>
        </w:rPr>
        <w:t>分（绩效自评表附后）。全年预算数为</w:t>
      </w:r>
      <w:r>
        <w:rPr>
          <w:rFonts w:hint="eastAsia" w:ascii="仿宋_GB2312" w:hAnsi="仿宋_GB2312" w:eastAsia="仿宋_GB2312" w:cs="仿宋_GB2312"/>
          <w:sz w:val="32"/>
          <w:szCs w:val="32"/>
          <w:lang w:val="en-US" w:eastAsia="zh-CN"/>
        </w:rPr>
        <w:t>256.420746</w:t>
      </w:r>
      <w:r>
        <w:rPr>
          <w:rFonts w:ascii="Times New Roman" w:eastAsia="仿宋_GB2312"/>
          <w:b w:val="0"/>
          <w:sz w:val="32"/>
          <w:szCs w:val="32"/>
        </w:rPr>
        <w:t>万元，执行数为</w:t>
      </w:r>
      <w:r>
        <w:rPr>
          <w:rFonts w:hint="eastAsia" w:ascii="仿宋_GB2312" w:hAnsi="仿宋_GB2312" w:eastAsia="仿宋_GB2312" w:cs="仿宋_GB2312"/>
          <w:sz w:val="32"/>
          <w:szCs w:val="32"/>
          <w:lang w:val="en-US" w:eastAsia="zh-CN"/>
        </w:rPr>
        <w:t>256.420746</w:t>
      </w:r>
      <w:r>
        <w:rPr>
          <w:rFonts w:ascii="Times New Roman" w:eastAsia="仿宋_GB2312"/>
          <w:b w:val="0"/>
          <w:sz w:val="32"/>
          <w:szCs w:val="32"/>
        </w:rPr>
        <w:t>万元，完成预算的</w:t>
      </w:r>
      <w:r>
        <w:rPr>
          <w:rFonts w:hint="eastAsia" w:ascii="Times New Roman" w:eastAsia="仿宋_GB2312"/>
          <w:b w:val="0"/>
          <w:sz w:val="32"/>
          <w:szCs w:val="32"/>
          <w:lang w:val="en-US" w:eastAsia="zh-CN"/>
        </w:rPr>
        <w:t>100</w:t>
      </w:r>
      <w:r>
        <w:rPr>
          <w:rFonts w:ascii="Times New Roman" w:eastAsia="仿宋_GB2312"/>
          <w:b w:val="0"/>
          <w:sz w:val="32"/>
          <w:szCs w:val="32"/>
        </w:rPr>
        <w:t>%。项目绩效目标完成情况：</w:t>
      </w:r>
      <w:r>
        <w:rPr>
          <w:rFonts w:hint="eastAsia" w:ascii="宋体" w:hAnsi="宋体" w:eastAsia="仿宋_GB2312"/>
          <w:sz w:val="32"/>
          <w:lang w:val="en-US" w:eastAsia="zh-CN"/>
        </w:rPr>
        <w:t>在2024年，鹿泉区投资促进局</w:t>
      </w:r>
      <w:r>
        <w:rPr>
          <w:rFonts w:hint="eastAsia" w:ascii="宋体" w:hAnsi="宋体" w:eastAsia="仿宋_GB2312"/>
          <w:sz w:val="32"/>
          <w:lang w:eastAsia="zh-CN"/>
        </w:rPr>
        <w:t>持续加大京津冀、长三角、大湾区招商力度。将基金建设和招引项目作为工作重点，围绕单一产业和领域设立专项基金，提供优惠让利政策，吸进资本和项目落地，重点支持成果转化和高端科技产业化项目培育。充分发挥智算中心的带动作用，大力招引机器人、人工智能等相关产业落地，率先布局新产业基础。</w:t>
      </w:r>
      <w:r>
        <w:rPr>
          <w:rFonts w:hint="eastAsia" w:ascii="宋体" w:hAnsi="宋体" w:eastAsia="仿宋_GB2312"/>
          <w:sz w:val="32"/>
          <w:lang w:val="en-US" w:eastAsia="zh-CN"/>
        </w:rPr>
        <w:t>共涉及项目资金共计</w:t>
      </w:r>
      <w:r>
        <w:rPr>
          <w:rFonts w:hint="eastAsia" w:ascii="仿宋_GB2312" w:hAnsi="仿宋_GB2312" w:eastAsia="仿宋_GB2312" w:cs="仿宋_GB2312"/>
          <w:sz w:val="32"/>
          <w:szCs w:val="32"/>
          <w:lang w:val="en-US" w:eastAsia="zh-CN"/>
        </w:rPr>
        <w:t>256.420746</w:t>
      </w:r>
      <w:r>
        <w:rPr>
          <w:rFonts w:hint="eastAsia" w:ascii="仿宋_GB2312" w:hAnsi="仿宋_GB2312" w:eastAsia="仿宋_GB2312" w:cs="仿宋_GB2312"/>
          <w:sz w:val="32"/>
          <w:szCs w:val="32"/>
          <w:lang w:eastAsia="zh-CN"/>
        </w:rPr>
        <w:t>万元。总体</w:t>
      </w:r>
      <w:r>
        <w:rPr>
          <w:rFonts w:hint="eastAsia" w:ascii="仿宋_GB2312" w:hAnsi="仿宋_GB2312" w:eastAsia="仿宋_GB2312" w:cs="仿宋_GB2312"/>
          <w:sz w:val="32"/>
          <w:szCs w:val="32"/>
          <w:lang w:val="en-US" w:eastAsia="zh-CN"/>
        </w:rPr>
        <w:t>来看，各</w:t>
      </w:r>
      <w:r>
        <w:rPr>
          <w:rFonts w:hint="eastAsia" w:ascii="仿宋_GB2312" w:hAnsi="仿宋_GB2312" w:eastAsia="仿宋_GB2312" w:cs="仿宋_GB2312"/>
          <w:sz w:val="32"/>
          <w:szCs w:val="32"/>
          <w:lang w:eastAsia="zh-CN"/>
        </w:rPr>
        <w:t>项目的实施形成了较好的成果</w:t>
      </w:r>
      <w:r>
        <w:rPr>
          <w:rFonts w:ascii="Times New Roman" w:eastAsia="仿宋_GB2312"/>
          <w:b w:val="0"/>
          <w:sz w:val="32"/>
          <w:szCs w:val="32"/>
        </w:rPr>
        <w:t>。</w:t>
      </w:r>
      <w:r>
        <w:rPr>
          <w:rFonts w:hint="eastAsia" w:ascii="Times New Roman" w:eastAsia="仿宋_GB2312"/>
          <w:b w:val="0"/>
          <w:sz w:val="32"/>
          <w:szCs w:val="32"/>
          <w:lang w:val="en-US" w:eastAsia="zh-CN"/>
        </w:rPr>
        <w:t xml:space="preserve">                    </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right="0" w:firstLine="640" w:firstLineChars="200"/>
        <w:jc w:val="both"/>
        <w:textAlignment w:val="auto"/>
        <w:rPr>
          <w:rFonts w:hint="eastAsia" w:ascii="仿宋" w:hAnsi="仿宋" w:eastAsia="仿宋" w:cs="仿宋"/>
          <w:b w:val="0"/>
          <w:kern w:val="2"/>
          <w:sz w:val="32"/>
          <w:szCs w:val="32"/>
          <w:highlight w:val="none"/>
          <w:lang w:val="en-US" w:eastAsia="zh-CN" w:bidi="ar-SA"/>
        </w:rPr>
      </w:pPr>
      <w:r>
        <w:rPr>
          <w:rFonts w:hint="eastAsia" w:ascii="Times New Roman" w:eastAsia="仿宋_GB2312"/>
          <w:b w:val="0"/>
          <w:sz w:val="32"/>
          <w:szCs w:val="32"/>
          <w:lang w:val="en-US" w:eastAsia="zh-CN"/>
        </w:rPr>
        <w:t>发</w:t>
      </w:r>
      <w:r>
        <w:rPr>
          <w:rFonts w:ascii="Times New Roman" w:eastAsia="仿宋_GB2312"/>
          <w:b w:val="0"/>
          <w:sz w:val="32"/>
          <w:szCs w:val="32"/>
        </w:rPr>
        <w:t>现的主要问题及原因是：</w:t>
      </w:r>
      <w:r>
        <w:rPr>
          <w:rFonts w:hint="eastAsia" w:ascii="仿宋" w:hAnsi="仿宋" w:eastAsia="仿宋" w:cs="仿宋"/>
          <w:b w:val="0"/>
          <w:kern w:val="2"/>
          <w:sz w:val="32"/>
          <w:szCs w:val="32"/>
          <w:highlight w:val="none"/>
          <w:lang w:val="en-US" w:eastAsia="zh-CN" w:bidi="ar-SA"/>
        </w:rPr>
        <w:t>通过绩效自评结果对比发现，个别项目绩效目标设定存在一定不足，绩效目标表述不够清晰准确，在实际执行过程中容易产生理解偏差；绩效指标设置不够全面完整，部分指标未能充分反映项目实际成效。</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b w:val="0"/>
          <w:kern w:val="2"/>
          <w:sz w:val="32"/>
          <w:szCs w:val="32"/>
          <w:highlight w:val="none"/>
          <w:lang w:val="en-US" w:eastAsia="zh-CN" w:bidi="ar-SA"/>
        </w:rPr>
      </w:pPr>
      <w:r>
        <w:rPr>
          <w:rFonts w:hint="eastAsia" w:ascii="仿宋" w:hAnsi="仿宋" w:eastAsia="仿宋" w:cs="仿宋"/>
          <w:b w:val="0"/>
          <w:kern w:val="2"/>
          <w:sz w:val="32"/>
          <w:szCs w:val="32"/>
          <w:highlight w:val="none"/>
          <w:lang w:val="en-US" w:eastAsia="zh-CN" w:bidi="ar-SA"/>
        </w:rPr>
        <w:t>产生这些问题的主要原因在于，一是对绩效目标设定的重要性认识不足，前期调研和论证不够充分；二是缺乏科学合理的绩效目标设定方法和经验，在指标选取和标准制定上存在随意性；三是与业务股室沟通协调不足，未能充分结合项目实际情况制定绩效目标。</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kern w:val="2"/>
          <w:sz w:val="32"/>
          <w:szCs w:val="32"/>
          <w:highlight w:val="none"/>
          <w:lang w:val="en-US" w:eastAsia="zh-CN" w:bidi="ar-SA"/>
        </w:rPr>
      </w:pPr>
      <w:r>
        <w:rPr>
          <w:rFonts w:ascii="Times New Roman" w:eastAsia="仿宋_GB2312"/>
          <w:b w:val="0"/>
          <w:sz w:val="32"/>
          <w:szCs w:val="32"/>
        </w:rPr>
        <w:t>下一步改进措施：</w:t>
      </w:r>
      <w:r>
        <w:rPr>
          <w:rFonts w:hint="eastAsia" w:ascii="仿宋" w:hAnsi="仿宋" w:eastAsia="仿宋" w:cs="仿宋"/>
          <w:kern w:val="2"/>
          <w:sz w:val="32"/>
          <w:szCs w:val="32"/>
          <w:highlight w:val="none"/>
          <w:lang w:val="en-US" w:eastAsia="zh-CN" w:bidi="ar-SA"/>
        </w:rPr>
        <w:t>1.提高绩效目标设定质量：加强对绩效目标设定相关知识的学习，进一步提高业务水平。在设定绩效目标时，充分与业务股室沟通，确保目标清晰准确、指标全面完整、标准科学合理。</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2.加强项目管理：针对未完成绩效目标的项目，深入分析原因，制定详细的整改计划。加强项目实施过程中的监督与管理，及时发现问题并解决，确保项目按计划推进。同时，建立项目动态调整机制，根据实际情况及时调整项目内容和资金安排。</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hint="eastAsia" w:ascii="仿宋" w:hAnsi="仿宋" w:eastAsia="仿宋" w:cs="仿宋"/>
          <w:kern w:val="2"/>
          <w:sz w:val="32"/>
          <w:szCs w:val="32"/>
          <w:highlight w:val="none"/>
          <w:lang w:val="en-US" w:eastAsia="zh-CN" w:bidi="ar-SA"/>
        </w:rPr>
      </w:pPr>
      <w:r>
        <w:rPr>
          <w:rFonts w:hint="eastAsia" w:ascii="仿宋" w:hAnsi="仿宋" w:eastAsia="仿宋" w:cs="仿宋"/>
          <w:kern w:val="2"/>
          <w:sz w:val="32"/>
          <w:szCs w:val="32"/>
          <w:highlight w:val="none"/>
          <w:lang w:val="en-US" w:eastAsia="zh-CN" w:bidi="ar-SA"/>
        </w:rPr>
        <w:t>3.完善财务管理制度：进一步规范资金使用流程，加强对资金使用的监督与审核，确保资金使用合规、高效。完善资金使用台账，做到账目清晰、记录完整。</w:t>
      </w:r>
    </w:p>
    <w:p>
      <w:pPr>
        <w:pStyle w:val="11"/>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60" w:lineRule="exact"/>
        <w:ind w:left="0" w:right="0" w:firstLine="640" w:firstLineChars="200"/>
        <w:jc w:val="both"/>
        <w:textAlignment w:val="auto"/>
        <w:rPr>
          <w:rFonts w:ascii="Times New Roman" w:eastAsia="仿宋_GB2312"/>
          <w:sz w:val="32"/>
          <w:szCs w:val="32"/>
        </w:rPr>
      </w:pPr>
    </w:p>
    <w:p>
      <w:pPr>
        <w:widowControl/>
        <w:numPr>
          <w:ilvl w:val="0"/>
          <w:numId w:val="2"/>
        </w:numPr>
        <w:spacing w:before="0" w:beforeLines="0" w:beforeAutospacing="0" w:after="0" w:afterLines="0" w:afterAutospacing="0" w:line="360" w:lineRule="auto"/>
        <w:ind w:firstLine="643" w:firstLineChars="200"/>
        <w:jc w:val="left"/>
        <w:rPr>
          <w:rFonts w:ascii="Times New Roman" w:eastAsia="仿宋_GB2312"/>
          <w:b/>
          <w:sz w:val="32"/>
          <w:szCs w:val="32"/>
        </w:rPr>
      </w:pPr>
      <w:r>
        <w:rPr>
          <w:rFonts w:ascii="Times New Roman" w:eastAsia="仿宋_GB2312"/>
          <w:b/>
          <w:sz w:val="32"/>
          <w:szCs w:val="32"/>
        </w:rPr>
        <w:t xml:space="preserve">部门评价项目绩效评价结果 </w:t>
      </w:r>
    </w:p>
    <w:p>
      <w:pPr>
        <w:widowControl/>
        <w:numPr>
          <w:numId w:val="0"/>
        </w:numPr>
        <w:spacing w:before="0" w:beforeLines="0" w:beforeAutospacing="0" w:after="0" w:afterLines="0" w:afterAutospacing="0" w:line="360" w:lineRule="auto"/>
        <w:ind w:firstLine="640" w:firstLineChars="200"/>
        <w:jc w:val="left"/>
        <w:rPr>
          <w:rFonts w:hint="eastAsia" w:ascii="仿宋" w:hAnsi="仿宋" w:eastAsia="仿宋" w:cs="仿宋"/>
          <w:color w:val="auto"/>
          <w:kern w:val="2"/>
          <w:sz w:val="32"/>
          <w:szCs w:val="32"/>
          <w:highlight w:val="none"/>
          <w:lang w:val="en-US" w:eastAsia="zh-CN" w:bidi="ar-SA"/>
        </w:rPr>
      </w:pPr>
      <w:r>
        <w:rPr>
          <w:rFonts w:hint="eastAsia" w:ascii="仿宋" w:hAnsi="仿宋" w:eastAsia="仿宋" w:cs="仿宋"/>
          <w:color w:val="auto"/>
          <w:kern w:val="2"/>
          <w:sz w:val="32"/>
          <w:szCs w:val="32"/>
          <w:highlight w:val="none"/>
          <w:lang w:val="en-US" w:eastAsia="zh-CN" w:bidi="ar-SA"/>
        </w:rPr>
        <w:t>从评价情况看，整体评价项目绩效评价结果为优秀。</w:t>
      </w:r>
    </w:p>
    <w:p>
      <w:pPr>
        <w:pStyle w:val="2"/>
        <w:rPr>
          <w:rFonts w:ascii="Times New Roman" w:eastAsia="仿宋_GB2312" w:cs="宋体" w:hAnsiTheme="minorHAnsi"/>
          <w:b/>
          <w:color w:val="auto"/>
          <w:kern w:val="0"/>
          <w:sz w:val="32"/>
          <w:szCs w:val="32"/>
          <w:lang w:val="en-US" w:eastAsia="zh-CN" w:bidi="ar-SA"/>
        </w:rPr>
      </w:pPr>
      <w:r>
        <w:rPr>
          <w:rFonts w:ascii="Times New Roman" w:eastAsia="仿宋_GB2312" w:cs="宋体" w:hAnsiTheme="minorHAnsi"/>
          <w:b/>
          <w:color w:val="auto"/>
          <w:kern w:val="0"/>
          <w:sz w:val="32"/>
          <w:szCs w:val="32"/>
          <w:lang w:val="en-US" w:eastAsia="zh-CN" w:bidi="ar-SA"/>
        </w:rPr>
        <w:t>附项目支出绩效自评表</w:t>
      </w:r>
    </w:p>
    <w:p>
      <w:pPr>
        <w:pStyle w:val="2"/>
        <w:rPr>
          <w:rFonts w:hint="eastAsia" w:ascii="Times New Roman" w:eastAsia="仿宋_GB2312" w:cs="宋体" w:hAnsiTheme="minorHAnsi"/>
          <w:b/>
          <w:color w:val="auto"/>
          <w:kern w:val="0"/>
          <w:sz w:val="32"/>
          <w:szCs w:val="32"/>
          <w:lang w:val="en-US" w:eastAsia="zh-CN" w:bidi="ar-SA"/>
        </w:rPr>
      </w:pPr>
      <w:r>
        <w:drawing>
          <wp:inline distT="0" distB="0" distL="114300" distR="114300">
            <wp:extent cx="6163310" cy="4167505"/>
            <wp:effectExtent l="0" t="0" r="8890" b="1079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19"/>
                    <a:stretch>
                      <a:fillRect/>
                    </a:stretch>
                  </pic:blipFill>
                  <pic:spPr>
                    <a:xfrm>
                      <a:off x="0" y="0"/>
                      <a:ext cx="6163310" cy="4167505"/>
                    </a:xfrm>
                    <a:prstGeom prst="rect">
                      <a:avLst/>
                    </a:prstGeom>
                    <a:noFill/>
                    <a:ln w="9525">
                      <a:noFill/>
                    </a:ln>
                  </pic:spPr>
                </pic:pic>
              </a:graphicData>
            </a:graphic>
          </wp:inline>
        </w:drawing>
      </w:r>
    </w:p>
    <w:p>
      <w:pPr>
        <w:widowControl/>
        <w:spacing w:before="0" w:beforeLines="0" w:beforeAutospacing="0" w:after="0" w:afterLines="0" w:afterAutospacing="0" w:line="360" w:lineRule="auto"/>
        <w:ind w:firstLine="640" w:firstLineChars="200"/>
        <w:jc w:val="left"/>
        <w:rPr>
          <w:rFonts w:ascii="Times New Roman" w:eastAsia="黑体"/>
          <w:sz w:val="32"/>
          <w:szCs w:val="32"/>
        </w:rPr>
      </w:pPr>
      <w:r>
        <w:rPr>
          <w:rFonts w:ascii="Times New Roman" w:eastAsia="黑体"/>
          <w:b w:val="0"/>
          <w:sz w:val="32"/>
          <w:szCs w:val="32"/>
        </w:rPr>
        <w:t>十、其他需要说明的情况</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1.本单位2024年度政府性基金预算财政拨款收入支出决算表（公开07表）、国有资本经</w:t>
      </w:r>
      <w:bookmarkStart w:id="0" w:name="_GoBack"/>
      <w:bookmarkEnd w:id="0"/>
      <w:r>
        <w:rPr>
          <w:rFonts w:ascii="Times New Roman" w:eastAsia="仿宋_GB2312"/>
          <w:b w:val="0"/>
          <w:sz w:val="32"/>
          <w:szCs w:val="32"/>
        </w:rPr>
        <w:t>营预算财政拨款支出决算表（公开08表）、财政拨款“三公”经费支出决算表（公开09表）无相应收支，故空表列示。</w:t>
      </w:r>
    </w:p>
    <w:p>
      <w:pPr>
        <w:widowControl/>
        <w:spacing w:before="0" w:beforeLines="0" w:beforeAutospacing="0" w:after="0" w:afterLines="0" w:afterAutospacing="0" w:line="360" w:lineRule="auto"/>
        <w:ind w:firstLine="640" w:firstLineChars="200"/>
        <w:jc w:val="left"/>
        <w:rPr>
          <w:rFonts w:ascii="Times New Roman" w:eastAsia="仿宋_GB2312"/>
          <w:sz w:val="32"/>
          <w:szCs w:val="32"/>
        </w:rPr>
      </w:pPr>
      <w:r>
        <w:rPr>
          <w:rFonts w:ascii="Times New Roman" w:eastAsia="仿宋_GB2312"/>
          <w:b w:val="0"/>
          <w:sz w:val="32"/>
          <w:szCs w:val="32"/>
        </w:rPr>
        <w:t>2. 由于决算公开表格中金额数值应当保留两位小数，公开数据为四舍五入计算结果，个别数据合计项与分项之和存在小数点后差额，特此说明。</w:t>
      </w:r>
    </w:p>
    <w:p>
      <w:pPr>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br w:type="page"/>
      </w:r>
    </w:p>
    <w:p>
      <w:pPr>
        <w:widowControl/>
        <w:spacing w:before="0" w:beforeLines="0" w:beforeAutospacing="0" w:after="0" w:afterLines="0" w:afterAutospacing="0" w:line="360" w:lineRule="auto"/>
        <w:jc w:val="center"/>
        <w:outlineLvl w:val="0"/>
        <w:rPr>
          <w:rFonts w:ascii="Times New Roman" w:eastAsia="黑体"/>
          <w:sz w:val="44"/>
          <w:szCs w:val="44"/>
        </w:rPr>
      </w:pPr>
      <w:r>
        <w:rPr>
          <w:rFonts w:ascii="Times New Roman" w:eastAsia="黑体"/>
          <w:b w:val="0"/>
          <w:sz w:val="44"/>
          <w:szCs w:val="44"/>
        </w:rPr>
        <w:t>第四部分   名词解释</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一、财政拨款收入：</w:t>
      </w:r>
      <w:r>
        <w:rPr>
          <w:rFonts w:ascii="Times New Roman" w:eastAsia="仿宋_GB2312"/>
          <w:b w:val="0"/>
          <w:sz w:val="32"/>
          <w:szCs w:val="32"/>
        </w:rPr>
        <w:t>指单位从同级财政部门取得的财政预算资金。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二、事业收入：</w:t>
      </w:r>
      <w:r>
        <w:rPr>
          <w:rFonts w:ascii="Times New Roman" w:eastAsia="仿宋_GB2312"/>
          <w:b w:val="0"/>
          <w:sz w:val="32"/>
          <w:szCs w:val="32"/>
        </w:rPr>
        <w:t>指事业单位开展专业业务活动及辅助活动取得的收入。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三、经营收入：</w:t>
      </w:r>
      <w:r>
        <w:rPr>
          <w:rFonts w:ascii="Times New Roman" w:eastAsia="仿宋_GB2312"/>
          <w:b w:val="0"/>
          <w:sz w:val="32"/>
          <w:szCs w:val="32"/>
        </w:rPr>
        <w:t>指事业单位在专业业务活动及其辅助活动之外开展非独立核算经营活动取得的收入。</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四、其他收入：</w:t>
      </w:r>
      <w:r>
        <w:rPr>
          <w:rFonts w:ascii="Times New Roman" w:eastAsia="仿宋_GB2312"/>
          <w:b w:val="0"/>
          <w:sz w:val="32"/>
          <w:szCs w:val="32"/>
        </w:rPr>
        <w:t>指单位取得的除上述收入以外的各项收入。主要是事业单位固定资产出租收入、存款利息收入等。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五、使用非财政拨款结余（含专用结余）：</w:t>
      </w:r>
      <w:r>
        <w:rPr>
          <w:rFonts w:ascii="Times New Roman" w:eastAsia="仿宋_GB2312"/>
          <w:b w:val="0"/>
          <w:sz w:val="32"/>
          <w:szCs w:val="32"/>
        </w:rPr>
        <w:t>指事业单位按照预算管理要求使用非财政拨款结余弥补收支差额的金额，以及使用专用结余安排支出的金额。</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六、年初结转和结余：</w:t>
      </w:r>
      <w:r>
        <w:rPr>
          <w:rFonts w:ascii="Times New Roman" w:eastAsia="仿宋_GB2312"/>
          <w:b w:val="0"/>
          <w:sz w:val="32"/>
          <w:szCs w:val="32"/>
        </w:rPr>
        <w:t>指单位以前年度尚未完成、结转到本年仍按原规定用途继续使用的资金，或项目已完成等产生的结余资金。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七、结余分配：</w:t>
      </w:r>
      <w:r>
        <w:rPr>
          <w:rFonts w:ascii="Times New Roman" w:eastAsia="仿宋_GB2312"/>
          <w:b w:val="0"/>
          <w:sz w:val="32"/>
          <w:szCs w:val="32"/>
        </w:rPr>
        <w:t>指事业单位按照会计制度规定缴纳的所得税、提取的专用结余以及转入非财政拨款结余的金额等。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八、年末结转和结余：</w:t>
      </w:r>
      <w:r>
        <w:rPr>
          <w:rFonts w:ascii="Times New Roman" w:eastAsia="仿宋_GB2312"/>
          <w:b w:val="0"/>
          <w:sz w:val="32"/>
          <w:szCs w:val="32"/>
        </w:rPr>
        <w:t>指单位按有关规定结转到下年或以后年度继续使用的资金，或项目已完成等产生的结余资金。</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九、基本支出：</w:t>
      </w:r>
      <w:r>
        <w:rPr>
          <w:rFonts w:ascii="Times New Roman" w:eastAsia="仿宋_GB2312"/>
          <w:b w:val="0"/>
          <w:sz w:val="32"/>
          <w:szCs w:val="32"/>
        </w:rPr>
        <w:t>指为保障机构正常运转、完成日常工作任务而发生的人员支出和公用支出。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十、项目支出：</w:t>
      </w:r>
      <w:r>
        <w:rPr>
          <w:rFonts w:ascii="Times New Roman" w:eastAsia="仿宋_GB2312"/>
          <w:b w:val="0"/>
          <w:sz w:val="32"/>
          <w:szCs w:val="32"/>
        </w:rPr>
        <w:t>指在基本支出之外为完成特定行政任务和事业发展目标所发生的支出。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十一、经营支出 ：</w:t>
      </w:r>
      <w:r>
        <w:rPr>
          <w:rFonts w:ascii="Times New Roman" w:eastAsia="仿宋_GB2312"/>
          <w:b w:val="0"/>
          <w:sz w:val="32"/>
          <w:szCs w:val="32"/>
        </w:rPr>
        <w:t>指事业单位在专业业务活动及其辅助活动之外开展非独立核算经营活动发生的支出。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十二、基本建设支出：</w:t>
      </w:r>
      <w:r>
        <w:rPr>
          <w:rFonts w:ascii="Times New Roman" w:eastAsia="仿宋_GB2312"/>
          <w:b w:val="0"/>
          <w:sz w:val="32"/>
          <w:szCs w:val="32"/>
        </w:rPr>
        <w:t>填列由本级发展与改革部门集中安排的用于购置固定资产、战略性和应急性储备、土地和无形资产，以及购建基础设施、大型修缮所发生的一般公共预算财政拨款支出，不包括政府性基金、财政专户管理资金以及各类拼盘自筹资金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十三、其他资本性支出：</w:t>
      </w:r>
      <w:r>
        <w:rPr>
          <w:rFonts w:ascii="Times New Roman" w:eastAsia="仿宋_GB2312"/>
          <w:b w:val="0"/>
          <w:sz w:val="32"/>
          <w:szCs w:val="32"/>
        </w:rPr>
        <w:t>填列由各级非发展与改革部门集中安排的用于购置固定资产、战备性和应急性储备、土地和无形资产，以及购建基础设施、大型修缮和财政支持企业更新改造所发生的支出。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十四、“三公”经费：</w:t>
      </w:r>
      <w:r>
        <w:rPr>
          <w:rFonts w:ascii="Times New Roman" w:eastAsia="仿宋_GB2312"/>
          <w:b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十五、其他交通费用：</w:t>
      </w:r>
      <w:r>
        <w:rPr>
          <w:rFonts w:ascii="Times New Roman" w:eastAsia="仿宋_GB2312"/>
          <w:b w:val="0"/>
          <w:sz w:val="32"/>
          <w:szCs w:val="32"/>
        </w:rPr>
        <w:t>填列单位除公务用车运行维护费以外的其他交通费用。如公务交通补贴、租车费用、出租车费用，飞机、船舶等燃料费、维修费、保险费等。</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十六、公务用车购置：</w:t>
      </w:r>
      <w:r>
        <w:rPr>
          <w:rFonts w:ascii="Times New Roman" w:eastAsia="仿宋_GB2312"/>
          <w:b w:val="0"/>
          <w:sz w:val="32"/>
          <w:szCs w:val="32"/>
        </w:rPr>
        <w:t>填列单位公务用车车辆购置支出（含车辆购置税、牌照费）。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十七、其他交通工具购置：</w:t>
      </w:r>
      <w:r>
        <w:rPr>
          <w:rFonts w:ascii="Times New Roman" w:eastAsia="仿宋_GB2312"/>
          <w:b w:val="0"/>
          <w:sz w:val="32"/>
          <w:szCs w:val="32"/>
        </w:rPr>
        <w:t>填列单位除公务用车外的其他各类交通工具（如船舶、飞机等）购置支出（含车辆购置税、牌照费）。</w:t>
      </w:r>
    </w:p>
    <w:p>
      <w:pPr>
        <w:widowControl/>
        <w:spacing w:before="0" w:beforeLines="0" w:beforeAutospacing="0" w:after="0" w:afterLines="0" w:afterAutospacing="0" w:line="360" w:lineRule="auto"/>
        <w:ind w:firstLine="643" w:firstLineChars="200"/>
        <w:jc w:val="left"/>
        <w:rPr>
          <w:rFonts w:ascii="Times New Roman" w:eastAsia="仿宋_GB2312"/>
          <w:sz w:val="32"/>
          <w:szCs w:val="32"/>
        </w:rPr>
      </w:pPr>
      <w:r>
        <w:rPr>
          <w:rFonts w:ascii="Times New Roman" w:eastAsia="仿宋_GB2312"/>
          <w:b/>
          <w:sz w:val="32"/>
          <w:szCs w:val="32"/>
        </w:rPr>
        <w:t>十八、机关运行经费：</w:t>
      </w:r>
      <w:r>
        <w:rPr>
          <w:rFonts w:ascii="Times New Roman" w:eastAsia="仿宋_GB2312"/>
          <w:b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sectPr>
      <w:pgSz w:w="11906" w:h="16838"/>
      <w:pgMar w:top="2098" w:right="1417" w:bottom="1871" w:left="1417" w:header="851" w:footer="992" w:gutter="0"/>
      <w:pgBorders>
        <w:top w:val="none" w:sz="0" w:space="0"/>
        <w:left w:val="none" w:sz="0" w:space="0"/>
        <w:bottom w:val="none" w:sz="0" w:space="0"/>
        <w:right w:val="none" w:sz="0" w:space="0"/>
      </w:pgBorders>
      <w:cols w:space="0" w:num="1"/>
      <w:rtlGutter w:val="0"/>
      <w:docGrid w:type="lines" w:linePitch="32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auto"/>
    <w:pitch w:val="default"/>
    <w:sig w:usb0="E0002EFF" w:usb1="C000785B" w:usb2="00000009" w:usb3="00000000" w:csb0="400001FF" w:csb1="FFFF0000"/>
  </w:font>
  <w:font w:name="宋体">
    <w:panose1 w:val="02010600030101010101"/>
    <w:charset w:val="5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B7BE0462-630A-4E01-B59A-30C1EEBA0A28}"/>
  </w:font>
  <w:font w:name="黑体">
    <w:panose1 w:val="02010609060101010101"/>
    <w:charset w:val="86"/>
    <w:family w:val="auto"/>
    <w:pitch w:val="default"/>
    <w:sig w:usb0="800002BF" w:usb1="38CF7CFA" w:usb2="00000016" w:usb3="00000000" w:csb0="00040001" w:csb1="00000000"/>
    <w:embedRegular r:id="rId2" w:fontKey="{43AA6B8E-6256-4479-B5D1-026151CA944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3" w:fontKey="{4FFD8653-A6ED-470F-AD6A-7C66CD4E05ED}"/>
  </w:font>
  <w:font w:name="仿宋">
    <w:panose1 w:val="02010609060101010101"/>
    <w:charset w:val="86"/>
    <w:family w:val="modern"/>
    <w:pitch w:val="default"/>
    <w:sig w:usb0="800002BF" w:usb1="38CF7CFA" w:usb2="00000016" w:usb3="00000000" w:csb0="00040001" w:csb1="00000000"/>
    <w:embedRegular r:id="rId4" w:fontKey="{53E518A2-6E14-4789-8EB2-AD3F50031256}"/>
  </w:font>
  <w:font w:name="Calibri Light">
    <w:panose1 w:val="020F0302020204030204"/>
    <w:charset w:val="00"/>
    <w:family w:val="auto"/>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楷体_GB2312">
    <w:panose1 w:val="02010609030101010101"/>
    <w:charset w:val="86"/>
    <w:family w:val="auto"/>
    <w:pitch w:val="default"/>
    <w:sig w:usb0="00000001" w:usb1="080E0000" w:usb2="00000000" w:usb3="00000000" w:csb0="00040000" w:csb1="00000000"/>
    <w:embedRegular r:id="rId5" w:fontKey="{F387CED9-AAEF-49B6-93B0-8CF59C9B846A}"/>
  </w:font>
  <w:font w:name="方正小标宋_GBK">
    <w:panose1 w:val="02000000000000000000"/>
    <w:charset w:val="86"/>
    <w:family w:val="script"/>
    <w:pitch w:val="default"/>
    <w:sig w:usb0="A00002BF" w:usb1="38CF7CFA" w:usb2="00082016" w:usb3="00000000" w:csb0="00040001" w:csb1="00000000"/>
    <w:embedRegular r:id="rId6" w:fontKey="{5650A1B5-9FFC-4399-BF65-455C809E22BE}"/>
  </w:font>
  <w:font w:name="仿宋_GB2312">
    <w:panose1 w:val="02010609030101010101"/>
    <w:charset w:val="86"/>
    <w:family w:val="auto"/>
    <w:pitch w:val="default"/>
    <w:sig w:usb0="00000001" w:usb1="080E0000" w:usb2="00000000" w:usb3="00000000" w:csb0="00040000" w:csb1="00000000"/>
    <w:embedRegular r:id="rId7" w:fontKey="{F89BE7DF-BE37-4602-A513-5D90E09ECC8F}"/>
  </w:font>
  <w:font w:name="ArialUnicodeMS">
    <w:altName w:val="Malgun Gothic"/>
    <w:panose1 w:val="00000000000000000000"/>
    <w:charset w:val="81"/>
    <w:family w:val="auto"/>
    <w:pitch w:val="default"/>
    <w:sig w:usb0="00000000" w:usb1="00000000" w:usb2="00000010" w:usb3="00000000" w:csb0="00080001" w:csb1="00000000"/>
    <w:embedRegular r:id="rId8" w:fontKey="{80880AF3-2FFD-45DB-B6C4-86ADA722D452}"/>
  </w:font>
  <w:font w:name="方正仿宋_GB2312">
    <w:altName w:val="仿宋"/>
    <w:panose1 w:val="02000000000000000000"/>
    <w:charset w:val="86"/>
    <w:family w:val="auto"/>
    <w:pitch w:val="default"/>
    <w:sig w:usb0="00000000" w:usb1="00000000" w:usb2="00000000" w:usb3="00000000" w:csb0="00000000" w:csb1="00000000"/>
    <w:embedRegular r:id="rId9" w:fontKey="{06EFD670-72B8-4E4A-BA79-DB3FAD181BA3}"/>
  </w:font>
  <w:font w:name="Malgun Gothic">
    <w:panose1 w:val="020B0503020000020004"/>
    <w:charset w:val="81"/>
    <w:family w:val="auto"/>
    <w:pitch w:val="default"/>
    <w:sig w:usb0="9000002F" w:usb1="29D77CFB" w:usb2="00000012" w:usb3="00000000" w:csb0="0008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center"/>
    </w:pPr>
  </w:p>
  <w:p>
    <w:pPr>
      <w:pStyle w:val="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7A7F363"/>
    <w:multiLevelType w:val="singleLevel"/>
    <w:tmpl w:val="07A7F363"/>
    <w:lvl w:ilvl="0" w:tentative="0">
      <w:start w:val="3"/>
      <w:numFmt w:val="chineseCounting"/>
      <w:suff w:val="nothing"/>
      <w:lvlText w:val="（%1）"/>
      <w:lvlJc w:val="left"/>
      <w:rPr>
        <w:rFonts w:hint="eastAsia"/>
      </w:rPr>
    </w:lvl>
  </w:abstractNum>
  <w:abstractNum w:abstractNumId="1">
    <w:nsid w:val="5F16A424"/>
    <w:multiLevelType w:val="multilevel"/>
    <w:tmpl w:val="5F16A424"/>
    <w:lvl w:ilvl="0" w:tentative="0">
      <w:start w:val="1"/>
      <w:numFmt w:val="decimal"/>
      <w:pStyle w:val="3"/>
      <w:lvlText w:val="%1."/>
      <w:lvlJc w:val="left"/>
      <w:pPr>
        <w:ind w:left="425" w:hanging="425"/>
      </w:pPr>
      <w:rPr>
        <w:rFonts w:hint="default"/>
      </w:rPr>
    </w:lvl>
    <w:lvl w:ilvl="1" w:tentative="0">
      <w:start w:val="1"/>
      <w:numFmt w:val="decimal"/>
      <w:pStyle w:val="4"/>
      <w:lvlText w:val="%1.%2."/>
      <w:lvlJc w:val="left"/>
      <w:pPr>
        <w:ind w:left="567" w:hanging="567"/>
      </w:pPr>
      <w:rPr>
        <w:rFonts w:hint="default"/>
      </w:rPr>
    </w:lvl>
    <w:lvl w:ilvl="2" w:tentative="0">
      <w:start w:val="1"/>
      <w:numFmt w:val="decimal"/>
      <w:pStyle w:val="5"/>
      <w:lvlText w:val="%1.%2.%3."/>
      <w:lvlJc w:val="left"/>
      <w:pPr>
        <w:ind w:left="709" w:hanging="709"/>
      </w:pPr>
      <w:rPr>
        <w:rFonts w:hint="default"/>
      </w:rPr>
    </w:lvl>
    <w:lvl w:ilvl="3" w:tentative="0">
      <w:start w:val="1"/>
      <w:numFmt w:val="decimal"/>
      <w:pStyle w:val="6"/>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displayBackgroundShape w:val="1"/>
  <w:embedTrueTypeFonts/>
  <w:saveSubsetFonts/>
  <w:bordersDoNotSurroundHeader w:val="0"/>
  <w:bordersDoNotSurroundFooter w:val="0"/>
  <w:documentProtection w:enforcement="0"/>
  <w:defaultTabStop w:val="420"/>
  <w:drawingGridVerticalSpacing w:val="165"/>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jb3VudCI6NjksImhkaWQiOiJiMzk2N2EzZjUyYWViODRjZjJhMDZjM2YyYjk4MTExMiIsInVzZXJDb3VudCI6MX0="/>
  </w:docVars>
  <w:rsids>
    <w:rsidRoot w:val="00000000"/>
    <w:rsid w:val="00086151"/>
    <w:rsid w:val="00236F8C"/>
    <w:rsid w:val="00822154"/>
    <w:rsid w:val="00C65689"/>
    <w:rsid w:val="00CC2C8E"/>
    <w:rsid w:val="01A03C5A"/>
    <w:rsid w:val="01A5267D"/>
    <w:rsid w:val="01AF6A8D"/>
    <w:rsid w:val="024808A2"/>
    <w:rsid w:val="025C3821"/>
    <w:rsid w:val="02DA3B1B"/>
    <w:rsid w:val="02E57B4D"/>
    <w:rsid w:val="03450B90"/>
    <w:rsid w:val="037B12D4"/>
    <w:rsid w:val="03804D63"/>
    <w:rsid w:val="03FB73B0"/>
    <w:rsid w:val="04806B11"/>
    <w:rsid w:val="049C1B9D"/>
    <w:rsid w:val="04BD008C"/>
    <w:rsid w:val="04C55939"/>
    <w:rsid w:val="04DA28BB"/>
    <w:rsid w:val="04F528BE"/>
    <w:rsid w:val="050E10CE"/>
    <w:rsid w:val="054F2DFB"/>
    <w:rsid w:val="05991C82"/>
    <w:rsid w:val="05CD1EC8"/>
    <w:rsid w:val="061416A9"/>
    <w:rsid w:val="061D60A6"/>
    <w:rsid w:val="06236884"/>
    <w:rsid w:val="06B07006"/>
    <w:rsid w:val="06FC7C2A"/>
    <w:rsid w:val="07533AFE"/>
    <w:rsid w:val="07AC18F2"/>
    <w:rsid w:val="07B3657A"/>
    <w:rsid w:val="07C857D0"/>
    <w:rsid w:val="083F3A0A"/>
    <w:rsid w:val="08AB5AAF"/>
    <w:rsid w:val="09012C64"/>
    <w:rsid w:val="093B2E99"/>
    <w:rsid w:val="095D7943"/>
    <w:rsid w:val="09C006C6"/>
    <w:rsid w:val="0A10621F"/>
    <w:rsid w:val="0A464C4F"/>
    <w:rsid w:val="0A6729A3"/>
    <w:rsid w:val="0A694877"/>
    <w:rsid w:val="0AA954BE"/>
    <w:rsid w:val="0AE70639"/>
    <w:rsid w:val="0B4F5E6D"/>
    <w:rsid w:val="0B753AE2"/>
    <w:rsid w:val="0BB67D0A"/>
    <w:rsid w:val="0BC56230"/>
    <w:rsid w:val="0BCF21BD"/>
    <w:rsid w:val="0C4E53E8"/>
    <w:rsid w:val="0C6712D6"/>
    <w:rsid w:val="0C9F7900"/>
    <w:rsid w:val="0CB23317"/>
    <w:rsid w:val="0D101068"/>
    <w:rsid w:val="0D4E13BE"/>
    <w:rsid w:val="0D7557DF"/>
    <w:rsid w:val="0D853E34"/>
    <w:rsid w:val="0D9C2A57"/>
    <w:rsid w:val="0DC3019B"/>
    <w:rsid w:val="0DFA5D82"/>
    <w:rsid w:val="0E1E52CE"/>
    <w:rsid w:val="0E866524"/>
    <w:rsid w:val="0E9268D3"/>
    <w:rsid w:val="0E957F1F"/>
    <w:rsid w:val="0F0E7284"/>
    <w:rsid w:val="0F28110F"/>
    <w:rsid w:val="0F37083F"/>
    <w:rsid w:val="0F7470AF"/>
    <w:rsid w:val="0F891DB8"/>
    <w:rsid w:val="0F8D3287"/>
    <w:rsid w:val="0FAA3B86"/>
    <w:rsid w:val="10191346"/>
    <w:rsid w:val="102A01A6"/>
    <w:rsid w:val="105A290D"/>
    <w:rsid w:val="10754A6C"/>
    <w:rsid w:val="108B537D"/>
    <w:rsid w:val="10B11DB1"/>
    <w:rsid w:val="11177F57"/>
    <w:rsid w:val="11217C97"/>
    <w:rsid w:val="11464C20"/>
    <w:rsid w:val="115E4926"/>
    <w:rsid w:val="118A1FFA"/>
    <w:rsid w:val="11E35B5A"/>
    <w:rsid w:val="11E42DD6"/>
    <w:rsid w:val="125F5A1B"/>
    <w:rsid w:val="126979D6"/>
    <w:rsid w:val="129E45A7"/>
    <w:rsid w:val="13074404"/>
    <w:rsid w:val="136A5C00"/>
    <w:rsid w:val="13B97B08"/>
    <w:rsid w:val="13C527AC"/>
    <w:rsid w:val="14711797"/>
    <w:rsid w:val="147B6F17"/>
    <w:rsid w:val="14D42061"/>
    <w:rsid w:val="15081C8B"/>
    <w:rsid w:val="15090D5C"/>
    <w:rsid w:val="156670AB"/>
    <w:rsid w:val="15CF053D"/>
    <w:rsid w:val="15E0131A"/>
    <w:rsid w:val="15E11DC0"/>
    <w:rsid w:val="16457D9F"/>
    <w:rsid w:val="17223EFF"/>
    <w:rsid w:val="17AA5F28"/>
    <w:rsid w:val="17B713F6"/>
    <w:rsid w:val="184350A0"/>
    <w:rsid w:val="18935485"/>
    <w:rsid w:val="18A34206"/>
    <w:rsid w:val="18DE3B2C"/>
    <w:rsid w:val="1906685D"/>
    <w:rsid w:val="19111683"/>
    <w:rsid w:val="19353916"/>
    <w:rsid w:val="193E101D"/>
    <w:rsid w:val="19C10AF1"/>
    <w:rsid w:val="1A017CDA"/>
    <w:rsid w:val="1A2672DE"/>
    <w:rsid w:val="1AA81D42"/>
    <w:rsid w:val="1AB433D9"/>
    <w:rsid w:val="1AFB6D70"/>
    <w:rsid w:val="1B1B11EE"/>
    <w:rsid w:val="1B3719E0"/>
    <w:rsid w:val="1B6261C3"/>
    <w:rsid w:val="1B731730"/>
    <w:rsid w:val="1B882BB5"/>
    <w:rsid w:val="1B9B33C7"/>
    <w:rsid w:val="1B9D7FEC"/>
    <w:rsid w:val="1BA55461"/>
    <w:rsid w:val="1BE74496"/>
    <w:rsid w:val="1C3D67D1"/>
    <w:rsid w:val="1C40731A"/>
    <w:rsid w:val="1C506572"/>
    <w:rsid w:val="1C560392"/>
    <w:rsid w:val="1C581532"/>
    <w:rsid w:val="1C9F2E05"/>
    <w:rsid w:val="1CA15E03"/>
    <w:rsid w:val="1CA24F0C"/>
    <w:rsid w:val="1CF8716C"/>
    <w:rsid w:val="1D1638FE"/>
    <w:rsid w:val="1D1E545A"/>
    <w:rsid w:val="1D4B1F5B"/>
    <w:rsid w:val="1D6C5CA0"/>
    <w:rsid w:val="1D725586"/>
    <w:rsid w:val="1D745B4F"/>
    <w:rsid w:val="1D867987"/>
    <w:rsid w:val="1D944010"/>
    <w:rsid w:val="1DD70E85"/>
    <w:rsid w:val="1DE74AD7"/>
    <w:rsid w:val="1DF60A19"/>
    <w:rsid w:val="1DFA6713"/>
    <w:rsid w:val="1E050843"/>
    <w:rsid w:val="1E2D3FB0"/>
    <w:rsid w:val="1E2E50F1"/>
    <w:rsid w:val="1E3B4E26"/>
    <w:rsid w:val="1EDF707D"/>
    <w:rsid w:val="1F394761"/>
    <w:rsid w:val="1F65664C"/>
    <w:rsid w:val="1F7C149A"/>
    <w:rsid w:val="1F84140D"/>
    <w:rsid w:val="1F9B7FFD"/>
    <w:rsid w:val="1F9C7614"/>
    <w:rsid w:val="1FBE1971"/>
    <w:rsid w:val="2008768D"/>
    <w:rsid w:val="204B327F"/>
    <w:rsid w:val="204C2B10"/>
    <w:rsid w:val="207D30AD"/>
    <w:rsid w:val="209064B9"/>
    <w:rsid w:val="20970D81"/>
    <w:rsid w:val="20D165D5"/>
    <w:rsid w:val="210878E6"/>
    <w:rsid w:val="210E1408"/>
    <w:rsid w:val="211069AD"/>
    <w:rsid w:val="21573FAB"/>
    <w:rsid w:val="2172069C"/>
    <w:rsid w:val="21987BC4"/>
    <w:rsid w:val="21BE314A"/>
    <w:rsid w:val="220451AB"/>
    <w:rsid w:val="2237486E"/>
    <w:rsid w:val="223D1378"/>
    <w:rsid w:val="22451BC7"/>
    <w:rsid w:val="22940650"/>
    <w:rsid w:val="22AD4B1E"/>
    <w:rsid w:val="22C43743"/>
    <w:rsid w:val="22D31DF3"/>
    <w:rsid w:val="22FD3CF7"/>
    <w:rsid w:val="232C221B"/>
    <w:rsid w:val="2356249E"/>
    <w:rsid w:val="236E713A"/>
    <w:rsid w:val="23700968"/>
    <w:rsid w:val="238761A6"/>
    <w:rsid w:val="23920578"/>
    <w:rsid w:val="23BB6F9A"/>
    <w:rsid w:val="23FC3864"/>
    <w:rsid w:val="24857B00"/>
    <w:rsid w:val="24F25212"/>
    <w:rsid w:val="251B0465"/>
    <w:rsid w:val="254B0AC6"/>
    <w:rsid w:val="25571AB6"/>
    <w:rsid w:val="25B40AD6"/>
    <w:rsid w:val="25BE7872"/>
    <w:rsid w:val="25BF702A"/>
    <w:rsid w:val="26390459"/>
    <w:rsid w:val="264D2D17"/>
    <w:rsid w:val="26D50E55"/>
    <w:rsid w:val="271A539C"/>
    <w:rsid w:val="273823FA"/>
    <w:rsid w:val="274972D4"/>
    <w:rsid w:val="27AA3D97"/>
    <w:rsid w:val="280A3758"/>
    <w:rsid w:val="28292E99"/>
    <w:rsid w:val="289057C5"/>
    <w:rsid w:val="28A67C7A"/>
    <w:rsid w:val="28EA3248"/>
    <w:rsid w:val="28F879DA"/>
    <w:rsid w:val="294B7731"/>
    <w:rsid w:val="29514455"/>
    <w:rsid w:val="29D21FF2"/>
    <w:rsid w:val="2A611B0F"/>
    <w:rsid w:val="2AC1762B"/>
    <w:rsid w:val="2AE845D0"/>
    <w:rsid w:val="2B370B64"/>
    <w:rsid w:val="2B4975FB"/>
    <w:rsid w:val="2B695031"/>
    <w:rsid w:val="2B735A8F"/>
    <w:rsid w:val="2BA7478D"/>
    <w:rsid w:val="2BB038DB"/>
    <w:rsid w:val="2BB761E0"/>
    <w:rsid w:val="2BB812F9"/>
    <w:rsid w:val="2BE35C27"/>
    <w:rsid w:val="2BFA504B"/>
    <w:rsid w:val="2C1B2873"/>
    <w:rsid w:val="2C681F1F"/>
    <w:rsid w:val="2C8608DC"/>
    <w:rsid w:val="2CA4764A"/>
    <w:rsid w:val="2CC42ECA"/>
    <w:rsid w:val="2CDA4349"/>
    <w:rsid w:val="2D225539"/>
    <w:rsid w:val="2D4618D2"/>
    <w:rsid w:val="2D5F021B"/>
    <w:rsid w:val="2D6E1286"/>
    <w:rsid w:val="2D70583E"/>
    <w:rsid w:val="2E0725DC"/>
    <w:rsid w:val="2E1B4BB8"/>
    <w:rsid w:val="2E256CB6"/>
    <w:rsid w:val="2E5F27E4"/>
    <w:rsid w:val="2EBD223E"/>
    <w:rsid w:val="2EC10AD1"/>
    <w:rsid w:val="2ECB6A5A"/>
    <w:rsid w:val="2EE65418"/>
    <w:rsid w:val="2EFC0112"/>
    <w:rsid w:val="2F0F6197"/>
    <w:rsid w:val="2F2B730D"/>
    <w:rsid w:val="2F9F3DC1"/>
    <w:rsid w:val="2FFC7AC2"/>
    <w:rsid w:val="301430AF"/>
    <w:rsid w:val="30630612"/>
    <w:rsid w:val="308E59B0"/>
    <w:rsid w:val="30B10568"/>
    <w:rsid w:val="30E55DD3"/>
    <w:rsid w:val="30E60399"/>
    <w:rsid w:val="31356AA5"/>
    <w:rsid w:val="313E22F0"/>
    <w:rsid w:val="31B0194C"/>
    <w:rsid w:val="31CE17D1"/>
    <w:rsid w:val="32270449"/>
    <w:rsid w:val="323E4515"/>
    <w:rsid w:val="3286389B"/>
    <w:rsid w:val="32994FDB"/>
    <w:rsid w:val="32CF5C94"/>
    <w:rsid w:val="32D337C7"/>
    <w:rsid w:val="32E200EC"/>
    <w:rsid w:val="32E5408B"/>
    <w:rsid w:val="32EB0D70"/>
    <w:rsid w:val="332824BC"/>
    <w:rsid w:val="332868BB"/>
    <w:rsid w:val="333211F3"/>
    <w:rsid w:val="33504B41"/>
    <w:rsid w:val="338B4A07"/>
    <w:rsid w:val="33944811"/>
    <w:rsid w:val="33CE0488"/>
    <w:rsid w:val="341D31EE"/>
    <w:rsid w:val="34262463"/>
    <w:rsid w:val="34296F31"/>
    <w:rsid w:val="34340A27"/>
    <w:rsid w:val="346A2989"/>
    <w:rsid w:val="348865E9"/>
    <w:rsid w:val="348F70D5"/>
    <w:rsid w:val="349D2BAD"/>
    <w:rsid w:val="34B25886"/>
    <w:rsid w:val="35277FF8"/>
    <w:rsid w:val="35763460"/>
    <w:rsid w:val="35776F72"/>
    <w:rsid w:val="35997371"/>
    <w:rsid w:val="35DD4D47"/>
    <w:rsid w:val="360134DF"/>
    <w:rsid w:val="360B1E2F"/>
    <w:rsid w:val="360D500F"/>
    <w:rsid w:val="36330424"/>
    <w:rsid w:val="36FE3ABA"/>
    <w:rsid w:val="37072BDE"/>
    <w:rsid w:val="37455334"/>
    <w:rsid w:val="37527C32"/>
    <w:rsid w:val="37731921"/>
    <w:rsid w:val="37E509C0"/>
    <w:rsid w:val="37E96FB8"/>
    <w:rsid w:val="38222D85"/>
    <w:rsid w:val="38803721"/>
    <w:rsid w:val="38925A62"/>
    <w:rsid w:val="389F5F4F"/>
    <w:rsid w:val="38C36BA2"/>
    <w:rsid w:val="38E11CEF"/>
    <w:rsid w:val="38F6595C"/>
    <w:rsid w:val="391702A7"/>
    <w:rsid w:val="39286EB6"/>
    <w:rsid w:val="39601DF4"/>
    <w:rsid w:val="396960F3"/>
    <w:rsid w:val="396A6AE2"/>
    <w:rsid w:val="39840D35"/>
    <w:rsid w:val="39A97DAF"/>
    <w:rsid w:val="39CD1330"/>
    <w:rsid w:val="39DD1AFF"/>
    <w:rsid w:val="3A2510B9"/>
    <w:rsid w:val="3A2B1DFC"/>
    <w:rsid w:val="3AA6422C"/>
    <w:rsid w:val="3AAF46D5"/>
    <w:rsid w:val="3AF562AE"/>
    <w:rsid w:val="3B135A0E"/>
    <w:rsid w:val="3B272BBC"/>
    <w:rsid w:val="3B374FEE"/>
    <w:rsid w:val="3B4410EE"/>
    <w:rsid w:val="3B56159C"/>
    <w:rsid w:val="3B596DF7"/>
    <w:rsid w:val="3B7D732B"/>
    <w:rsid w:val="3BD30423"/>
    <w:rsid w:val="3C6C0B58"/>
    <w:rsid w:val="3CBE41D5"/>
    <w:rsid w:val="3D446B0E"/>
    <w:rsid w:val="3D745844"/>
    <w:rsid w:val="3D8626D0"/>
    <w:rsid w:val="3D953A6B"/>
    <w:rsid w:val="3DBB5979"/>
    <w:rsid w:val="3DD56F21"/>
    <w:rsid w:val="3DEF6699"/>
    <w:rsid w:val="3E1057AF"/>
    <w:rsid w:val="3E6C0DFA"/>
    <w:rsid w:val="3E740322"/>
    <w:rsid w:val="3E7F4380"/>
    <w:rsid w:val="3E8D171B"/>
    <w:rsid w:val="3EA5630D"/>
    <w:rsid w:val="3EBA731B"/>
    <w:rsid w:val="3EE33949"/>
    <w:rsid w:val="3EFB5800"/>
    <w:rsid w:val="3F3B4E59"/>
    <w:rsid w:val="3F6E677C"/>
    <w:rsid w:val="3F712F46"/>
    <w:rsid w:val="3FBC0EF7"/>
    <w:rsid w:val="3FCD2AB9"/>
    <w:rsid w:val="3FD17600"/>
    <w:rsid w:val="402E7C36"/>
    <w:rsid w:val="4050218A"/>
    <w:rsid w:val="405C7868"/>
    <w:rsid w:val="408B24EB"/>
    <w:rsid w:val="408D1DBF"/>
    <w:rsid w:val="40C652D1"/>
    <w:rsid w:val="417044B8"/>
    <w:rsid w:val="41A203A0"/>
    <w:rsid w:val="41A25D3E"/>
    <w:rsid w:val="41C77987"/>
    <w:rsid w:val="41E83F8C"/>
    <w:rsid w:val="422D1842"/>
    <w:rsid w:val="425B7C31"/>
    <w:rsid w:val="427D66D0"/>
    <w:rsid w:val="42BC7E02"/>
    <w:rsid w:val="42C82575"/>
    <w:rsid w:val="42FE1A96"/>
    <w:rsid w:val="43022EE1"/>
    <w:rsid w:val="431A5F8F"/>
    <w:rsid w:val="431F247A"/>
    <w:rsid w:val="43335E8F"/>
    <w:rsid w:val="433F2968"/>
    <w:rsid w:val="43655F7F"/>
    <w:rsid w:val="43676E20"/>
    <w:rsid w:val="43A31040"/>
    <w:rsid w:val="43BF774E"/>
    <w:rsid w:val="43CD062F"/>
    <w:rsid w:val="43E214F9"/>
    <w:rsid w:val="43F06264"/>
    <w:rsid w:val="44404C8E"/>
    <w:rsid w:val="447537F1"/>
    <w:rsid w:val="44870D07"/>
    <w:rsid w:val="44D33826"/>
    <w:rsid w:val="45344EFF"/>
    <w:rsid w:val="45513D03"/>
    <w:rsid w:val="45541E1C"/>
    <w:rsid w:val="45FE7734"/>
    <w:rsid w:val="461F0A8B"/>
    <w:rsid w:val="4648721E"/>
    <w:rsid w:val="46663E71"/>
    <w:rsid w:val="466A37AC"/>
    <w:rsid w:val="468A1A00"/>
    <w:rsid w:val="46CB071B"/>
    <w:rsid w:val="46DE140B"/>
    <w:rsid w:val="46E77334"/>
    <w:rsid w:val="46F22E29"/>
    <w:rsid w:val="46F7142F"/>
    <w:rsid w:val="47107AE3"/>
    <w:rsid w:val="473C62ED"/>
    <w:rsid w:val="47617242"/>
    <w:rsid w:val="478C16C9"/>
    <w:rsid w:val="47BD246B"/>
    <w:rsid w:val="47CB2B0C"/>
    <w:rsid w:val="47E773CE"/>
    <w:rsid w:val="47EE2C9A"/>
    <w:rsid w:val="47F00499"/>
    <w:rsid w:val="48015FF5"/>
    <w:rsid w:val="483820D2"/>
    <w:rsid w:val="48692CD0"/>
    <w:rsid w:val="48AE3D01"/>
    <w:rsid w:val="48B96318"/>
    <w:rsid w:val="49067B2F"/>
    <w:rsid w:val="49677E31"/>
    <w:rsid w:val="496C2225"/>
    <w:rsid w:val="49A35E02"/>
    <w:rsid w:val="49AE2880"/>
    <w:rsid w:val="49F42EAF"/>
    <w:rsid w:val="4A337323"/>
    <w:rsid w:val="4A5B28DC"/>
    <w:rsid w:val="4AA06B93"/>
    <w:rsid w:val="4ADB18EB"/>
    <w:rsid w:val="4B3A6FE7"/>
    <w:rsid w:val="4B96118E"/>
    <w:rsid w:val="4BAE1B66"/>
    <w:rsid w:val="4BC806E6"/>
    <w:rsid w:val="4BED4708"/>
    <w:rsid w:val="4BF133DC"/>
    <w:rsid w:val="4C2E4987"/>
    <w:rsid w:val="4C4117A4"/>
    <w:rsid w:val="4C507D4A"/>
    <w:rsid w:val="4CDF5563"/>
    <w:rsid w:val="4CFB2214"/>
    <w:rsid w:val="4D2C4D26"/>
    <w:rsid w:val="4D335E0E"/>
    <w:rsid w:val="4D4E4EA3"/>
    <w:rsid w:val="4D9A5B1B"/>
    <w:rsid w:val="4DA55D85"/>
    <w:rsid w:val="4DBB20DB"/>
    <w:rsid w:val="4DDC3F22"/>
    <w:rsid w:val="4DE66FB2"/>
    <w:rsid w:val="4DEC6CB8"/>
    <w:rsid w:val="4E1040C7"/>
    <w:rsid w:val="4E1760BF"/>
    <w:rsid w:val="4E30647F"/>
    <w:rsid w:val="4EBA03C3"/>
    <w:rsid w:val="4EBC5459"/>
    <w:rsid w:val="4ED94CB0"/>
    <w:rsid w:val="4EEC2ED3"/>
    <w:rsid w:val="4F0E56EA"/>
    <w:rsid w:val="4F2E11BC"/>
    <w:rsid w:val="4F3C4343"/>
    <w:rsid w:val="4F416688"/>
    <w:rsid w:val="4F5620B0"/>
    <w:rsid w:val="4F616EB4"/>
    <w:rsid w:val="4F6654EE"/>
    <w:rsid w:val="4F7379C6"/>
    <w:rsid w:val="4F872BDB"/>
    <w:rsid w:val="4FA033E9"/>
    <w:rsid w:val="4FA743DA"/>
    <w:rsid w:val="4FB3565A"/>
    <w:rsid w:val="4FC4714D"/>
    <w:rsid w:val="503D1C79"/>
    <w:rsid w:val="507A6406"/>
    <w:rsid w:val="50853863"/>
    <w:rsid w:val="508A4590"/>
    <w:rsid w:val="50F1461D"/>
    <w:rsid w:val="50FE5411"/>
    <w:rsid w:val="510B072E"/>
    <w:rsid w:val="511B0BF4"/>
    <w:rsid w:val="51264306"/>
    <w:rsid w:val="514E62C9"/>
    <w:rsid w:val="516123CE"/>
    <w:rsid w:val="51932FAD"/>
    <w:rsid w:val="51B177A9"/>
    <w:rsid w:val="51E066EB"/>
    <w:rsid w:val="52640E8B"/>
    <w:rsid w:val="5267570A"/>
    <w:rsid w:val="52707792"/>
    <w:rsid w:val="52A12CDC"/>
    <w:rsid w:val="52DF0C92"/>
    <w:rsid w:val="52E1159C"/>
    <w:rsid w:val="52E34D6A"/>
    <w:rsid w:val="531E524E"/>
    <w:rsid w:val="534072EB"/>
    <w:rsid w:val="537648BE"/>
    <w:rsid w:val="538E2D0B"/>
    <w:rsid w:val="53922782"/>
    <w:rsid w:val="539C1424"/>
    <w:rsid w:val="53A639C0"/>
    <w:rsid w:val="53F00A24"/>
    <w:rsid w:val="53F63DBA"/>
    <w:rsid w:val="5448624E"/>
    <w:rsid w:val="546E2B1A"/>
    <w:rsid w:val="5482555F"/>
    <w:rsid w:val="54A31DD8"/>
    <w:rsid w:val="54AA6F8B"/>
    <w:rsid w:val="54D26583"/>
    <w:rsid w:val="55363E67"/>
    <w:rsid w:val="556E6DF7"/>
    <w:rsid w:val="55965CE3"/>
    <w:rsid w:val="559D47CE"/>
    <w:rsid w:val="55BE1959"/>
    <w:rsid w:val="56232437"/>
    <w:rsid w:val="56541A75"/>
    <w:rsid w:val="568832FC"/>
    <w:rsid w:val="568C4181"/>
    <w:rsid w:val="570725A9"/>
    <w:rsid w:val="5714693E"/>
    <w:rsid w:val="571D0C9C"/>
    <w:rsid w:val="573A16CE"/>
    <w:rsid w:val="579C7F80"/>
    <w:rsid w:val="57B30D7C"/>
    <w:rsid w:val="58166B03"/>
    <w:rsid w:val="583E3C94"/>
    <w:rsid w:val="58721734"/>
    <w:rsid w:val="58900246"/>
    <w:rsid w:val="58977358"/>
    <w:rsid w:val="58D53944"/>
    <w:rsid w:val="58D65478"/>
    <w:rsid w:val="58F52487"/>
    <w:rsid w:val="590422E6"/>
    <w:rsid w:val="592257E5"/>
    <w:rsid w:val="59655E33"/>
    <w:rsid w:val="59CF5BD9"/>
    <w:rsid w:val="59E20C3C"/>
    <w:rsid w:val="5A1D5B0A"/>
    <w:rsid w:val="5A3B4B4E"/>
    <w:rsid w:val="5A4804CA"/>
    <w:rsid w:val="5A594C85"/>
    <w:rsid w:val="5A8842AA"/>
    <w:rsid w:val="5AEB1E3C"/>
    <w:rsid w:val="5B2507CA"/>
    <w:rsid w:val="5B2A474A"/>
    <w:rsid w:val="5B2D237E"/>
    <w:rsid w:val="5B830730"/>
    <w:rsid w:val="5BBB2DD6"/>
    <w:rsid w:val="5BE263B6"/>
    <w:rsid w:val="5C8E5C5A"/>
    <w:rsid w:val="5C965E61"/>
    <w:rsid w:val="5CF0089C"/>
    <w:rsid w:val="5CF5796F"/>
    <w:rsid w:val="5D242A11"/>
    <w:rsid w:val="5D9217C2"/>
    <w:rsid w:val="5DAD06BF"/>
    <w:rsid w:val="5DC92CE9"/>
    <w:rsid w:val="5DE23CB3"/>
    <w:rsid w:val="5DE97EEC"/>
    <w:rsid w:val="5DFA5EB0"/>
    <w:rsid w:val="5E000E4D"/>
    <w:rsid w:val="5E0B583E"/>
    <w:rsid w:val="5E201A7B"/>
    <w:rsid w:val="5EA45884"/>
    <w:rsid w:val="5EBD0484"/>
    <w:rsid w:val="5F2C5C7C"/>
    <w:rsid w:val="5F36141C"/>
    <w:rsid w:val="5FC5273F"/>
    <w:rsid w:val="604F6C39"/>
    <w:rsid w:val="60806DF2"/>
    <w:rsid w:val="61072DA5"/>
    <w:rsid w:val="611C0817"/>
    <w:rsid w:val="61224A52"/>
    <w:rsid w:val="61520CCB"/>
    <w:rsid w:val="61851A29"/>
    <w:rsid w:val="622D1522"/>
    <w:rsid w:val="622E0574"/>
    <w:rsid w:val="62683B6B"/>
    <w:rsid w:val="6275761C"/>
    <w:rsid w:val="62816E52"/>
    <w:rsid w:val="62AB7BE6"/>
    <w:rsid w:val="62AC5944"/>
    <w:rsid w:val="632F3F8A"/>
    <w:rsid w:val="63716241"/>
    <w:rsid w:val="637279B4"/>
    <w:rsid w:val="63817D2B"/>
    <w:rsid w:val="63BD1FA9"/>
    <w:rsid w:val="63D175D1"/>
    <w:rsid w:val="63D27965"/>
    <w:rsid w:val="63F4667E"/>
    <w:rsid w:val="64095516"/>
    <w:rsid w:val="641A2468"/>
    <w:rsid w:val="64372F20"/>
    <w:rsid w:val="648944D0"/>
    <w:rsid w:val="64DC72D7"/>
    <w:rsid w:val="64FA42B4"/>
    <w:rsid w:val="653619A6"/>
    <w:rsid w:val="65610A02"/>
    <w:rsid w:val="65A11EA3"/>
    <w:rsid w:val="65AC3D66"/>
    <w:rsid w:val="65BB5334"/>
    <w:rsid w:val="663E1DBA"/>
    <w:rsid w:val="665D0213"/>
    <w:rsid w:val="668506C7"/>
    <w:rsid w:val="669E59F1"/>
    <w:rsid w:val="66A2024B"/>
    <w:rsid w:val="66CB5E2D"/>
    <w:rsid w:val="6704732B"/>
    <w:rsid w:val="670F6731"/>
    <w:rsid w:val="67585CB0"/>
    <w:rsid w:val="67770F0C"/>
    <w:rsid w:val="67B03535"/>
    <w:rsid w:val="68174F69"/>
    <w:rsid w:val="682C436A"/>
    <w:rsid w:val="68382778"/>
    <w:rsid w:val="68391F41"/>
    <w:rsid w:val="68436B8C"/>
    <w:rsid w:val="68797358"/>
    <w:rsid w:val="6884624F"/>
    <w:rsid w:val="68A519DF"/>
    <w:rsid w:val="68C4160B"/>
    <w:rsid w:val="68C41C30"/>
    <w:rsid w:val="68CF3BA4"/>
    <w:rsid w:val="69257FA7"/>
    <w:rsid w:val="693F26C7"/>
    <w:rsid w:val="697E12B2"/>
    <w:rsid w:val="69C8706D"/>
    <w:rsid w:val="6A0E3FB4"/>
    <w:rsid w:val="6A292754"/>
    <w:rsid w:val="6A5E3B28"/>
    <w:rsid w:val="6A6B1EBE"/>
    <w:rsid w:val="6A8F43F7"/>
    <w:rsid w:val="6AD625F3"/>
    <w:rsid w:val="6B7218BE"/>
    <w:rsid w:val="6B750BA9"/>
    <w:rsid w:val="6BB93285"/>
    <w:rsid w:val="6C0C698C"/>
    <w:rsid w:val="6C222401"/>
    <w:rsid w:val="6C56267F"/>
    <w:rsid w:val="6C826EF9"/>
    <w:rsid w:val="6CAE4C93"/>
    <w:rsid w:val="6CB14F16"/>
    <w:rsid w:val="6CEC2069"/>
    <w:rsid w:val="6D0B1869"/>
    <w:rsid w:val="6D65402D"/>
    <w:rsid w:val="6D683822"/>
    <w:rsid w:val="6D8D136C"/>
    <w:rsid w:val="6DBF2759"/>
    <w:rsid w:val="6DC96F36"/>
    <w:rsid w:val="6DFA3EBF"/>
    <w:rsid w:val="6E3E63D2"/>
    <w:rsid w:val="6E5F7BE6"/>
    <w:rsid w:val="6E6918C6"/>
    <w:rsid w:val="6E833711"/>
    <w:rsid w:val="6EEB4AC4"/>
    <w:rsid w:val="6F212DD6"/>
    <w:rsid w:val="6F3B5912"/>
    <w:rsid w:val="6FA14A81"/>
    <w:rsid w:val="6FA3261F"/>
    <w:rsid w:val="6FB44BAA"/>
    <w:rsid w:val="700D6539"/>
    <w:rsid w:val="704203E3"/>
    <w:rsid w:val="7058046B"/>
    <w:rsid w:val="707F2079"/>
    <w:rsid w:val="70922734"/>
    <w:rsid w:val="70CD16CB"/>
    <w:rsid w:val="70CE6DC7"/>
    <w:rsid w:val="710B3646"/>
    <w:rsid w:val="711759F2"/>
    <w:rsid w:val="713C4ED8"/>
    <w:rsid w:val="71407642"/>
    <w:rsid w:val="71641210"/>
    <w:rsid w:val="71D95B7C"/>
    <w:rsid w:val="71EA6A50"/>
    <w:rsid w:val="71FE31A8"/>
    <w:rsid w:val="720C30AE"/>
    <w:rsid w:val="721A7983"/>
    <w:rsid w:val="721F6113"/>
    <w:rsid w:val="7233782C"/>
    <w:rsid w:val="726A729D"/>
    <w:rsid w:val="73177841"/>
    <w:rsid w:val="733774FE"/>
    <w:rsid w:val="73617E1B"/>
    <w:rsid w:val="736D7653"/>
    <w:rsid w:val="738035CB"/>
    <w:rsid w:val="73852C46"/>
    <w:rsid w:val="7396335C"/>
    <w:rsid w:val="73F46595"/>
    <w:rsid w:val="73F47FAE"/>
    <w:rsid w:val="74283FA2"/>
    <w:rsid w:val="742C135B"/>
    <w:rsid w:val="74463733"/>
    <w:rsid w:val="748A2F40"/>
    <w:rsid w:val="74D84FF7"/>
    <w:rsid w:val="74F85778"/>
    <w:rsid w:val="75272439"/>
    <w:rsid w:val="758F1E9B"/>
    <w:rsid w:val="75CE266B"/>
    <w:rsid w:val="76120141"/>
    <w:rsid w:val="768216BE"/>
    <w:rsid w:val="76C23B43"/>
    <w:rsid w:val="76FD6F97"/>
    <w:rsid w:val="770218E8"/>
    <w:rsid w:val="779469CE"/>
    <w:rsid w:val="77C875A5"/>
    <w:rsid w:val="78A27DF6"/>
    <w:rsid w:val="79285B3A"/>
    <w:rsid w:val="79490B03"/>
    <w:rsid w:val="79625CA9"/>
    <w:rsid w:val="79A91196"/>
    <w:rsid w:val="7A0B32D3"/>
    <w:rsid w:val="7AC13CD3"/>
    <w:rsid w:val="7AE10264"/>
    <w:rsid w:val="7AE4248E"/>
    <w:rsid w:val="7B4A207F"/>
    <w:rsid w:val="7B936F45"/>
    <w:rsid w:val="7BA47419"/>
    <w:rsid w:val="7BB10D45"/>
    <w:rsid w:val="7BB44151"/>
    <w:rsid w:val="7C656A39"/>
    <w:rsid w:val="7CB93996"/>
    <w:rsid w:val="7CBE0F99"/>
    <w:rsid w:val="7D4E45F1"/>
    <w:rsid w:val="7DFB6D82"/>
    <w:rsid w:val="7E1D71D1"/>
    <w:rsid w:val="7E246254"/>
    <w:rsid w:val="7E553215"/>
    <w:rsid w:val="7E6D090F"/>
    <w:rsid w:val="7ECC66B2"/>
    <w:rsid w:val="7F2914C3"/>
    <w:rsid w:val="7F5F2ED6"/>
    <w:rsid w:val="7FA837EF"/>
    <w:rsid w:val="7FC36955"/>
    <w:rsid w:val="7FE903A0"/>
    <w:rsid w:val="7FF07065"/>
    <w:rsid w:val="7FF97946"/>
    <w:rsid w:val="7FFE788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qFormat="1" w:uiPriority="99" w:name="annotation text"/>
    <w:lsdException w:qFormat="1" w:unhideWhenUsed="0" w:uiPriority="0"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cs="宋体" w:asciiTheme="minorHAnsi" w:hAnsiTheme="minorHAnsi" w:eastAsiaTheme="minorEastAsia"/>
      <w:color w:val="auto"/>
      <w:kern w:val="0"/>
      <w:sz w:val="24"/>
      <w:szCs w:val="24"/>
      <w:lang w:val="en-US" w:eastAsia="zh-CN" w:bidi="ar-SA"/>
    </w:rPr>
  </w:style>
  <w:style w:type="paragraph" w:styleId="3">
    <w:name w:val="heading 1"/>
    <w:basedOn w:val="1"/>
    <w:next w:val="1"/>
    <w:qFormat/>
    <w:uiPriority w:val="0"/>
    <w:pPr>
      <w:keepNext/>
      <w:keepLines/>
      <w:numPr>
        <w:ilvl w:val="0"/>
        <w:numId w:val="1"/>
      </w:numPr>
      <w:adjustRightInd w:val="0"/>
      <w:snapToGrid w:val="0"/>
      <w:spacing w:before="340" w:after="50" w:afterLines="50" w:line="578" w:lineRule="auto"/>
      <w:ind w:left="425" w:hanging="425"/>
      <w:jc w:val="left"/>
      <w:outlineLvl w:val="0"/>
    </w:pPr>
    <w:rPr>
      <w:rFonts w:ascii="Times New Roman" w:hAnsi="Times New Roman" w:eastAsia="仿宋" w:cs="Times New Roman"/>
      <w:b/>
      <w:bCs/>
      <w:kern w:val="44"/>
      <w:sz w:val="36"/>
      <w:szCs w:val="44"/>
    </w:rPr>
  </w:style>
  <w:style w:type="paragraph" w:styleId="4">
    <w:name w:val="heading 2"/>
    <w:basedOn w:val="1"/>
    <w:next w:val="1"/>
    <w:link w:val="16"/>
    <w:semiHidden/>
    <w:unhideWhenUsed/>
    <w:qFormat/>
    <w:uiPriority w:val="9"/>
    <w:pPr>
      <w:widowControl w:val="0"/>
      <w:numPr>
        <w:ilvl w:val="1"/>
        <w:numId w:val="1"/>
      </w:numPr>
      <w:spacing w:line="416" w:lineRule="auto"/>
      <w:ind w:left="567" w:hanging="567"/>
      <w:outlineLvl w:val="1"/>
    </w:pPr>
    <w:rPr>
      <w:rFonts w:ascii="Calibri Light" w:hAnsi="Calibri Light" w:eastAsia="宋体" w:cs="Times New Roman"/>
      <w:b/>
      <w:bCs/>
      <w:sz w:val="28"/>
      <w:szCs w:val="32"/>
    </w:rPr>
  </w:style>
  <w:style w:type="paragraph" w:styleId="5">
    <w:name w:val="heading 3"/>
    <w:basedOn w:val="1"/>
    <w:next w:val="1"/>
    <w:semiHidden/>
    <w:unhideWhenUsed/>
    <w:qFormat/>
    <w:uiPriority w:val="9"/>
    <w:pPr>
      <w:keepNext/>
      <w:keepLines/>
      <w:numPr>
        <w:ilvl w:val="2"/>
        <w:numId w:val="1"/>
      </w:numPr>
      <w:spacing w:before="50" w:beforeLines="50" w:after="50" w:afterLines="50" w:line="416" w:lineRule="auto"/>
      <w:outlineLvl w:val="2"/>
    </w:pPr>
    <w:rPr>
      <w:rFonts w:ascii="宋体" w:hAnsi="宋体" w:eastAsia="宋体" w:cs="宋体"/>
      <w:b/>
      <w:bCs/>
      <w:sz w:val="32"/>
    </w:rPr>
  </w:style>
  <w:style w:type="paragraph" w:styleId="6">
    <w:name w:val="heading 4"/>
    <w:basedOn w:val="1"/>
    <w:next w:val="1"/>
    <w:semiHidden/>
    <w:unhideWhenUsed/>
    <w:qFormat/>
    <w:uiPriority w:val="9"/>
    <w:pPr>
      <w:keepNext/>
      <w:keepLines/>
      <w:numPr>
        <w:ilvl w:val="3"/>
        <w:numId w:val="1"/>
      </w:numPr>
      <w:spacing w:before="120" w:after="120"/>
      <w:outlineLvl w:val="3"/>
    </w:pPr>
    <w:rPr>
      <w:rFonts w:ascii="Calibri Light" w:hAnsi="Calibri Light" w:eastAsia="宋体" w:cs="Times New Roman"/>
      <w:b/>
      <w:bCs/>
      <w:sz w:val="28"/>
      <w:szCs w:val="28"/>
    </w:rPr>
  </w:style>
  <w:style w:type="character" w:default="1" w:styleId="14">
    <w:name w:val="Default Paragraph Font"/>
    <w:semiHidden/>
    <w:unhideWhenUsed/>
    <w:qFormat/>
    <w:uiPriority w:val="1"/>
  </w:style>
  <w:style w:type="table" w:default="1" w:styleId="12">
    <w:name w:val="Normal Table"/>
    <w:semiHidden/>
    <w:unhideWhenUsed/>
    <w:qFormat/>
    <w:uiPriority w:val="99"/>
    <w:tblPr>
      <w:tblCellMar>
        <w:top w:w="0" w:type="dxa"/>
        <w:left w:w="108" w:type="dxa"/>
        <w:bottom w:w="0" w:type="dxa"/>
        <w:right w:w="108" w:type="dxa"/>
      </w:tblCellMar>
    </w:tblPr>
  </w:style>
  <w:style w:type="paragraph" w:customStyle="1" w:styleId="2">
    <w:name w:val="No Spacing_4237fe7c-c47e-41c6-9acd-fe1d22bbb520"/>
    <w:qFormat/>
    <w:uiPriority w:val="0"/>
    <w:pPr>
      <w:widowControl w:val="0"/>
      <w:jc w:val="both"/>
    </w:pPr>
    <w:rPr>
      <w:rFonts w:ascii="宋体" w:hAnsi="宋体" w:eastAsia="仿宋_GB2312" w:cs="Times New Roman"/>
      <w:kern w:val="2"/>
      <w:sz w:val="32"/>
      <w:szCs w:val="22"/>
      <w:lang w:val="en-US" w:eastAsia="zh-CN" w:bidi="ar-SA"/>
    </w:rPr>
  </w:style>
  <w:style w:type="paragraph" w:styleId="7">
    <w:name w:val="annotation text"/>
    <w:basedOn w:val="1"/>
    <w:semiHidden/>
    <w:unhideWhenUsed/>
    <w:qFormat/>
    <w:uiPriority w:val="99"/>
    <w:pPr>
      <w:jc w:val="left"/>
    </w:pPr>
  </w:style>
  <w:style w:type="paragraph" w:styleId="8">
    <w:name w:val="Balloon Text"/>
    <w:basedOn w:val="1"/>
    <w:link w:val="25"/>
    <w:unhideWhenUsed/>
    <w:qFormat/>
    <w:uiPriority w:val="99"/>
    <w:rPr>
      <w:rFonts w:cstheme="minorBidi"/>
      <w:kern w:val="2"/>
      <w:sz w:val="18"/>
      <w:szCs w:val="18"/>
    </w:rPr>
  </w:style>
  <w:style w:type="paragraph" w:styleId="9">
    <w:name w:val="footer"/>
    <w:basedOn w:val="1"/>
    <w:link w:val="17"/>
    <w:qFormat/>
    <w:uiPriority w:val="99"/>
    <w:pPr>
      <w:tabs>
        <w:tab w:val="center" w:pos="4153"/>
        <w:tab w:val="right" w:pos="8306"/>
      </w:tabs>
      <w:snapToGrid w:val="0"/>
      <w:jc w:val="left"/>
    </w:pPr>
    <w:rPr>
      <w:rFonts w:cstheme="minorBidi"/>
      <w:kern w:val="2"/>
      <w:sz w:val="18"/>
      <w:szCs w:val="18"/>
    </w:rPr>
  </w:style>
  <w:style w:type="paragraph" w:styleId="10">
    <w:name w:val="header"/>
    <w:basedOn w:val="1"/>
    <w:link w:val="18"/>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rFonts w:cstheme="minorBidi"/>
      <w:kern w:val="2"/>
      <w:sz w:val="18"/>
      <w:szCs w:val="18"/>
    </w:rPr>
  </w:style>
  <w:style w:type="paragraph" w:styleId="11">
    <w:name w:val="Normal (Web)"/>
    <w:basedOn w:val="1"/>
    <w:semiHidden/>
    <w:unhideWhenUsed/>
    <w:qFormat/>
    <w:uiPriority w:val="99"/>
    <w:pPr>
      <w:spacing w:before="0" w:beforeAutospacing="1" w:after="0" w:afterAutospacing="1"/>
      <w:ind w:left="0" w:right="0"/>
      <w:jc w:val="left"/>
    </w:pPr>
    <w:rPr>
      <w:kern w:val="0"/>
      <w:sz w:val="24"/>
      <w:lang w:val="en-US" w:eastAsia="zh-CN" w:bidi="ar"/>
    </w:rPr>
  </w:style>
  <w:style w:type="table" w:styleId="13">
    <w:name w:val="Table Grid"/>
    <w:qFormat/>
    <w:uiPriority w:val="0"/>
    <w:rPr>
      <w:sz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15">
    <w:name w:val="Strong"/>
    <w:basedOn w:val="14"/>
    <w:qFormat/>
    <w:uiPriority w:val="22"/>
    <w:rPr>
      <w:b/>
    </w:rPr>
  </w:style>
  <w:style w:type="character" w:customStyle="1" w:styleId="16">
    <w:name w:val="标题 2 Char"/>
    <w:link w:val="4"/>
    <w:qFormat/>
    <w:uiPriority w:val="0"/>
    <w:rPr>
      <w:rFonts w:ascii="Calibri Light" w:hAnsi="Calibri Light" w:eastAsia="宋体" w:cs="Times New Roman"/>
      <w:b/>
      <w:bCs/>
      <w:sz w:val="28"/>
      <w:szCs w:val="32"/>
    </w:rPr>
  </w:style>
  <w:style w:type="character" w:customStyle="1" w:styleId="17">
    <w:name w:val="页脚 Char"/>
    <w:basedOn w:val="14"/>
    <w:link w:val="9"/>
    <w:qFormat/>
    <w:uiPriority w:val="99"/>
    <w:rPr>
      <w:rFonts w:asciiTheme="minorHAnsi" w:hAnsiTheme="minorHAnsi" w:eastAsiaTheme="minorEastAsia" w:cstheme="minorBidi"/>
      <w:sz w:val="18"/>
      <w:szCs w:val="18"/>
      <w:lang w:val="en-US" w:eastAsia="zh-CN" w:bidi="ar-SA"/>
    </w:rPr>
  </w:style>
  <w:style w:type="character" w:customStyle="1" w:styleId="18">
    <w:name w:val="页眉 Char"/>
    <w:basedOn w:val="14"/>
    <w:link w:val="10"/>
    <w:qFormat/>
    <w:uiPriority w:val="0"/>
    <w:rPr>
      <w:rFonts w:asciiTheme="minorHAnsi" w:hAnsiTheme="minorHAnsi" w:eastAsiaTheme="minorEastAsia" w:cstheme="minorBidi"/>
      <w:sz w:val="18"/>
      <w:szCs w:val="18"/>
      <w:lang w:val="en-US" w:eastAsia="zh-CN" w:bidi="ar-SA"/>
    </w:rPr>
  </w:style>
  <w:style w:type="character" w:customStyle="1" w:styleId="19">
    <w:name w:val="font11"/>
    <w:basedOn w:val="14"/>
    <w:qFormat/>
    <w:uiPriority w:val="0"/>
    <w:rPr>
      <w:rFonts w:hint="eastAsia" w:ascii="宋体" w:hAnsi="宋体" w:eastAsia="宋体" w:cs="宋体"/>
      <w:color w:val="000000"/>
      <w:sz w:val="20"/>
      <w:szCs w:val="20"/>
      <w:u w:val="none"/>
      <w:lang w:val="en-US" w:eastAsia="zh-CN" w:bidi="ar-SA"/>
    </w:rPr>
  </w:style>
  <w:style w:type="character" w:customStyle="1" w:styleId="20">
    <w:name w:val="font01"/>
    <w:basedOn w:val="14"/>
    <w:qFormat/>
    <w:uiPriority w:val="0"/>
    <w:rPr>
      <w:rFonts w:hint="eastAsia" w:ascii="宋体" w:hAnsi="宋体" w:eastAsia="宋体" w:cs="宋体"/>
      <w:color w:val="000000"/>
      <w:sz w:val="22"/>
      <w:szCs w:val="22"/>
      <w:u w:val="none"/>
      <w:lang w:val="en-US" w:eastAsia="zh-CN" w:bidi="ar-SA"/>
    </w:rPr>
  </w:style>
  <w:style w:type="character" w:customStyle="1" w:styleId="21">
    <w:name w:val="font41"/>
    <w:basedOn w:val="14"/>
    <w:qFormat/>
    <w:uiPriority w:val="0"/>
    <w:rPr>
      <w:rFonts w:hint="eastAsia" w:ascii="宋体" w:hAnsi="宋体" w:eastAsia="宋体" w:cs="宋体"/>
      <w:color w:val="000000"/>
      <w:sz w:val="24"/>
      <w:szCs w:val="24"/>
      <w:u w:val="none"/>
      <w:lang w:val="en-US" w:eastAsia="zh-CN" w:bidi="ar-SA"/>
    </w:rPr>
  </w:style>
  <w:style w:type="character" w:customStyle="1" w:styleId="22">
    <w:name w:val="font3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3">
    <w:name w:val="font91"/>
    <w:basedOn w:val="14"/>
    <w:qFormat/>
    <w:uiPriority w:val="0"/>
    <w:rPr>
      <w:rFonts w:hint="eastAsia" w:ascii="华文中宋" w:hAnsi="华文中宋" w:eastAsia="华文中宋" w:cs="华文中宋"/>
      <w:color w:val="000000"/>
      <w:sz w:val="32"/>
      <w:szCs w:val="32"/>
      <w:u w:val="none"/>
      <w:lang w:val="en-US" w:eastAsia="zh-CN" w:bidi="ar-SA"/>
    </w:rPr>
  </w:style>
  <w:style w:type="character" w:customStyle="1" w:styleId="24">
    <w:name w:val="font51"/>
    <w:basedOn w:val="14"/>
    <w:qFormat/>
    <w:uiPriority w:val="0"/>
    <w:rPr>
      <w:rFonts w:hint="eastAsia" w:ascii="宋体" w:hAnsi="宋体" w:eastAsia="宋体" w:cs="宋体"/>
      <w:color w:val="000000"/>
      <w:sz w:val="24"/>
      <w:szCs w:val="24"/>
      <w:u w:val="none"/>
      <w:lang w:val="en-US" w:eastAsia="zh-CN" w:bidi="ar-SA"/>
    </w:rPr>
  </w:style>
  <w:style w:type="character" w:customStyle="1" w:styleId="25">
    <w:name w:val="批注框文本 Char"/>
    <w:basedOn w:val="14"/>
    <w:link w:val="8"/>
    <w:semiHidden/>
    <w:qFormat/>
    <w:uiPriority w:val="99"/>
    <w:rPr>
      <w:rFonts w:asciiTheme="minorHAnsi" w:hAnsiTheme="minorHAnsi" w:eastAsiaTheme="minorEastAsia" w:cstheme="minorBidi"/>
      <w:sz w:val="18"/>
      <w:szCs w:val="18"/>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header" Target="header3.xml"/><Relationship Id="rId8" Type="http://schemas.openxmlformats.org/officeDocument/2006/relationships/footer" Target="footer4.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2" Type="http://schemas.openxmlformats.org/officeDocument/2006/relationships/fontTable" Target="fontTable.xml"/><Relationship Id="rId21" Type="http://schemas.openxmlformats.org/officeDocument/2006/relationships/numbering" Target="numbering.xml"/><Relationship Id="rId20" Type="http://schemas.openxmlformats.org/officeDocument/2006/relationships/customXml" Target="../customXml/item1.xml"/><Relationship Id="rId2" Type="http://schemas.openxmlformats.org/officeDocument/2006/relationships/settings" Target="settings.xml"/><Relationship Id="rId19" Type="http://schemas.openxmlformats.org/officeDocument/2006/relationships/image" Target="media/image2.emf"/><Relationship Id="rId18" Type="http://schemas.openxmlformats.org/officeDocument/2006/relationships/chart" Target="charts/chart6.xml"/><Relationship Id="rId17" Type="http://schemas.openxmlformats.org/officeDocument/2006/relationships/chart" Target="charts/chart5.xml"/><Relationship Id="rId16" Type="http://schemas.openxmlformats.org/officeDocument/2006/relationships/chart" Target="charts/chart4.xml"/><Relationship Id="rId15" Type="http://schemas.openxmlformats.org/officeDocument/2006/relationships/chart" Target="charts/chart3.xml"/><Relationship Id="rId14" Type="http://schemas.openxmlformats.org/officeDocument/2006/relationships/chart" Target="charts/chart2.xml"/><Relationship Id="rId13" Type="http://schemas.openxmlformats.org/officeDocument/2006/relationships/chart" Target="charts/chart1.xml"/><Relationship Id="rId12" Type="http://schemas.openxmlformats.org/officeDocument/2006/relationships/image" Target="media/image1.jpeg"/><Relationship Id="rId11" Type="http://schemas.openxmlformats.org/officeDocument/2006/relationships/theme" Target="theme/theme1.xml"/><Relationship Id="rId10" Type="http://schemas.openxmlformats.org/officeDocument/2006/relationships/footer" Target="footer5.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9" Type="http://schemas.openxmlformats.org/officeDocument/2006/relationships/font" Target="fonts/font9.odttf"/><Relationship Id="rId8" Type="http://schemas.openxmlformats.org/officeDocument/2006/relationships/font" Target="fonts/font8.odttf"/><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charts/_rels/chart1.xml.rels><?xml version="1.0" encoding="UTF-8" standalone="yes"?>
<Relationships xmlns="http://schemas.openxmlformats.org/package/2006/relationships"><Relationship Id="rId3" Type="http://schemas.microsoft.com/office/2011/relationships/chartColorStyle" Target="colors4.xml"/><Relationship Id="rId2" Type="http://schemas.microsoft.com/office/2011/relationships/chartStyle" Target="style4.xml"/><Relationship Id="rId1" Type="http://schemas.openxmlformats.org/officeDocument/2006/relationships/package" Target="../embeddings/Workbook4.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5.xml"/><Relationship Id="rId2" Type="http://schemas.microsoft.com/office/2011/relationships/chartStyle" Target="style5.xml"/><Relationship Id="rId1" Type="http://schemas.openxmlformats.org/officeDocument/2006/relationships/package" Target="../embeddings/Workbook5.xlsx"/></Relationships>
</file>

<file path=word/charts/_rels/chart4.xml.rels><?xml version="1.0" encoding="UTF-8" standalone="yes"?>
<Relationships xmlns="http://schemas.openxmlformats.org/package/2006/relationships"><Relationship Id="rId3" Type="http://schemas.microsoft.com/office/2011/relationships/chartColorStyle" Target="colors6.xml"/><Relationship Id="rId2" Type="http://schemas.microsoft.com/office/2011/relationships/chartStyle" Target="style6.xml"/><Relationship Id="rId1" Type="http://schemas.openxmlformats.org/officeDocument/2006/relationships/package" Target="../embeddings/Workbook6.xlsx"/></Relationships>
</file>

<file path=word/charts/_rels/chart5.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_rels/chart6.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1 </a:t>
            </a:r>
            <a:r>
              <a:rPr lang="zh-CN" altLang="en-US"/>
              <a:t>： </a:t>
            </a:r>
            <a:r>
              <a:rPr lang="en-US" altLang="zh-CN"/>
              <a:t>2023-2024</a:t>
            </a:r>
            <a:r>
              <a:rPr lang="zh-CN" altLang="en-US"/>
              <a:t>年收支总计对比图（万元）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收支总计</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Sheet1!$A$2:$A$3</c:f>
              <c:strCache>
                <c:ptCount val="2"/>
                <c:pt idx="0">
                  <c:v>2023年</c:v>
                </c:pt>
                <c:pt idx="1">
                  <c:v>2024年</c:v>
                </c:pt>
              </c:strCache>
            </c:strRef>
          </c:cat>
          <c:val>
            <c:numRef>
              <c:f>Sheet1!$B$2:$B$3</c:f>
              <c:numCache>
                <c:formatCode>General</c:formatCode>
                <c:ptCount val="2"/>
                <c:pt idx="0">
                  <c:v>2029.67</c:v>
                </c:pt>
                <c:pt idx="1">
                  <c:v>646.79</c:v>
                </c:pt>
              </c:numCache>
            </c:numRef>
          </c:val>
        </c:ser>
        <c:dLbls>
          <c:showLegendKey val="0"/>
          <c:showVal val="1"/>
          <c:showCatName val="0"/>
          <c:showSerName val="0"/>
          <c:showPercent val="0"/>
          <c:showBubbleSize val="0"/>
        </c:dLbls>
        <c:gapWidth val="246"/>
        <c:overlap val="-28"/>
        <c:axId val="817088452"/>
        <c:axId val="587069473"/>
      </c:barChart>
      <c:catAx>
        <c:axId val="817088452"/>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587069473"/>
        <c:crosses val="autoZero"/>
        <c:auto val="1"/>
        <c:lblAlgn val="ctr"/>
        <c:lblOffset val="100"/>
        <c:noMultiLvlLbl val="0"/>
      </c:catAx>
      <c:valAx>
        <c:axId val="587069473"/>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1708845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2 </a:t>
            </a:r>
            <a:r>
              <a:rPr lang="zh-CN" altLang="en-US"/>
              <a:t>：收入决算构成情况图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Lbls>
            <c:dLbl>
              <c:idx val="0"/>
              <c:layout>
                <c:manualLayout>
                  <c:x val="0.320125539403024"/>
                  <c:y val="0.72690713982147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08045516407558"/>
                  <c:y val="0.63914683382912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405411836540074"/>
                  <c:y val="0.171855078623054"/>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37059073523162"/>
                    </c:manualLayout>
                  </c15:layout>
                </c:ext>
              </c:extLst>
            </c:dLbl>
            <c:dLbl>
              <c:idx val="3"/>
              <c:layout>
                <c:manualLayout>
                  <c:x val="-0.286905148238858"/>
                  <c:y val="0.270250743731381"/>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709732256694"/>
                    </c:manualLayout>
                  </c15:layout>
                </c:ext>
              </c:extLst>
            </c:dLbl>
            <c:dLbl>
              <c:idx val="4"/>
              <c:layout>
                <c:manualLayout>
                  <c:x val="-0.298985360795255"/>
                  <c:y val="0.4491606459838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211403720706"/>
                      <c:h val="0.154908627284318"/>
                    </c:manualLayout>
                  </c15:layout>
                </c:ext>
              </c:extLst>
            </c:dLbl>
            <c:dLbl>
              <c:idx val="5"/>
              <c:layout>
                <c:manualLayout>
                  <c:x val="-0.288475575878384"/>
                  <c:y val="0.124165958351015"/>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manualLayout>
                      <c:w val="0.19545300797294"/>
                      <c:h val="0.110922226944326"/>
                    </c:manualLayout>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ctr"/>
            <c:showLegendKey val="1"/>
            <c:showVal val="0"/>
            <c:showCatName val="1"/>
            <c:showSerName val="0"/>
            <c:showPercent val="1"/>
            <c:showBubbleSize val="0"/>
            <c:separator> </c:separator>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Sheet1!$A$2:$A$7</c:f>
              <c:strCache>
                <c:ptCount val="6"/>
                <c:pt idx="0">
                  <c:v>财政拨款收入</c:v>
                </c:pt>
                <c:pt idx="1">
                  <c:v>上级补助收入</c:v>
                </c:pt>
                <c:pt idx="2">
                  <c:v>事业收入</c:v>
                </c:pt>
                <c:pt idx="3">
                  <c:v>经营收入</c:v>
                </c:pt>
                <c:pt idx="4">
                  <c:v>附属单位上缴收入</c:v>
                </c:pt>
                <c:pt idx="5">
                  <c:v>其他收入</c:v>
                </c:pt>
              </c:strCache>
            </c:strRef>
          </c:cat>
          <c:val>
            <c:numRef>
              <c:f>Sheet1!$B$2:$B$7</c:f>
              <c:numCache>
                <c:formatCode>General</c:formatCode>
                <c:ptCount val="6"/>
                <c:pt idx="0">
                  <c:v>6467910.46</c:v>
                </c:pt>
                <c:pt idx="1">
                  <c:v>0</c:v>
                </c:pt>
                <c:pt idx="2">
                  <c:v>0</c:v>
                </c:pt>
                <c:pt idx="3">
                  <c:v>0</c:v>
                </c:pt>
                <c:pt idx="4">
                  <c:v>0</c:v>
                </c:pt>
                <c:pt idx="5">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0" i="0" u="none" strike="noStrike" kern="1200" baseline="0">
                <a:solidFill>
                  <a:schemeClr val="tx1">
                    <a:lumMod val="75000"/>
                    <a:lumOff val="25000"/>
                  </a:schemeClr>
                </a:solidFill>
                <a:latin typeface="+mn-lt"/>
                <a:ea typeface="+mn-ea"/>
                <a:cs typeface="+mn-cs"/>
              </a:defRPr>
            </a:pPr>
            <a:r>
              <a:rPr lang="zh-CN" altLang="en-US" b="1"/>
              <a:t>图 </a:t>
            </a:r>
            <a:r>
              <a:rPr lang="en-US" altLang="zh-CN" b="1"/>
              <a:t>3 </a:t>
            </a:r>
            <a:r>
              <a:rPr lang="zh-CN" altLang="en-US" b="1"/>
              <a:t>：支出决算构成情况图</a:t>
            </a:r>
            <a:endParaRPr lang="zh-CN" altLang="en-US" b="1"/>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Lbls>
            <c:dLbl>
              <c:idx val="0"/>
              <c:layout>
                <c:manualLayout>
                  <c:x val="0.346218893452525"/>
                  <c:y val="0.71546961325966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1"/>
              <c:layout>
                <c:manualLayout>
                  <c:x val="0.357095916888137"/>
                  <c:y val="0.097938376540627"/>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2"/>
              <c:layout>
                <c:manualLayout>
                  <c:x val="-0.292703551582508"/>
                  <c:y val="0.266893327666808"/>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3"/>
              <c:layout>
                <c:manualLayout>
                  <c:x val="-0.315235684561946"/>
                  <c:y val="0.468316617084613"/>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dLbl>
              <c:idx val="4"/>
              <c:layout>
                <c:manualLayout>
                  <c:x val="-0.273558967655045"/>
                  <c:y val="0.718210369740799"/>
                </c:manualLayout>
              </c:layout>
              <c:dLblPos val="bestFit"/>
              <c:showLegendKey val="1"/>
              <c:showVal val="0"/>
              <c:showCatName val="1"/>
              <c:showSerName val="0"/>
              <c:showPercent val="1"/>
              <c:showBubbleSize val="0"/>
              <c:separator>
</c:separator>
              <c:extLst>
                <c:ext xmlns:c15="http://schemas.microsoft.com/office/drawing/2012/chart" uri="{CE6537A1-D6FC-4f65-9D91-7224C49458BB}">
                  <c15:layout/>
                </c:ext>
              </c:extLst>
            </c:dLbl>
            <c:numFmt formatCode="0.0%" sourceLinked="0"/>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bestFit"/>
            <c:showLegendKey val="1"/>
            <c:showVal val="0"/>
            <c:showCatName val="1"/>
            <c:showSerName val="0"/>
            <c:showPercent val="1"/>
            <c:showBubbleSize val="0"/>
            <c:showLeaderLines val="1"/>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Sheet1!$A$2:$A$6</c:f>
              <c:strCache>
                <c:ptCount val="5"/>
                <c:pt idx="0">
                  <c:v>基本支出</c:v>
                </c:pt>
                <c:pt idx="1">
                  <c:v>项目支出</c:v>
                </c:pt>
                <c:pt idx="2">
                  <c:v>上缴上级支出</c:v>
                </c:pt>
                <c:pt idx="3">
                  <c:v>经营支出</c:v>
                </c:pt>
                <c:pt idx="4">
                  <c:v>对附属单位补助支出</c:v>
                </c:pt>
              </c:strCache>
            </c:strRef>
          </c:cat>
          <c:val>
            <c:numRef>
              <c:f>Sheet1!$B$2:$B$6</c:f>
              <c:numCache>
                <c:formatCode>General</c:formatCode>
                <c:ptCount val="5"/>
                <c:pt idx="0">
                  <c:v>3903703</c:v>
                </c:pt>
                <c:pt idx="1">
                  <c:v>2564207.46</c:v>
                </c:pt>
                <c:pt idx="2">
                  <c:v>0</c:v>
                </c:pt>
                <c:pt idx="3">
                  <c:v>0</c:v>
                </c:pt>
                <c:pt idx="4">
                  <c:v>0</c:v>
                </c:pt>
              </c:numCache>
            </c:numRef>
          </c:val>
        </c:ser>
        <c:dLbls>
          <c:showLegendKey val="0"/>
          <c:showVal val="1"/>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4 </a:t>
            </a:r>
            <a:r>
              <a:rPr lang="zh-CN" altLang="en-US"/>
              <a:t>：</a:t>
            </a:r>
            <a:r>
              <a:rPr lang="en-US" altLang="zh-CN"/>
              <a:t>2023-2024</a:t>
            </a:r>
            <a:r>
              <a:rPr lang="zh-CN" altLang="en-US"/>
              <a:t>年财政拨款收支对比图（万元）</a:t>
            </a:r>
            <a:endParaRPr lang="zh-CN" altLang="en-US"/>
          </a:p>
        </c:rich>
      </c:tx>
      <c:layout/>
      <c:overlay val="0"/>
      <c:spPr>
        <a:noFill/>
        <a:ln>
          <a:noFill/>
        </a:ln>
        <a:effectLst/>
      </c:spPr>
    </c:title>
    <c:autoTitleDeleted val="0"/>
    <c:plotArea>
      <c:layout/>
      <c:barChart>
        <c:barDir val="col"/>
        <c:grouping val="clustered"/>
        <c:varyColors val="0"/>
        <c:ser>
          <c:idx val="0"/>
          <c:order val="0"/>
          <c:tx>
            <c:strRef>
              <c:f>Sheet1!$B$1</c:f>
              <c:strCache>
                <c:ptCount val="1"/>
                <c:pt idx="0">
                  <c:v>2023年</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2029.67</c:v>
                </c:pt>
                <c:pt idx="1">
                  <c:v>2029.67</c:v>
                </c:pt>
                <c:pt idx="2">
                  <c:v>2029.67</c:v>
                </c:pt>
                <c:pt idx="3">
                  <c:v>2029.67</c:v>
                </c:pt>
                <c:pt idx="4">
                  <c:v>0</c:v>
                </c:pt>
                <c:pt idx="5">
                  <c:v>0</c:v>
                </c:pt>
                <c:pt idx="6">
                  <c:v>0</c:v>
                </c:pt>
                <c:pt idx="7">
                  <c:v>0</c:v>
                </c:pt>
              </c:numCache>
            </c:numRef>
          </c:val>
        </c:ser>
        <c:ser>
          <c:idx val="1"/>
          <c:order val="1"/>
          <c:tx>
            <c:strRef>
              <c:f>Sheet1!$C$1</c:f>
              <c:strCache>
                <c:ptCount val="1"/>
                <c:pt idx="0">
                  <c:v>2024年</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646.79</c:v>
                </c:pt>
                <c:pt idx="1">
                  <c:v>646.79</c:v>
                </c:pt>
                <c:pt idx="2">
                  <c:v>646.79</c:v>
                </c:pt>
                <c:pt idx="3">
                  <c:v>646.79</c:v>
                </c:pt>
                <c:pt idx="4">
                  <c:v>0</c:v>
                </c:pt>
                <c:pt idx="5">
                  <c:v>0</c:v>
                </c:pt>
                <c:pt idx="6">
                  <c:v>0</c:v>
                </c:pt>
                <c:pt idx="7">
                  <c:v>0</c:v>
                </c:pt>
              </c:numCache>
            </c:numRef>
          </c:val>
        </c:ser>
        <c:dLbls>
          <c:showLegendKey val="0"/>
          <c:showVal val="1"/>
          <c:showCatName val="0"/>
          <c:showSerName val="0"/>
          <c:showPercent val="0"/>
          <c:showBubbleSize val="0"/>
        </c:dLbls>
        <c:gapWidth val="246"/>
        <c:overlap val="-28"/>
        <c:axId val="40225855"/>
        <c:axId val="660958640"/>
      </c:barChart>
      <c:catAx>
        <c:axId val="40225855"/>
        <c:scaling>
          <c:orientation val="minMax"/>
        </c:scaling>
        <c:delete val="0"/>
        <c:axPos val="b"/>
        <c:numFmt formatCode="General" sourceLinked="0"/>
        <c:majorTickMark val="out"/>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660958640"/>
        <c:crosses val="autoZero"/>
        <c:auto val="1"/>
        <c:lblAlgn val="ctr"/>
        <c:lblOffset val="100"/>
        <c:noMultiLvlLbl val="0"/>
      </c:catAx>
      <c:valAx>
        <c:axId val="660958640"/>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out"/>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40225855"/>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legend>
      <c:legendPos val="b"/>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defTabSz="914400">
              <a:defRPr lang="zh-CN" sz="1400" b="1" i="0" u="none" strike="noStrike" kern="1200" baseline="0">
                <a:solidFill>
                  <a:schemeClr val="tx1">
                    <a:lumMod val="75000"/>
                    <a:lumOff val="25000"/>
                  </a:schemeClr>
                </a:solidFill>
                <a:latin typeface="+mn-lt"/>
                <a:ea typeface="+mn-ea"/>
                <a:cs typeface="+mn-cs"/>
              </a:defRPr>
            </a:pPr>
            <a:r>
              <a:rPr lang="zh-CN" altLang="en-US"/>
              <a:t>图 </a:t>
            </a:r>
            <a:r>
              <a:rPr lang="en-US" altLang="zh-CN"/>
              <a:t>5 :</a:t>
            </a:r>
            <a:r>
              <a:rPr lang="zh-CN" altLang="en-US"/>
              <a:t>财政拨款收支预算对比图（万元）</a:t>
            </a:r>
            <a:endParaRPr lang="zh-CN" altLang="en-US"/>
          </a:p>
        </c:rich>
      </c:tx>
      <c:layout/>
      <c:overlay val="0"/>
      <c:spPr>
        <a:noFill/>
        <a:ln>
          <a:noFill/>
        </a:ln>
        <a:effectLst/>
      </c:spPr>
    </c:title>
    <c:autoTitleDeleted val="0"/>
    <c:plotArea>
      <c:layout>
        <c:manualLayout>
          <c:layoutTarget val="inner"/>
          <c:xMode val="edge"/>
          <c:yMode val="edge"/>
          <c:x val="0.17641942498188"/>
          <c:y val="0.160433489162771"/>
          <c:w val="0.795796086011114"/>
          <c:h val="0.474330641733957"/>
        </c:manualLayout>
      </c:layout>
      <c:barChart>
        <c:barDir val="col"/>
        <c:grouping val="clustered"/>
        <c:varyColors val="0"/>
        <c:ser>
          <c:idx val="0"/>
          <c:order val="0"/>
          <c:tx>
            <c:strRef>
              <c:f>Sheet1!$B$1</c:f>
              <c:strCache>
                <c:ptCount val="1"/>
                <c:pt idx="0">
                  <c:v>年初预算数</c:v>
                </c:pt>
              </c:strCache>
            </c:strRef>
          </c:tx>
          <c:spPr>
            <a:solidFill>
              <a:schemeClr val="accent1"/>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Sheet1!$B$2:$B$9</c:f>
              <c:numCache>
                <c:formatCode>General</c:formatCode>
                <c:ptCount val="8"/>
                <c:pt idx="0">
                  <c:v>1692.17</c:v>
                </c:pt>
                <c:pt idx="1">
                  <c:v>1692.17</c:v>
                </c:pt>
                <c:pt idx="2">
                  <c:v>1692.17</c:v>
                </c:pt>
                <c:pt idx="3">
                  <c:v>1692.17</c:v>
                </c:pt>
                <c:pt idx="4">
                  <c:v>0</c:v>
                </c:pt>
                <c:pt idx="5">
                  <c:v>0</c:v>
                </c:pt>
                <c:pt idx="6">
                  <c:v>0</c:v>
                </c:pt>
                <c:pt idx="7">
                  <c:v>0</c:v>
                </c:pt>
              </c:numCache>
            </c:numRef>
          </c:val>
        </c:ser>
        <c:ser>
          <c:idx val="1"/>
          <c:order val="1"/>
          <c:tx>
            <c:strRef>
              <c:f>Sheet1!$C$1</c:f>
              <c:strCache>
                <c:ptCount val="1"/>
                <c:pt idx="0">
                  <c:v>决算数</c:v>
                </c:pt>
              </c:strCache>
            </c:strRef>
          </c:tx>
          <c:spPr>
            <a:solidFill>
              <a:schemeClr val="accent2"/>
            </a:solidFill>
            <a:ln>
              <a:noFill/>
            </a:ln>
            <a:effectLst/>
          </c:spPr>
          <c:invertIfNegative val="0"/>
          <c:dLbls>
            <c:spPr>
              <a:noFill/>
              <a:ln>
                <a:noFill/>
              </a:ln>
              <a:effectLst/>
            </c:spPr>
            <c:txPr>
              <a:bodyPr rot="0" spcFirstLastPara="0" vertOverflow="ellipsis" vert="horz" wrap="square" lIns="38100" tIns="19050" rIns="38100" bIns="19050" anchor="ctr" anchorCtr="1"/>
              <a:lstStyle/>
              <a:p>
                <a:pPr>
                  <a:defRPr lang="zh-CN" sz="1000" b="0" i="0" u="none" strike="noStrike" kern="1200" baseline="0">
                    <a:solidFill>
                      <a:schemeClr val="tx1">
                        <a:lumMod val="75000"/>
                        <a:lumOff val="25000"/>
                      </a:schemeClr>
                    </a:solidFill>
                    <a:latin typeface="+mn-lt"/>
                    <a:ea typeface="+mn-ea"/>
                    <a:cs typeface="+mn-cs"/>
                  </a:defRPr>
                </a:pPr>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Sheet1!$A$2:$A$9</c:f>
              <c:strCache>
                <c:ptCount val="8"/>
                <c:pt idx="0">
                  <c:v>财政拨款收入</c:v>
                </c:pt>
                <c:pt idx="1">
                  <c:v>财政拨款支出</c:v>
                </c:pt>
                <c:pt idx="2">
                  <c:v>一般公共预算财政拨款收入</c:v>
                </c:pt>
                <c:pt idx="3">
                  <c:v>一般公共预算财政拨款支出</c:v>
                </c:pt>
                <c:pt idx="4">
                  <c:v>政府性基金财政拨款收入</c:v>
                </c:pt>
                <c:pt idx="5">
                  <c:v>政府性基金财政拨款支出</c:v>
                </c:pt>
                <c:pt idx="6">
                  <c:v>国有资本经营预算财政拨款收入</c:v>
                </c:pt>
                <c:pt idx="7">
                  <c:v>国有资本经营预算财政拨款支出</c:v>
                </c:pt>
              </c:strCache>
            </c:strRef>
          </c:cat>
          <c:val>
            <c:numRef>
              <c:f>Sheet1!$C$2:$C$9</c:f>
              <c:numCache>
                <c:formatCode>General</c:formatCode>
                <c:ptCount val="8"/>
                <c:pt idx="0">
                  <c:v>646.79</c:v>
                </c:pt>
                <c:pt idx="1">
                  <c:v>646.79</c:v>
                </c:pt>
                <c:pt idx="2">
                  <c:v>646.79</c:v>
                </c:pt>
                <c:pt idx="3">
                  <c:v>646.79</c:v>
                </c:pt>
                <c:pt idx="4">
                  <c:v>0</c:v>
                </c:pt>
                <c:pt idx="5">
                  <c:v>0</c:v>
                </c:pt>
                <c:pt idx="6">
                  <c:v>0</c:v>
                </c:pt>
                <c:pt idx="7">
                  <c:v>0</c:v>
                </c:pt>
              </c:numCache>
            </c:numRef>
          </c:val>
        </c:ser>
        <c:dLbls>
          <c:showLegendKey val="0"/>
          <c:showVal val="1"/>
          <c:showCatName val="0"/>
          <c:showSerName val="0"/>
          <c:showPercent val="0"/>
          <c:showBubbleSize val="0"/>
        </c:dLbls>
        <c:gapWidth val="150"/>
        <c:axId val="136214206"/>
        <c:axId val="897256872"/>
      </c:barChart>
      <c:catAx>
        <c:axId val="136214206"/>
        <c:scaling>
          <c:orientation val="minMax"/>
        </c:scaling>
        <c:delete val="0"/>
        <c:axPos val="b"/>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897256872"/>
        <c:crosses val="autoZero"/>
        <c:auto val="1"/>
        <c:lblAlgn val="ctr"/>
        <c:lblOffset val="100"/>
        <c:noMultiLvlLbl val="0"/>
      </c:catAx>
      <c:valAx>
        <c:axId val="897256872"/>
        <c:scaling>
          <c:orientation val="minMax"/>
        </c:scaling>
        <c:delete val="0"/>
        <c:axPos val="l"/>
        <c:majorGridlines>
          <c:spPr>
            <a:ln w="9525" cap="flat" cmpd="sng" algn="ctr">
              <a:solidFill>
                <a:schemeClr val="lt1">
                  <a:lumMod val="90200"/>
                </a:schemeClr>
              </a:solidFill>
              <a:round/>
            </a:ln>
            <a:effectLst/>
          </c:spPr>
        </c:majorGridlines>
        <c:numFmt formatCode="General" sourceLinked="1"/>
        <c:majorTickMark val="none"/>
        <c:minorTickMark val="none"/>
        <c:tickLblPos val="nextTo"/>
        <c:spPr>
          <a:noFill/>
          <a:ln>
            <a:noFill/>
          </a:ln>
          <a:effectLst/>
        </c:spPr>
        <c:txPr>
          <a:bodyPr rot="-6000000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crossAx val="13621420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0" vertOverflow="ellipsis" vert="horz" wrap="square" anchor="ctr" anchorCtr="1"/>
          <a:lstStyle/>
          <a:p>
            <a:pPr>
              <a:defRPr lang="zh-CN" sz="1400" b="1" i="0" u="none" strike="noStrike" kern="1200" baseline="0">
                <a:solidFill>
                  <a:schemeClr val="tx1">
                    <a:lumMod val="75000"/>
                    <a:lumOff val="25000"/>
                  </a:schemeClr>
                </a:solidFill>
                <a:latin typeface="+mn-lt"/>
                <a:ea typeface="+mn-ea"/>
                <a:cs typeface="+mn-cs"/>
              </a:defRPr>
            </a:pPr>
            <a:r>
              <a:rPr lang="zh-CN" altLang="en-US"/>
              <a:t>图</a:t>
            </a:r>
            <a:r>
              <a:rPr lang="en-US" altLang="zh-CN"/>
              <a:t>6  : </a:t>
            </a:r>
            <a:r>
              <a:rPr lang="zh-CN" altLang="en-US"/>
              <a:t>财政拨款支出决算构成情况图</a:t>
            </a:r>
            <a:endParaRPr lang="zh-CN" altLang="en-US"/>
          </a:p>
        </c:rich>
      </c:tx>
      <c:layout/>
      <c:overlay val="0"/>
      <c:spPr>
        <a:noFill/>
        <a:ln>
          <a:noFill/>
        </a:ln>
        <a:effectLst/>
      </c:spPr>
    </c:title>
    <c:autoTitleDeleted val="0"/>
    <c:plotArea>
      <c:layout/>
      <c:pieChart>
        <c:varyColors val="1"/>
        <c:ser>
          <c:idx val="0"/>
          <c:order val="0"/>
          <c:tx>
            <c:strRef>
              <c:f>Sheet1!$B$1</c:f>
              <c:strCache>
                <c:ptCount val="1"/>
                <c:pt idx="0">
                  <c:v>金额</c:v>
                </c:pt>
              </c:strCache>
            </c:strRef>
          </c:tx>
          <c:spPr/>
          <c:explosion val="0"/>
          <c:dPt>
            <c:idx val="0"/>
            <c:bubble3D val="0"/>
            <c:spPr>
              <a:solidFill>
                <a:schemeClr val="accent1"/>
              </a:solidFill>
              <a:ln>
                <a:solidFill>
                  <a:schemeClr val="bg1"/>
                </a:solidFill>
              </a:ln>
              <a:effectLst/>
            </c:spPr>
          </c:dPt>
          <c:dPt>
            <c:idx val="1"/>
            <c:bubble3D val="0"/>
            <c:spPr>
              <a:solidFill>
                <a:schemeClr val="accent2"/>
              </a:solidFill>
              <a:ln>
                <a:solidFill>
                  <a:schemeClr val="bg1"/>
                </a:solidFill>
              </a:ln>
              <a:effectLst/>
            </c:spPr>
          </c:dPt>
          <c:dPt>
            <c:idx val="2"/>
            <c:bubble3D val="0"/>
            <c:spPr>
              <a:solidFill>
                <a:schemeClr val="accent3"/>
              </a:solidFill>
              <a:ln>
                <a:solidFill>
                  <a:schemeClr val="bg1"/>
                </a:solidFill>
              </a:ln>
              <a:effectLst/>
            </c:spPr>
          </c:dPt>
          <c:dPt>
            <c:idx val="3"/>
            <c:bubble3D val="0"/>
            <c:spPr>
              <a:solidFill>
                <a:schemeClr val="accent4"/>
              </a:solidFill>
              <a:ln>
                <a:solidFill>
                  <a:schemeClr val="bg1"/>
                </a:solidFill>
              </a:ln>
              <a:effectLst/>
            </c:spPr>
          </c:dPt>
          <c:dPt>
            <c:idx val="4"/>
            <c:bubble3D val="0"/>
            <c:spPr>
              <a:solidFill>
                <a:schemeClr val="accent5"/>
              </a:solidFill>
              <a:ln>
                <a:solidFill>
                  <a:schemeClr val="bg1"/>
                </a:solidFill>
              </a:ln>
              <a:effectLst/>
            </c:spPr>
          </c:dPt>
          <c:dPt>
            <c:idx val="5"/>
            <c:bubble3D val="0"/>
            <c:spPr>
              <a:solidFill>
                <a:schemeClr val="accent6"/>
              </a:solidFill>
              <a:ln>
                <a:solidFill>
                  <a:schemeClr val="bg1"/>
                </a:solidFill>
              </a:ln>
              <a:effectLst/>
            </c:spPr>
          </c:dPt>
          <c:dPt>
            <c:idx val="6"/>
            <c:bubble3D val="0"/>
            <c:spPr>
              <a:solidFill>
                <a:schemeClr val="accent1">
                  <a:lumMod val="60000"/>
                </a:schemeClr>
              </a:solidFill>
              <a:ln>
                <a:solidFill>
                  <a:schemeClr val="bg1"/>
                </a:solidFill>
              </a:ln>
              <a:effectLst/>
            </c:spPr>
          </c:dPt>
          <c:dPt>
            <c:idx val="7"/>
            <c:bubble3D val="0"/>
            <c:spPr>
              <a:solidFill>
                <a:schemeClr val="accent2">
                  <a:lumMod val="60000"/>
                </a:schemeClr>
              </a:solidFill>
              <a:ln>
                <a:solidFill>
                  <a:schemeClr val="bg1"/>
                </a:solidFill>
              </a:ln>
              <a:effectLst/>
            </c:spPr>
          </c:dPt>
          <c:dPt>
            <c:idx val="8"/>
            <c:bubble3D val="0"/>
            <c:spPr>
              <a:solidFill>
                <a:schemeClr val="accent3">
                  <a:lumMod val="60000"/>
                </a:schemeClr>
              </a:solidFill>
              <a:ln>
                <a:solidFill>
                  <a:schemeClr val="bg1"/>
                </a:solidFill>
              </a:ln>
              <a:effectLst/>
            </c:spPr>
          </c:dPt>
          <c:dPt>
            <c:idx val="9"/>
            <c:bubble3D val="0"/>
            <c:spPr>
              <a:solidFill>
                <a:schemeClr val="accent4">
                  <a:lumMod val="60000"/>
                </a:schemeClr>
              </a:solidFill>
              <a:ln>
                <a:solidFill>
                  <a:schemeClr val="bg1"/>
                </a:solidFill>
              </a:ln>
              <a:effectLst/>
            </c:spPr>
          </c:dPt>
          <c:dPt>
            <c:idx val="10"/>
            <c:bubble3D val="0"/>
            <c:spPr>
              <a:solidFill>
                <a:schemeClr val="accent5">
                  <a:lumMod val="60000"/>
                </a:schemeClr>
              </a:solidFill>
              <a:ln>
                <a:solidFill>
                  <a:schemeClr val="bg1"/>
                </a:solidFill>
              </a:ln>
              <a:effectLst/>
            </c:spPr>
          </c:dPt>
          <c:dPt>
            <c:idx val="11"/>
            <c:bubble3D val="0"/>
            <c:spPr>
              <a:solidFill>
                <a:schemeClr val="accent6">
                  <a:lumMod val="60000"/>
                </a:schemeClr>
              </a:solidFill>
              <a:ln>
                <a:solidFill>
                  <a:schemeClr val="bg1"/>
                </a:solidFill>
              </a:ln>
              <a:effectLst/>
            </c:spPr>
          </c:dPt>
          <c:dPt>
            <c:idx val="12"/>
            <c:bubble3D val="0"/>
            <c:spPr>
              <a:solidFill>
                <a:schemeClr val="accent1">
                  <a:lumMod val="80000"/>
                  <a:lumOff val="20000"/>
                </a:schemeClr>
              </a:solidFill>
              <a:ln>
                <a:solidFill>
                  <a:schemeClr val="bg1"/>
                </a:solidFill>
              </a:ln>
              <a:effectLst/>
            </c:spPr>
          </c:dPt>
          <c:dPt>
            <c:idx val="13"/>
            <c:bubble3D val="0"/>
            <c:spPr>
              <a:solidFill>
                <a:schemeClr val="accent2">
                  <a:lumMod val="80000"/>
                  <a:lumOff val="20000"/>
                </a:schemeClr>
              </a:solidFill>
              <a:ln>
                <a:solidFill>
                  <a:schemeClr val="bg1"/>
                </a:solidFill>
              </a:ln>
              <a:effectLst/>
            </c:spPr>
          </c:dPt>
          <c:dPt>
            <c:idx val="14"/>
            <c:bubble3D val="0"/>
            <c:spPr>
              <a:solidFill>
                <a:schemeClr val="accent3">
                  <a:lumMod val="80000"/>
                  <a:lumOff val="20000"/>
                </a:schemeClr>
              </a:solidFill>
              <a:ln>
                <a:solidFill>
                  <a:schemeClr val="bg1"/>
                </a:solidFill>
              </a:ln>
              <a:effectLst/>
            </c:spPr>
          </c:dPt>
          <c:dPt>
            <c:idx val="15"/>
            <c:bubble3D val="0"/>
            <c:spPr>
              <a:solidFill>
                <a:schemeClr val="accent4">
                  <a:lumMod val="80000"/>
                  <a:lumOff val="20000"/>
                </a:schemeClr>
              </a:solidFill>
              <a:ln>
                <a:solidFill>
                  <a:schemeClr val="bg1"/>
                </a:solidFill>
              </a:ln>
              <a:effectLst/>
            </c:spPr>
          </c:dPt>
          <c:dPt>
            <c:idx val="16"/>
            <c:bubble3D val="0"/>
            <c:spPr>
              <a:solidFill>
                <a:schemeClr val="accent5">
                  <a:lumMod val="80000"/>
                  <a:lumOff val="20000"/>
                </a:schemeClr>
              </a:solidFill>
              <a:ln>
                <a:solidFill>
                  <a:schemeClr val="bg1"/>
                </a:solidFill>
              </a:ln>
              <a:effectLst/>
            </c:spPr>
          </c:dPt>
          <c:dPt>
            <c:idx val="17"/>
            <c:bubble3D val="0"/>
            <c:spPr>
              <a:solidFill>
                <a:schemeClr val="accent6">
                  <a:lumMod val="80000"/>
                  <a:lumOff val="20000"/>
                </a:schemeClr>
              </a:solidFill>
              <a:ln>
                <a:solidFill>
                  <a:schemeClr val="bg1"/>
                </a:solidFill>
              </a:ln>
              <a:effectLst/>
            </c:spPr>
          </c:dPt>
          <c:dPt>
            <c:idx val="18"/>
            <c:bubble3D val="0"/>
            <c:spPr>
              <a:solidFill>
                <a:schemeClr val="accent1">
                  <a:lumMod val="80000"/>
                </a:schemeClr>
              </a:solidFill>
              <a:ln>
                <a:solidFill>
                  <a:schemeClr val="bg1"/>
                </a:solidFill>
              </a:ln>
              <a:effectLst/>
            </c:spPr>
          </c:dPt>
          <c:dPt>
            <c:idx val="19"/>
            <c:bubble3D val="0"/>
            <c:spPr>
              <a:solidFill>
                <a:schemeClr val="accent2">
                  <a:lumMod val="80000"/>
                </a:schemeClr>
              </a:solidFill>
              <a:ln>
                <a:solidFill>
                  <a:schemeClr val="bg1"/>
                </a:solidFill>
              </a:ln>
              <a:effectLst/>
            </c:spPr>
          </c:dPt>
          <c:dPt>
            <c:idx val="20"/>
            <c:bubble3D val="0"/>
            <c:spPr>
              <a:solidFill>
                <a:schemeClr val="accent3">
                  <a:lumMod val="80000"/>
                </a:schemeClr>
              </a:solidFill>
              <a:ln>
                <a:solidFill>
                  <a:schemeClr val="bg1"/>
                </a:solidFill>
              </a:ln>
              <a:effectLst/>
            </c:spPr>
          </c:dPt>
          <c:dPt>
            <c:idx val="21"/>
            <c:bubble3D val="0"/>
            <c:spPr>
              <a:solidFill>
                <a:schemeClr val="accent4">
                  <a:lumMod val="80000"/>
                </a:schemeClr>
              </a:solidFill>
              <a:ln>
                <a:solidFill>
                  <a:schemeClr val="bg1"/>
                </a:solidFill>
              </a:ln>
              <a:effectLst/>
            </c:spPr>
          </c:dPt>
          <c:dPt>
            <c:idx val="22"/>
            <c:bubble3D val="0"/>
            <c:spPr>
              <a:solidFill>
                <a:schemeClr val="accent5">
                  <a:lumMod val="80000"/>
                </a:schemeClr>
              </a:solidFill>
              <a:ln>
                <a:solidFill>
                  <a:schemeClr val="bg1"/>
                </a:solidFill>
              </a:ln>
              <a:effectLst/>
            </c:spPr>
          </c:dPt>
          <c:dPt>
            <c:idx val="23"/>
            <c:bubble3D val="0"/>
            <c:spPr>
              <a:solidFill>
                <a:schemeClr val="accent6">
                  <a:lumMod val="80000"/>
                </a:schemeClr>
              </a:solidFill>
              <a:ln>
                <a:solidFill>
                  <a:schemeClr val="bg1"/>
                </a:solidFill>
              </a:ln>
              <a:effectLst/>
            </c:spPr>
          </c:dPt>
          <c:dPt>
            <c:idx val="24"/>
            <c:bubble3D val="0"/>
            <c:spPr>
              <a:solidFill>
                <a:schemeClr val="accent1">
                  <a:lumMod val="60000"/>
                  <a:lumOff val="40000"/>
                </a:schemeClr>
              </a:solidFill>
              <a:ln>
                <a:solidFill>
                  <a:schemeClr val="bg1"/>
                </a:solidFill>
              </a:ln>
              <a:effectLst/>
            </c:spPr>
          </c:dPt>
          <c:dPt>
            <c:idx val="25"/>
            <c:bubble3D val="0"/>
            <c:spPr>
              <a:solidFill>
                <a:schemeClr val="accent2">
                  <a:lumMod val="60000"/>
                  <a:lumOff val="40000"/>
                </a:schemeClr>
              </a:solidFill>
              <a:ln>
                <a:solidFill>
                  <a:schemeClr val="bg1"/>
                </a:solidFill>
              </a:ln>
              <a:effectLst/>
            </c:spPr>
          </c:dPt>
          <c:dLbls>
            <c:delete val="1"/>
          </c:dLbls>
          <c:cat>
            <c:strRef>
              <c:f>Sheet1!$A$2:$A$27</c:f>
              <c:strCache>
                <c:ptCount val="26"/>
                <c:pt idx="0">
                  <c:v>一般公共服务支出</c:v>
                </c:pt>
                <c:pt idx="1">
                  <c:v>外交支出</c:v>
                </c:pt>
                <c:pt idx="2">
                  <c:v>国防支出</c:v>
                </c:pt>
                <c:pt idx="3">
                  <c:v>公共安全支出</c:v>
                </c:pt>
                <c:pt idx="4">
                  <c:v>教育支出</c:v>
                </c:pt>
                <c:pt idx="5">
                  <c:v>科学技术支出</c:v>
                </c:pt>
                <c:pt idx="6">
                  <c:v>文化旅游体育与传媒支出</c:v>
                </c:pt>
                <c:pt idx="7">
                  <c:v>社会保障和就业支出</c:v>
                </c:pt>
                <c:pt idx="8">
                  <c:v>卫生健康支出</c:v>
                </c:pt>
                <c:pt idx="9">
                  <c:v>节能环保支出</c:v>
                </c:pt>
                <c:pt idx="10">
                  <c:v>城乡社区支出</c:v>
                </c:pt>
                <c:pt idx="11">
                  <c:v>农林水支出</c:v>
                </c:pt>
                <c:pt idx="12">
                  <c:v>交通运输支出</c:v>
                </c:pt>
                <c:pt idx="13">
                  <c:v>资源勘探工业信息等支出</c:v>
                </c:pt>
                <c:pt idx="14">
                  <c:v>商业服务业等支出</c:v>
                </c:pt>
                <c:pt idx="15">
                  <c:v>金融支出</c:v>
                </c:pt>
                <c:pt idx="16">
                  <c:v>援助其他地区支出</c:v>
                </c:pt>
                <c:pt idx="17">
                  <c:v>自然资源海洋气象等支出</c:v>
                </c:pt>
                <c:pt idx="18">
                  <c:v>住房保障支出</c:v>
                </c:pt>
                <c:pt idx="19">
                  <c:v>粮油物资储备支出</c:v>
                </c:pt>
                <c:pt idx="20">
                  <c:v>国有资本经营预算支出</c:v>
                </c:pt>
                <c:pt idx="21">
                  <c:v>灾害防治及应急管理支出</c:v>
                </c:pt>
                <c:pt idx="22">
                  <c:v>其他支出</c:v>
                </c:pt>
                <c:pt idx="23">
                  <c:v>债务还本支出</c:v>
                </c:pt>
                <c:pt idx="24">
                  <c:v>债务付息支出</c:v>
                </c:pt>
                <c:pt idx="25">
                  <c:v>抗疫特别国债安排的支出</c:v>
                </c:pt>
              </c:strCache>
            </c:strRef>
          </c:cat>
          <c:val>
            <c:numRef>
              <c:f>Sheet1!$B$2:$B$27</c:f>
              <c:numCache>
                <c:formatCode>General</c:formatCode>
                <c:ptCount val="26"/>
                <c:pt idx="0">
                  <c:v>471.92</c:v>
                </c:pt>
                <c:pt idx="1">
                  <c:v>0</c:v>
                </c:pt>
                <c:pt idx="2">
                  <c:v>0</c:v>
                </c:pt>
                <c:pt idx="3">
                  <c:v>0</c:v>
                </c:pt>
                <c:pt idx="4">
                  <c:v>0</c:v>
                </c:pt>
                <c:pt idx="5">
                  <c:v>90</c:v>
                </c:pt>
                <c:pt idx="6">
                  <c:v>0</c:v>
                </c:pt>
                <c:pt idx="7">
                  <c:v>31.41</c:v>
                </c:pt>
                <c:pt idx="8">
                  <c:v>22.93</c:v>
                </c:pt>
                <c:pt idx="9">
                  <c:v>0</c:v>
                </c:pt>
                <c:pt idx="10">
                  <c:v>0</c:v>
                </c:pt>
                <c:pt idx="11">
                  <c:v>0</c:v>
                </c:pt>
                <c:pt idx="12">
                  <c:v>0</c:v>
                </c:pt>
                <c:pt idx="13">
                  <c:v>0</c:v>
                </c:pt>
                <c:pt idx="14">
                  <c:v>1</c:v>
                </c:pt>
                <c:pt idx="15">
                  <c:v>0</c:v>
                </c:pt>
                <c:pt idx="16">
                  <c:v>0</c:v>
                </c:pt>
                <c:pt idx="17">
                  <c:v>0</c:v>
                </c:pt>
                <c:pt idx="18">
                  <c:v>29.52</c:v>
                </c:pt>
                <c:pt idx="19">
                  <c:v>0</c:v>
                </c:pt>
                <c:pt idx="20">
                  <c:v>0</c:v>
                </c:pt>
                <c:pt idx="21">
                  <c:v>0</c:v>
                </c:pt>
                <c:pt idx="22">
                  <c:v>0</c:v>
                </c:pt>
                <c:pt idx="23">
                  <c:v>0</c:v>
                </c:pt>
                <c:pt idx="24">
                  <c:v>0</c:v>
                </c:pt>
                <c:pt idx="25">
                  <c:v>0</c:v>
                </c:pt>
              </c:numCache>
            </c:numRef>
          </c:val>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0" vertOverflow="ellipsis" vert="horz" wrap="square" anchor="ctr" anchorCtr="1"/>
        <a:lstStyle/>
        <a:p>
          <a:pPr>
            <a:defRPr lang="zh-CN" sz="900" b="0" i="0" u="none" strike="noStrike" kern="1200" baseline="0">
              <a:solidFill>
                <a:schemeClr val="tx1">
                  <a:lumMod val="65000"/>
                  <a:lumOff val="35000"/>
                </a:schemeClr>
              </a:solidFill>
              <a:latin typeface="+mn-lt"/>
              <a:ea typeface="+mn-ea"/>
              <a:cs typeface="+mn-cs"/>
            </a:defRPr>
          </a:pPr>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1008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solidFill>
          <a:schemeClr val="bg1"/>
        </a:solidFill>
      </a:ln>
      <a:effectLst/>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100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10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1000" kern="1200"/>
    <cs:bodyPr rot="0" spcFirstLastPara="1" vertOverflow="clip" horzOverflow="clip" vert="horz" wrap="square" lIns="36576" tIns="18288" rIns="36576" bIns="18288" anchor="ctr" anchorCtr="1">
      <a:spAutoFit/>
    </cs:bodyPr>
  </cs:dataLabelCallout>
  <cs:dataPoint>
    <cs:lnRef idx="0">
      <cs:styleClr val="auto"/>
    </cs:lnRef>
    <cs:fillRef idx="1">
      <cs:styleClr val="auto"/>
    </cs:fillRef>
    <cs:effectRef idx="0"/>
    <cs:fontRef idx="minor">
      <a:schemeClr val="dk1"/>
    </cs:fontRef>
    <cs:spPr>
      <a:ln>
        <a:noFill/>
      </a:ln>
      <a:effectLst/>
    </cs:spPr>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lt1">
            <a:lumMod val="902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75000"/>
        <a:lumOff val="25000"/>
      </a:schemeClr>
    </cs:fontRef>
    <cs:defRPr sz="1400" b="1" kern="120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神州网信技术有限公司</Company>
  <Pages>25</Pages>
  <Words>611</Words>
  <Characters>2169</Characters>
  <Lines>86</Lines>
  <Paragraphs>24</Paragraphs>
  <TotalTime>31</TotalTime>
  <ScaleCrop>false</ScaleCrop>
  <LinksUpToDate>false</LinksUpToDate>
  <CharactersWithSpaces>2170</CharactersWithSpaces>
  <Application>WPS Office_11.8.2.12092_F1E327BC-269C-435d-A152-05C5408002CA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2023-08-04T07:55:00Z</dcterms:created>
  <dc:creator>王明新TIAD</dc:creator>
  <cp:lastModifiedBy>微小</cp:lastModifiedBy>
  <cp:lastPrinted>2023-08-04T01:00:00Z</cp:lastPrinted>
  <dcterms:modified xsi:type="dcterms:W3CDTF">2025-09-29T03:44:35Z</dcterms:modified>
  <cp:revision>15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2052-11.8.2.12092</vt:lpwstr>
  </property>
  <property fmtid="{D5CDD505-2E9C-101B-9397-08002B2CF9AE}" pid="3" name="ICV">
    <vt:lpwstr>10F445BBF4674DBBB307DD148AC5754E</vt:lpwstr>
  </property>
  <property fmtid="{D5CDD505-2E9C-101B-9397-08002B2CF9AE}" pid="4" name="KSOTemplateUUID">
    <vt:lpwstr>v1.0_mb_S7ajbG3IpAnL1wSthNCxfw==</vt:lpwstr>
  </property>
  <property fmtid="{D5CDD505-2E9C-101B-9397-08002B2CF9AE}" pid="5" name="KSOTemplateDocerSaveRecord">
    <vt:lpwstr>eyJoZGlkIjoiYjA3YzVjY2RhYzM1OWI4MmYzZjdlYWUzZWM2YTQyNTYiLCJ1c2VySWQiOiIxNTIwMzY1OTkzIn0=</vt:lpwstr>
  </property>
</Properties>
</file>