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321001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：石家庄市鹿泉区投资促进局(本级)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石家庄市鹿泉区投资促进局(本级)</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val="en-US" w:eastAsia="zh-CN"/>
        </w:rPr>
        <w:t>单位</w:t>
      </w:r>
      <w:r>
        <w:rPr>
          <w:rFonts w:ascii="Times New Roman" w:eastAsia="方正小标宋_GBK"/>
          <w:b w:val="0"/>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石家庄市鹿泉区投资促进局(本级)</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1．主要职能。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决算汇编范围的独立核算单位（以下简称“单位”）共1个，具体情况如下：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石家庄市鹿泉区投资促进局(本级)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bookmarkStart w:id="0" w:name="_GoBack"/>
      <w:bookmarkEnd w:id="0"/>
      <w:r>
        <w:rPr>
          <w:rFonts w:ascii="Times New Roman" w:eastAsia="黑体"/>
          <w:b w:val="0"/>
          <w:sz w:val="44"/>
          <w:szCs w:val="44"/>
        </w:rPr>
        <w:t>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部门（单位）：石家庄市鹿泉区投资促进局(本级)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471.92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部门（单位）：石家庄市鹿泉区投资促进局(本级)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646.79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646.79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商贸事务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招商引资</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技术研究与开发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科技成果转化与扩散</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商业服务业等支出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商业流通事务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2160217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市场监测及信息管理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部门（单位）：石家庄市鹿泉区投资促进局(本级)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390.37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471.92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商贸事务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471.92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招商引资</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商业服务业等支出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商业流通事务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2160217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市场监测及信息管理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部门（单位）：石家庄市鹿泉区投资促进局(本级)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471.92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471.92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646.79</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10"/>
        <w:gridCol w:w="3262"/>
        <w:gridCol w:w="1044"/>
        <w:gridCol w:w="503"/>
        <w:gridCol w:w="526"/>
        <w:gridCol w:w="363"/>
        <w:gridCol w:w="11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编制部门（单位）：石家庄市鹿泉区投资促进局(本级)</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390.37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471.92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商贸事务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471.92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招商引资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商业服务业等支出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商业流通事务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2160217</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市场监测及信息管理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部门（单位）：石家庄市鹿泉区投资促进局(本级)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327.70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61.96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76.11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11.89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29.16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92.84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31.41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22.93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35.68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327.70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部门（单位）：石家庄市鹿泉区投资促进局(本级)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部门（单位）：石家庄市鹿泉区投资促进局(本级)</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部门（单位）：石家庄市鹿泉区投资促进局(本级)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单位决算</w:t>
      </w:r>
      <w:r>
        <w:rPr>
          <w:rFonts w:ascii="Times New Roman" w:eastAsia="黑体"/>
          <w:b w:val="0"/>
          <w:sz w:val="44"/>
          <w:szCs w:val="44"/>
        </w:rPr>
        <w:t>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本单位2024年度收、支总计（含结转和结余）均为646.79万元。与2023年度决算相比，收支各减少1,382.88万元，下降68.1%，主要原因是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646.79万元，其中：财政拨款收入646.79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本单位2024年度本年支出合计646.79万元，其中：基本支出390.37万元，占60.4%；项目支出256.42万元，占39.6%；上缴上级支出0.00万元，占0.0%；经营支出0.00万元，占0.0%；对附属单位补助支出0.00万元，占0.0%。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本单位2024年度财政拨款收、支总计（含结转和结余）均为646.79万元。与2023年度相比，财政拨款收支各减少1,382.88万元，降低68.1%，主要原因是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本单位2024年度财政拨款本年收入646.79万元,比上年减少1,382.88万元，降低68.1%，主要原因是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；本年支出646.79万元，比上年减少1,382.88万元，降低68.1%，主要原因是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一般公共预算财政拨款本年收入646.79万元,比上年减少1,382.88万元，降低68.1%，主要原因是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；本年支出646.79万元，比上年减少1,382.88万元，降低68.1%，主要原因是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政府性基金预算财政拨款本年收入0.00万元，比上年增加0.00万元，增长0.00%；本年支出0.00万元，比上年增加0.00万元，增长0.00%。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国有资本经营预算财政拨款本年收入0.00万元，比上年增加0.00万元，增长0.00%；本年支出0.00万元，比上年增加0.00万元，增长0.00%。</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本单位2024年度财政拨款本年收入646.79万元，完成年初预算的38.2%，比年初预算减少1,045.38万元，决算数小于预算数主要原因是</w:t>
      </w:r>
      <w:r>
        <w:rPr>
          <w:rFonts w:hint="eastAsia" w:ascii="Times New Roman" w:eastAsia="仿宋_GB2312"/>
          <w:b w:val="0"/>
          <w:sz w:val="32"/>
          <w:szCs w:val="32"/>
          <w:lang w:val="en-US" w:eastAsia="zh-CN"/>
        </w:rPr>
        <w:t>招商引资项目收入减少</w:t>
      </w:r>
      <w:r>
        <w:rPr>
          <w:rFonts w:ascii="Times New Roman" w:eastAsia="仿宋_GB2312"/>
          <w:b w:val="0"/>
          <w:sz w:val="32"/>
          <w:szCs w:val="32"/>
        </w:rPr>
        <w:t> ；本年支出646.79万元，完成年初预算的38.2%，比年初预算减少1,045.38万元，决算数小于预算数主要原因是</w:t>
      </w:r>
      <w:r>
        <w:rPr>
          <w:rFonts w:hint="eastAsia" w:ascii="Times New Roman" w:eastAsia="仿宋_GB2312"/>
          <w:b w:val="0"/>
          <w:sz w:val="32"/>
          <w:szCs w:val="32"/>
          <w:lang w:val="en-US" w:eastAsia="zh-CN"/>
        </w:rPr>
        <w:t>招商引资项目收入减少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一般公共预算财政拨款本年收入完成年初预算的38.2%，比年初预算减少1,045.38万元，主要原因是</w:t>
      </w:r>
      <w:r>
        <w:rPr>
          <w:rFonts w:hint="eastAsia" w:ascii="Times New Roman" w:eastAsia="仿宋_GB2312"/>
          <w:b w:val="0"/>
          <w:sz w:val="32"/>
          <w:szCs w:val="32"/>
          <w:lang w:val="en-US" w:eastAsia="zh-CN"/>
        </w:rPr>
        <w:t>招商引资项目收入减少</w:t>
      </w:r>
      <w:r>
        <w:rPr>
          <w:rFonts w:ascii="Times New Roman" w:eastAsia="仿宋_GB2312"/>
          <w:b w:val="0"/>
          <w:sz w:val="32"/>
          <w:szCs w:val="32"/>
        </w:rPr>
        <w:t>；支出完成年初预算的38.2%，比年初预算减少1,045.38万元，主要原因是</w:t>
      </w:r>
      <w:r>
        <w:rPr>
          <w:rFonts w:hint="eastAsia" w:ascii="Times New Roman" w:eastAsia="仿宋_GB2312"/>
          <w:b w:val="0"/>
          <w:sz w:val="32"/>
          <w:szCs w:val="32"/>
          <w:lang w:val="en-US" w:eastAsia="zh-CN"/>
        </w:rPr>
        <w:t>项目支出减少，招商引资支出减少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政府性基金预算财政拨款本年收入完成年初预算的0.0%，比年初预算增加0.00万元；支出完成年初预算的0.0%，比年初预算增加0.00万元。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国有资本经营预算财政拨款本年收入完成年初预算的0.0 %，比年初预算增加0.00万元；支出完成年初预算的0.0%，比年初预算增加0.00万元。</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2024年度财政拨款支出646.79万元，主要用于以下方面：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一般公共服务（类）支出​471.92万元，占​73.0​%，主要用于</w:t>
      </w:r>
      <w:r>
        <w:rPr>
          <w:rFonts w:hint="eastAsia" w:ascii="Times New Roman" w:eastAsia="仿宋_GB2312"/>
          <w:b w:val="0"/>
          <w:sz w:val="32"/>
          <w:szCs w:val="32"/>
          <w:lang w:val="en-US" w:eastAsia="zh-CN"/>
        </w:rPr>
        <w:t>工资福利</w:t>
      </w:r>
      <w:r>
        <w:rPr>
          <w:rFonts w:ascii="Times New Roman" w:eastAsia="仿宋_GB2312"/>
          <w:b w:val="0"/>
          <w:sz w:val="32"/>
          <w:szCs w:val="32"/>
        </w:rPr>
        <w:t>等支出；外交（类）支出0.00万元，占0.0%，；国防（类）支出​0.00万元，占0.0%，；公共安全类（类）支出0.00万元，占0.0%，；教育（类）支出0.00万元，占0.0%，；科学技术（类）支出90.00万元，占13.9%</w:t>
      </w:r>
      <w:r>
        <w:rPr>
          <w:rFonts w:hint="eastAsia" w:ascii="Times New Roman" w:eastAsia="仿宋_GB2312"/>
          <w:b w:val="0"/>
          <w:sz w:val="32"/>
          <w:szCs w:val="32"/>
          <w:lang w:eastAsia="zh-CN"/>
        </w:rPr>
        <w:t>，</w:t>
      </w:r>
      <w:r>
        <w:rPr>
          <w:rFonts w:ascii="Times New Roman" w:eastAsia="仿宋_GB2312"/>
          <w:b w:val="0"/>
          <w:sz w:val="32"/>
          <w:szCs w:val="32"/>
        </w:rPr>
        <w:t>；文化旅游体育与传媒（类）支出0.00万元，占0.0%；社会保障和就业 （类）支出31.41​​​万元，占4.9%；卫生健康（类）支出22.93万元，占3.5%；节能环保（类）支出0.00万元，占0.0%；城乡社区（类）支出0.00万元，占0.0%；农林水（类）支出0.00​万元，占0.0%；交通运输（类）支出0.00万元，占0.0%；资源勘探信息等（类）支出0.00万元，占0.0%；商业服务业等（类）支出1.00​万元，占0.2%；金融（类）支出0.00万元，占0.0%；援助其他地区（类）支出0.00万元，占0.0%；自然资源海洋气象等（类）支出0.00万元，占0.0%；住房保障（类）支出29.52万元，占4.6%；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类）支出0.00万元，占0.0%；教育（类）支出0.00万元，占0.0%；科学技术（类）支出0.00万元，占0.0%；文化旅游体育与传媒（类）支出0.00万元，占0.0%；社会保障和就业 （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2024年度财政拨款基本支出390.37万元，其中：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327.70万元，主要包括基本工资、津贴补贴、奖金、绩效工资、机关事业部门基本养老保险缴费、职业年金缴费、职工基本医疗保险缴费、公务员医疗补助缴费、住房公积金、医疗费、其他社会保障缴费、其他工资福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公用经费62.67万元，主要包括办公费、手续费、水费、电费、、劳务费、工会经费、福利费、其他商品和服务支出。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本单位2024年度“三公”经费财政拨款支出预算为0.00万元，支出决算为0.00万元，完成预算的0.0%，较预算增加0.00万元，增长0.0%；较2023年度决算减少3.59万元，降低100.0%，主要原因是</w:t>
      </w:r>
      <w:r>
        <w:rPr>
          <w:rFonts w:hint="eastAsia" w:ascii="Times New Roman" w:eastAsia="仿宋_GB2312"/>
          <w:b w:val="0"/>
          <w:sz w:val="32"/>
          <w:szCs w:val="32"/>
          <w:lang w:val="en-US" w:eastAsia="zh-CN"/>
        </w:rPr>
        <w:t>本年度没有三公经费支出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本单位2024年度因公出国（境）费支出预算为0.00万元,支出决算0.00万元。完成预算的0.0%。因公出国（境）费支出较预算增加0.00万元，增长0.0%；较上年减少3.59万元，降低100.0%,主要原因是</w:t>
      </w:r>
      <w:r>
        <w:rPr>
          <w:rFonts w:hint="eastAsia" w:ascii="Times New Roman" w:eastAsia="仿宋_GB2312"/>
          <w:b w:val="0"/>
          <w:sz w:val="32"/>
          <w:szCs w:val="32"/>
          <w:lang w:val="en-US" w:eastAsia="zh-CN"/>
        </w:rPr>
        <w:t>2024年度没有因公出国，无此项费用</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本单位2024年度公务用车购置及运行维护费预算为0.00万元，支出决算0.00万元，完成预算的0.0%,较预算增加0.00万元，增长0.0%；较上年增加0.00万元，增长0.00%。其中：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本单位2024年度公务接待费支出预算为0.00万元，支出决算0.00万元，完成预算的0.0%。公务接待费支出较预算增加0.00万元，增长0.0%；较上年度增加0.00万元，增长0.00%。本年度共发生公务接待0批次、0人次。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本单位2024年度机关运行经费支出62.67万元，较2023年度减少10.42万元，降低14.3%。主要原因是。</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0.50万元，从采购类型来看，政府采购货物支出0.50万元、政府采购工程支出0.00万元、政府采购服务支出0.00万元。授予中小企业合同金额0.50万元，占政府采购支出总额的100.0%，其中授予小微企业合同金额0.50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仿宋_GB2312" w:hAnsi="仿宋_GB2312" w:eastAsia="仿宋_GB2312" w:cs="仿宋_GB2312"/>
          <w:sz w:val="32"/>
          <w:szCs w:val="32"/>
          <w:lang w:val="en-US" w:eastAsia="zh-CN"/>
        </w:rPr>
        <w:t>256.420746</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8</w:t>
      </w:r>
      <w:r>
        <w:rPr>
          <w:rFonts w:ascii="Times New Roman" w:eastAsia="仿宋_GB2312"/>
          <w:b w:val="0"/>
          <w:sz w:val="32"/>
          <w:szCs w:val="32"/>
        </w:rPr>
        <w:t>个，涉及资金</w:t>
      </w:r>
      <w:r>
        <w:rPr>
          <w:rFonts w:hint="eastAsia" w:ascii="仿宋_GB2312" w:hAnsi="仿宋_GB2312" w:eastAsia="仿宋_GB2312" w:cs="仿宋_GB2312"/>
          <w:sz w:val="32"/>
          <w:szCs w:val="32"/>
          <w:lang w:val="en-US" w:eastAsia="zh-CN"/>
        </w:rPr>
        <w:t>256.420746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组织对</w:t>
      </w:r>
      <w:r>
        <w:rPr>
          <w:rFonts w:hint="eastAsia" w:ascii="Times New Roman" w:eastAsia="仿宋_GB2312"/>
          <w:b w:val="0"/>
          <w:sz w:val="32"/>
          <w:szCs w:val="32"/>
          <w:lang w:val="en-US" w:eastAsia="zh-CN"/>
        </w:rPr>
        <w:t>办公场所租赁1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30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万元，从评价情况来看，该项目的实施 形成了较好的成果，保障了我</w:t>
      </w:r>
      <w:r>
        <w:rPr>
          <w:rFonts w:hint="eastAsia" w:ascii="Times New Roman" w:eastAsia="仿宋_GB2312"/>
          <w:b w:val="0"/>
          <w:sz w:val="32"/>
          <w:szCs w:val="32"/>
          <w:lang w:val="en-US" w:eastAsia="zh-CN"/>
        </w:rPr>
        <w:t>局</w:t>
      </w:r>
      <w:r>
        <w:rPr>
          <w:rFonts w:ascii="Times New Roman" w:eastAsia="仿宋_GB2312"/>
          <w:b w:val="0"/>
          <w:sz w:val="32"/>
          <w:szCs w:val="32"/>
        </w:rPr>
        <w:t>正常工作运转。基本完成了年初设定的各项绩效目标，未发现问题。</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单位决算</w:t>
      </w:r>
      <w:r>
        <w:rPr>
          <w:rFonts w:ascii="Times New Roman" w:eastAsia="仿宋_GB2312"/>
          <w:b/>
          <w:sz w:val="32"/>
          <w:szCs w:val="32"/>
        </w:rPr>
        <w:t>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w:t>
      </w:r>
      <w:r>
        <w:rPr>
          <w:rFonts w:hint="eastAsia" w:ascii="Times New Roman" w:eastAsia="仿宋_GB2312"/>
          <w:b w:val="0"/>
          <w:sz w:val="32"/>
          <w:szCs w:val="32"/>
          <w:lang w:eastAsia="zh-CN"/>
        </w:rPr>
        <w:t>单位决算</w:t>
      </w:r>
      <w:r>
        <w:rPr>
          <w:rFonts w:ascii="Times New Roman" w:eastAsia="仿宋_GB2312"/>
          <w:b w:val="0"/>
          <w:sz w:val="32"/>
          <w:szCs w:val="32"/>
        </w:rPr>
        <w:t>公开中反映等个项目绩效自评结果。</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eastAsia="仿宋_GB2312"/>
          <w:b w:val="0"/>
          <w:sz w:val="32"/>
          <w:szCs w:val="32"/>
          <w:lang w:val="en-US" w:eastAsia="zh-CN"/>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8</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sz w:val="32"/>
          <w:szCs w:val="32"/>
          <w:lang w:val="en-US" w:eastAsia="zh-CN"/>
        </w:rPr>
        <w:t>256.420746</w:t>
      </w:r>
      <w:r>
        <w:rPr>
          <w:rFonts w:ascii="Times New Roman" w:eastAsia="仿宋_GB2312"/>
          <w:b w:val="0"/>
          <w:sz w:val="32"/>
          <w:szCs w:val="32"/>
        </w:rPr>
        <w:t>万元，执行数为</w:t>
      </w:r>
      <w:r>
        <w:rPr>
          <w:rFonts w:hint="eastAsia" w:ascii="仿宋_GB2312" w:hAnsi="仿宋_GB2312" w:eastAsia="仿宋_GB2312" w:cs="仿宋_GB2312"/>
          <w:sz w:val="32"/>
          <w:szCs w:val="32"/>
          <w:lang w:val="en-US" w:eastAsia="zh-CN"/>
        </w:rPr>
        <w:t>256.420746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宋体" w:hAnsi="宋体" w:eastAsia="仿宋_GB2312"/>
          <w:sz w:val="32"/>
          <w:lang w:val="en-US" w:eastAsia="zh-CN"/>
        </w:rPr>
        <w:t>在2024年，鹿泉区投资促进局</w:t>
      </w:r>
      <w:r>
        <w:rPr>
          <w:rFonts w:hint="eastAsia" w:ascii="宋体" w:hAnsi="宋体" w:eastAsia="仿宋_GB2312"/>
          <w:sz w:val="32"/>
          <w:lang w:eastAsia="zh-CN"/>
        </w:rPr>
        <w:t>持续加大京津冀、长三角、大湾区招商力度。将基金建设和招引项目作为工作重点，围绕单一产业和领域设立专项基金，提供优惠让利政策，吸进资本和项目落地，重点支持成果转化和高端科技产业化项目培育。充分发挥智算中心的带动作用，大力招引机器人、人工智能等相关产业落地，率先布局新产业基础。</w:t>
      </w:r>
      <w:r>
        <w:rPr>
          <w:rFonts w:hint="eastAsia" w:ascii="宋体" w:hAnsi="宋体" w:eastAsia="仿宋_GB2312"/>
          <w:sz w:val="32"/>
          <w:lang w:val="en-US" w:eastAsia="zh-CN"/>
        </w:rPr>
        <w:t>共涉及项目资金共计</w:t>
      </w:r>
      <w:r>
        <w:rPr>
          <w:rFonts w:hint="eastAsia" w:ascii="仿宋_GB2312" w:hAnsi="仿宋_GB2312" w:eastAsia="仿宋_GB2312" w:cs="仿宋_GB2312"/>
          <w:sz w:val="32"/>
          <w:szCs w:val="32"/>
          <w:lang w:val="en-US" w:eastAsia="zh-CN"/>
        </w:rPr>
        <w:t>256.420746</w:t>
      </w:r>
      <w:r>
        <w:rPr>
          <w:rFonts w:hint="eastAsia" w:ascii="仿宋_GB2312" w:hAnsi="仿宋_GB2312" w:eastAsia="仿宋_GB2312" w:cs="仿宋_GB2312"/>
          <w:sz w:val="32"/>
          <w:szCs w:val="32"/>
          <w:lang w:eastAsia="zh-CN"/>
        </w:rPr>
        <w:t>万元。总体</w:t>
      </w:r>
      <w:r>
        <w:rPr>
          <w:rFonts w:hint="eastAsia" w:ascii="仿宋_GB2312" w:hAnsi="仿宋_GB2312" w:eastAsia="仿宋_GB2312" w:cs="仿宋_GB2312"/>
          <w:sz w:val="32"/>
          <w:szCs w:val="32"/>
          <w:lang w:val="en-US" w:eastAsia="zh-CN"/>
        </w:rPr>
        <w:t>来看，各</w:t>
      </w:r>
      <w:r>
        <w:rPr>
          <w:rFonts w:hint="eastAsia" w:ascii="仿宋_GB2312" w:hAnsi="仿宋_GB2312" w:eastAsia="仿宋_GB2312" w:cs="仿宋_GB2312"/>
          <w:sz w:val="32"/>
          <w:szCs w:val="32"/>
          <w:lang w:eastAsia="zh-CN"/>
        </w:rPr>
        <w:t>项目的实施形成了较好的成果</w:t>
      </w:r>
      <w:r>
        <w:rPr>
          <w:rFonts w:ascii="Times New Roman" w:eastAsia="仿宋_GB2312"/>
          <w:b w:val="0"/>
          <w:sz w:val="32"/>
          <w:szCs w:val="32"/>
        </w:rPr>
        <w:t>。</w:t>
      </w:r>
      <w:r>
        <w:rPr>
          <w:rFonts w:hint="eastAsia" w:ascii="Times New Roman" w:eastAsia="仿宋_GB2312"/>
          <w:b w:val="0"/>
          <w:sz w:val="32"/>
          <w:szCs w:val="32"/>
          <w:lang w:val="en-US" w:eastAsia="zh-CN"/>
        </w:rPr>
        <w:t xml:space="preserve">                    </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b w:val="0"/>
          <w:kern w:val="2"/>
          <w:sz w:val="32"/>
          <w:szCs w:val="32"/>
          <w:highlight w:val="none"/>
          <w:lang w:val="en-US" w:eastAsia="zh-CN" w:bidi="ar-SA"/>
        </w:rPr>
      </w:pPr>
      <w:r>
        <w:rPr>
          <w:rFonts w:hint="eastAsia" w:ascii="Times New Roman" w:eastAsia="仿宋_GB2312"/>
          <w:b w:val="0"/>
          <w:sz w:val="32"/>
          <w:szCs w:val="32"/>
          <w:lang w:val="en-US" w:eastAsia="zh-CN"/>
        </w:rPr>
        <w:t>发</w:t>
      </w:r>
      <w:r>
        <w:rPr>
          <w:rFonts w:ascii="Times New Roman" w:eastAsia="仿宋_GB2312"/>
          <w:b w:val="0"/>
          <w:sz w:val="32"/>
          <w:szCs w:val="32"/>
        </w:rPr>
        <w:t>现的主要问题及原因是：</w:t>
      </w:r>
      <w:r>
        <w:rPr>
          <w:rFonts w:hint="eastAsia" w:ascii="仿宋" w:hAnsi="仿宋" w:eastAsia="仿宋" w:cs="仿宋"/>
          <w:b w:val="0"/>
          <w:kern w:val="2"/>
          <w:sz w:val="32"/>
          <w:szCs w:val="32"/>
          <w:highlight w:val="none"/>
          <w:lang w:val="en-US" w:eastAsia="zh-CN" w:bidi="ar-SA"/>
        </w:rPr>
        <w:t>通过绩效自评结果对比发现，个别项目绩效目标设定存在一定不足，绩效目标表述不够清晰准确，在实际执行过程中容易产生理解偏差；绩效指标设置不够全面完整，部分指标未能充分反映项目实际成效。</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b w:val="0"/>
          <w:kern w:val="2"/>
          <w:sz w:val="32"/>
          <w:szCs w:val="32"/>
          <w:highlight w:val="none"/>
          <w:lang w:val="en-US" w:eastAsia="zh-CN" w:bidi="ar-SA"/>
        </w:rPr>
      </w:pPr>
      <w:r>
        <w:rPr>
          <w:rFonts w:hint="eastAsia" w:ascii="仿宋" w:hAnsi="仿宋" w:eastAsia="仿宋" w:cs="仿宋"/>
          <w:b w:val="0"/>
          <w:kern w:val="2"/>
          <w:sz w:val="32"/>
          <w:szCs w:val="32"/>
          <w:highlight w:val="none"/>
          <w:lang w:val="en-US" w:eastAsia="zh-CN" w:bidi="ar-SA"/>
        </w:rPr>
        <w:t>产生这些问题的主要原因在于，一是对绩效目标设定的重要性认识不足，前期调研和论证不够充分；二是缺乏科学合理的绩效目标设定方法和经验，在指标选取和标准制定上存在随意性；三是与业务股室沟通协调不足，未能充分结合项目实际情况制定绩效目标。</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kern w:val="2"/>
          <w:sz w:val="32"/>
          <w:szCs w:val="32"/>
          <w:highlight w:val="none"/>
          <w:lang w:val="en-US" w:eastAsia="zh-CN" w:bidi="ar-SA"/>
        </w:rPr>
      </w:pPr>
      <w:r>
        <w:rPr>
          <w:rFonts w:ascii="Times New Roman" w:eastAsia="仿宋_GB2312"/>
          <w:b w:val="0"/>
          <w:sz w:val="32"/>
          <w:szCs w:val="32"/>
        </w:rPr>
        <w:t>下一步改进措施：</w:t>
      </w:r>
      <w:r>
        <w:rPr>
          <w:rFonts w:hint="eastAsia" w:ascii="仿宋" w:hAnsi="仿宋" w:eastAsia="仿宋" w:cs="仿宋"/>
          <w:kern w:val="2"/>
          <w:sz w:val="32"/>
          <w:szCs w:val="32"/>
          <w:highlight w:val="none"/>
          <w:lang w:val="en-US" w:eastAsia="zh-CN" w:bidi="ar-SA"/>
        </w:rPr>
        <w:t>1.提高绩效目标设定质量：加强对绩效目标设定相关知识的学习，进一步提高业务水平。在设定绩效目标时，充分与业务股室沟通，确保目标清晰准确、指标全面完整、标准科学合理。</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2.加强项目管理：针对未完成绩效目标的项目，深入分析原因，制定详细的整改计划。加强项目实施过程中的监督与管理，及时发现问题并解决，确保项目按计划推进。同时，建立项目动态调整机制，根据实际情况及时调整项目内容和资金安排。</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3.完善财务管理制度：进一步规范资金使用流程，加强对资金使用的监督与审核，确保资金使用合规、高效。完善资金使用台账，做到账目清晰、记录完整。</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eastAsia="仿宋_GB2312"/>
          <w:sz w:val="32"/>
          <w:szCs w:val="32"/>
        </w:rPr>
      </w:pPr>
    </w:p>
    <w:p>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 xml:space="preserve">部门评价项目绩效评价结果 </w:t>
      </w:r>
    </w:p>
    <w:p>
      <w:pPr>
        <w:widowControl/>
        <w:numPr>
          <w:ilvl w:val="0"/>
          <w:numId w:val="0"/>
        </w:numPr>
        <w:spacing w:before="0" w:beforeLines="0" w:beforeAutospacing="0" w:after="0" w:afterLines="0" w:afterAutospacing="0" w:line="360" w:lineRule="auto"/>
        <w:ind w:firstLine="640" w:firstLineChars="200"/>
        <w:jc w:val="left"/>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从评价情况看，整体评价项目绩效评价结果为优秀。</w:t>
      </w:r>
    </w:p>
    <w:p>
      <w:pPr>
        <w:pStyle w:val="2"/>
        <w:rPr>
          <w:rFonts w:ascii="Times New Roman" w:eastAsia="仿宋_GB2312" w:cs="宋体" w:hAnsiTheme="minorHAnsi"/>
          <w:b/>
          <w:color w:val="auto"/>
          <w:kern w:val="0"/>
          <w:sz w:val="32"/>
          <w:szCs w:val="32"/>
          <w:lang w:val="en-US" w:eastAsia="zh-CN" w:bidi="ar-SA"/>
        </w:rPr>
      </w:pPr>
      <w:r>
        <w:rPr>
          <w:rFonts w:ascii="Times New Roman" w:eastAsia="仿宋_GB2312" w:cs="宋体" w:hAnsiTheme="minorHAnsi"/>
          <w:b/>
          <w:color w:val="auto"/>
          <w:kern w:val="0"/>
          <w:sz w:val="32"/>
          <w:szCs w:val="32"/>
          <w:lang w:val="en-US" w:eastAsia="zh-CN" w:bidi="ar-SA"/>
        </w:rPr>
        <w:t>附项目支出绩效自评表</w:t>
      </w:r>
    </w:p>
    <w:p>
      <w:pPr>
        <w:pStyle w:val="2"/>
        <w:rPr>
          <w:rFonts w:hint="eastAsia" w:ascii="Times New Roman" w:eastAsia="仿宋_GB2312" w:cs="宋体" w:hAnsiTheme="minorHAnsi"/>
          <w:b/>
          <w:color w:val="auto"/>
          <w:kern w:val="0"/>
          <w:sz w:val="32"/>
          <w:szCs w:val="32"/>
          <w:lang w:val="en-US" w:eastAsia="zh-CN" w:bidi="ar-SA"/>
        </w:rPr>
      </w:pPr>
      <w:r>
        <w:drawing>
          <wp:inline distT="0" distB="0" distL="114300" distR="114300">
            <wp:extent cx="6163310" cy="4167505"/>
            <wp:effectExtent l="0" t="0" r="8890" b="1079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9"/>
                    <a:stretch>
                      <a:fillRect/>
                    </a:stretch>
                  </pic:blipFill>
                  <pic:spPr>
                    <a:xfrm>
                      <a:off x="0" y="0"/>
                      <a:ext cx="6163310" cy="4167505"/>
                    </a:xfrm>
                    <a:prstGeom prst="rect">
                      <a:avLst/>
                    </a:prstGeom>
                    <a:noFill/>
                    <a:ln w="9525">
                      <a:noFill/>
                    </a:ln>
                  </pic:spPr>
                </pic:pic>
              </a:graphicData>
            </a:graphic>
          </wp:inline>
        </w:drawing>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66B08B9-DDB3-4E52-B466-8FC34D59640F}"/>
  </w:font>
  <w:font w:name="黑体">
    <w:panose1 w:val="02010609060101010101"/>
    <w:charset w:val="86"/>
    <w:family w:val="auto"/>
    <w:pitch w:val="default"/>
    <w:sig w:usb0="800002BF" w:usb1="38CF7CFA" w:usb2="00000016" w:usb3="00000000" w:csb0="00040001" w:csb1="00000000"/>
    <w:embedRegular r:id="rId2" w:fontKey="{A1AE8A37-DD29-47C5-82C4-16EA638E2BD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3C73B61C-55D1-4899-815C-9ABBAD6023F8}"/>
  </w:font>
  <w:font w:name="仿宋">
    <w:panose1 w:val="02010609060101010101"/>
    <w:charset w:val="86"/>
    <w:family w:val="modern"/>
    <w:pitch w:val="default"/>
    <w:sig w:usb0="800002BF" w:usb1="38CF7CFA" w:usb2="00000016" w:usb3="00000000" w:csb0="00040001" w:csb1="00000000"/>
    <w:embedRegular r:id="rId4" w:fontKey="{6D18FFE5-6D32-498B-B44A-CA4EB320FB15}"/>
  </w:font>
  <w:font w:name="Calibri Light">
    <w:panose1 w:val="020F0302020204030204"/>
    <w:charset w:val="00"/>
    <w:family w:val="auto"/>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5" w:fontKey="{3D13DAA3-2F9D-4EC1-9588-5DBA8D021C97}"/>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6" w:fontKey="{2C8EBBA5-9EE5-4A19-A3D4-12C656B0044F}"/>
  </w:font>
  <w:font w:name="方正小标宋_GBK">
    <w:panose1 w:val="02000000000000000000"/>
    <w:charset w:val="86"/>
    <w:family w:val="script"/>
    <w:pitch w:val="default"/>
    <w:sig w:usb0="A00002BF" w:usb1="38CF7CFA" w:usb2="00082016" w:usb3="00000000" w:csb0="00040001" w:csb1="00000000"/>
    <w:embedRegular r:id="rId7" w:fontKey="{0E2CB615-C461-4B6C-9D27-EF41C24AB08A}"/>
  </w:font>
  <w:font w:name="ArialUnicodeMS">
    <w:altName w:val="Malgun Gothic"/>
    <w:panose1 w:val="00000000000000000000"/>
    <w:charset w:val="81"/>
    <w:family w:val="auto"/>
    <w:pitch w:val="default"/>
    <w:sig w:usb0="00000000" w:usb1="00000000" w:usb2="00000010" w:usb3="00000000" w:csb0="00080001" w:csb1="00000000"/>
    <w:embedRegular r:id="rId8" w:fontKey="{13A9B6F3-07CA-492F-ABC9-0EE6F4636EDD}"/>
  </w:font>
  <w:font w:name="方正仿宋_GB2312">
    <w:altName w:val="仿宋"/>
    <w:panose1 w:val="02000000000000000000"/>
    <w:charset w:val="86"/>
    <w:family w:val="auto"/>
    <w:pitch w:val="default"/>
    <w:sig w:usb0="00000000" w:usb1="00000000" w:usb2="00000000" w:usb3="00000000" w:csb0="00000000" w:csb1="00000000"/>
    <w:embedRegular r:id="rId9" w:fontKey="{C0134ED9-C4C7-435B-A469-716B34162572}"/>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A7F363"/>
    <w:multiLevelType w:val="singleLevel"/>
    <w:tmpl w:val="07A7F363"/>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6670AB"/>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370B64"/>
    <w:rsid w:val="2B4975FB"/>
    <w:rsid w:val="2B695031"/>
    <w:rsid w:val="2B735A8F"/>
    <w:rsid w:val="2BA7478D"/>
    <w:rsid w:val="2BB038DB"/>
    <w:rsid w:val="2BB761E0"/>
    <w:rsid w:val="2BB812F9"/>
    <w:rsid w:val="2BE35C27"/>
    <w:rsid w:val="2BFA504B"/>
    <w:rsid w:val="2C1B2873"/>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36256"/>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6A6AE2"/>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2FE1A96"/>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833711"/>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2.emf"/><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2029.67</c:v>
                </c:pt>
                <c:pt idx="1">
                  <c:v>646.79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6467910.46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3903703</c:v>
                </c:pt>
                <c:pt idx="1">
                  <c:v>2564207.46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2029.67</c:v>
                </c:pt>
                <c:pt idx="1">
                  <c:v>2029.67</c:v>
                </c:pt>
                <c:pt idx="2">
                  <c:v>2029.67</c:v>
                </c:pt>
                <c:pt idx="3">
                  <c:v>2029.67</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646.79</c:v>
                </c:pt>
                <c:pt idx="1">
                  <c:v>646.79</c:v>
                </c:pt>
                <c:pt idx="2">
                  <c:v>646.79</c:v>
                </c:pt>
                <c:pt idx="3">
                  <c:v>646.79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1692.17</c:v>
                </c:pt>
                <c:pt idx="1">
                  <c:v>1692.17</c:v>
                </c:pt>
                <c:pt idx="2">
                  <c:v>1692.17</c:v>
                </c:pt>
                <c:pt idx="3">
                  <c:v>1692.17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646.79</c:v>
                </c:pt>
                <c:pt idx="1">
                  <c:v>646.79</c:v>
                </c:pt>
                <c:pt idx="2">
                  <c:v>646.79</c:v>
                </c:pt>
                <c:pt idx="3">
                  <c:v>646.79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471.92</c:v>
                </c:pt>
                <c:pt idx="1">
                  <c:v>0</c:v>
                </c:pt>
                <c:pt idx="2">
                  <c:v>0</c:v>
                </c:pt>
                <c:pt idx="3">
                  <c:v>0</c:v>
                </c:pt>
                <c:pt idx="4">
                  <c:v>0</c:v>
                </c:pt>
                <c:pt idx="5">
                  <c:v>90</c:v>
                </c:pt>
                <c:pt idx="6">
                  <c:v>0</c:v>
                </c:pt>
                <c:pt idx="7">
                  <c:v>31.41</c:v>
                </c:pt>
                <c:pt idx="8">
                  <c:v>22.93</c:v>
                </c:pt>
                <c:pt idx="9">
                  <c:v>0</c:v>
                </c:pt>
                <c:pt idx="10">
                  <c:v>0</c:v>
                </c:pt>
                <c:pt idx="11">
                  <c:v>0</c:v>
                </c:pt>
                <c:pt idx="12">
                  <c:v>0</c:v>
                </c:pt>
                <c:pt idx="13">
                  <c:v>0</c:v>
                </c:pt>
                <c:pt idx="14">
                  <c:v>1</c:v>
                </c:pt>
                <c:pt idx="15">
                  <c:v>0</c:v>
                </c:pt>
                <c:pt idx="16">
                  <c:v>0</c:v>
                </c:pt>
                <c:pt idx="17">
                  <c:v>0</c:v>
                </c:pt>
                <c:pt idx="18">
                  <c:v>29.52</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34</TotalTime>
  <ScaleCrop>false</ScaleCrop>
  <LinksUpToDate>false</LinksUpToDate>
  <CharactersWithSpaces>2170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微小</cp:lastModifiedBy>
  <cp:lastPrinted>2023-08-04T01:00:00Z</cp:lastPrinted>
  <dcterms:modified xsi:type="dcterms:W3CDTF">2025-09-29T03:49:41Z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10F445BBF4674DBBB307DD148AC5754E</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